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B7" w:rsidRDefault="00C305B7" w:rsidP="00C305B7">
      <w:pPr>
        <w:numPr>
          <w:ilvl w:val="0"/>
          <w:numId w:val="1"/>
        </w:numPr>
        <w:spacing w:line="360" w:lineRule="auto"/>
        <w:rPr>
          <w:rFonts w:ascii="宋体" w:hAnsi="宋体"/>
          <w:b/>
          <w:sz w:val="21"/>
          <w:szCs w:val="21"/>
        </w:rPr>
      </w:pPr>
      <w:r>
        <w:rPr>
          <w:rFonts w:ascii="宋体" w:hAnsi="宋体" w:hint="eastAsia"/>
          <w:b/>
          <w:sz w:val="21"/>
          <w:szCs w:val="21"/>
        </w:rPr>
        <w:t>采购清单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2346"/>
        <w:gridCol w:w="1700"/>
        <w:gridCol w:w="1472"/>
        <w:gridCol w:w="1946"/>
      </w:tblGrid>
      <w:tr w:rsidR="00C305B7" w:rsidTr="00B77329">
        <w:tc>
          <w:tcPr>
            <w:tcW w:w="1058" w:type="dxa"/>
            <w:vAlign w:val="center"/>
          </w:tcPr>
          <w:p w:rsidR="00C305B7" w:rsidRDefault="00C305B7" w:rsidP="00B77329">
            <w:pPr>
              <w:spacing w:line="360" w:lineRule="auto"/>
              <w:jc w:val="center"/>
              <w:rPr>
                <w:rFonts w:ascii="宋体" w:hAnsi="宋体"/>
                <w:b/>
                <w:sz w:val="21"/>
                <w:szCs w:val="21"/>
              </w:rPr>
            </w:pPr>
            <w:r>
              <w:rPr>
                <w:rFonts w:ascii="宋体" w:hAnsi="宋体" w:hint="eastAsia"/>
                <w:b/>
                <w:sz w:val="21"/>
                <w:szCs w:val="21"/>
              </w:rPr>
              <w:t>序号</w:t>
            </w:r>
          </w:p>
        </w:tc>
        <w:tc>
          <w:tcPr>
            <w:tcW w:w="2346" w:type="dxa"/>
            <w:vAlign w:val="center"/>
          </w:tcPr>
          <w:p w:rsidR="00C305B7" w:rsidRDefault="00C305B7" w:rsidP="00B77329">
            <w:pPr>
              <w:spacing w:line="360" w:lineRule="auto"/>
              <w:jc w:val="center"/>
              <w:rPr>
                <w:rFonts w:ascii="宋体" w:hAnsi="宋体"/>
                <w:b/>
                <w:sz w:val="21"/>
                <w:szCs w:val="21"/>
              </w:rPr>
            </w:pPr>
            <w:r>
              <w:rPr>
                <w:rFonts w:ascii="宋体" w:hAnsi="宋体" w:hint="eastAsia"/>
                <w:b/>
                <w:sz w:val="21"/>
                <w:szCs w:val="21"/>
              </w:rPr>
              <w:t>货物或服务名称</w:t>
            </w:r>
          </w:p>
        </w:tc>
        <w:tc>
          <w:tcPr>
            <w:tcW w:w="1700" w:type="dxa"/>
            <w:vAlign w:val="center"/>
          </w:tcPr>
          <w:p w:rsidR="00C305B7" w:rsidRDefault="00C305B7" w:rsidP="00B77329">
            <w:pPr>
              <w:spacing w:line="360" w:lineRule="auto"/>
              <w:jc w:val="center"/>
              <w:rPr>
                <w:rFonts w:ascii="宋体" w:hAnsi="宋体"/>
                <w:b/>
                <w:sz w:val="21"/>
                <w:szCs w:val="21"/>
              </w:rPr>
            </w:pPr>
            <w:r>
              <w:rPr>
                <w:rFonts w:ascii="宋体" w:hAnsi="宋体" w:hint="eastAsia"/>
                <w:b/>
                <w:sz w:val="21"/>
                <w:szCs w:val="21"/>
              </w:rPr>
              <w:t>数量</w:t>
            </w:r>
          </w:p>
        </w:tc>
        <w:tc>
          <w:tcPr>
            <w:tcW w:w="1472" w:type="dxa"/>
            <w:vAlign w:val="center"/>
          </w:tcPr>
          <w:p w:rsidR="00C305B7" w:rsidRDefault="00C305B7" w:rsidP="00B77329">
            <w:pPr>
              <w:spacing w:line="360" w:lineRule="auto"/>
              <w:jc w:val="center"/>
              <w:rPr>
                <w:rFonts w:ascii="宋体" w:hAnsi="宋体"/>
                <w:b/>
                <w:sz w:val="21"/>
                <w:szCs w:val="21"/>
              </w:rPr>
            </w:pPr>
            <w:r>
              <w:rPr>
                <w:rFonts w:ascii="宋体" w:hAnsi="宋体" w:hint="eastAsia"/>
                <w:b/>
                <w:sz w:val="21"/>
                <w:szCs w:val="21"/>
              </w:rPr>
              <w:t>单位</w:t>
            </w:r>
          </w:p>
        </w:tc>
        <w:tc>
          <w:tcPr>
            <w:tcW w:w="1946" w:type="dxa"/>
            <w:vAlign w:val="center"/>
          </w:tcPr>
          <w:p w:rsidR="00C305B7" w:rsidRDefault="00C305B7" w:rsidP="00B77329">
            <w:pPr>
              <w:spacing w:line="360" w:lineRule="auto"/>
              <w:jc w:val="center"/>
              <w:rPr>
                <w:rFonts w:ascii="宋体" w:hAnsi="宋体"/>
                <w:b/>
                <w:sz w:val="21"/>
                <w:szCs w:val="21"/>
              </w:rPr>
            </w:pPr>
            <w:r>
              <w:rPr>
                <w:rFonts w:ascii="宋体" w:hAnsi="宋体" w:hint="eastAsia"/>
                <w:b/>
                <w:sz w:val="21"/>
                <w:szCs w:val="21"/>
              </w:rPr>
              <w:t>备注（核心产品）</w:t>
            </w:r>
          </w:p>
        </w:tc>
      </w:tr>
      <w:tr w:rsidR="00C305B7" w:rsidTr="00B77329">
        <w:tc>
          <w:tcPr>
            <w:tcW w:w="1058" w:type="dxa"/>
            <w:vAlign w:val="center"/>
          </w:tcPr>
          <w:p w:rsidR="00C305B7" w:rsidRDefault="00C305B7" w:rsidP="00B77329">
            <w:pPr>
              <w:spacing w:line="360" w:lineRule="auto"/>
              <w:jc w:val="center"/>
              <w:rPr>
                <w:rFonts w:ascii="宋体" w:hAnsi="宋体"/>
                <w:sz w:val="21"/>
                <w:szCs w:val="21"/>
              </w:rPr>
            </w:pPr>
            <w:r>
              <w:rPr>
                <w:rFonts w:ascii="宋体" w:hAnsi="宋体" w:hint="eastAsia"/>
                <w:sz w:val="21"/>
                <w:szCs w:val="21"/>
              </w:rPr>
              <w:t>1</w:t>
            </w:r>
          </w:p>
        </w:tc>
        <w:tc>
          <w:tcPr>
            <w:tcW w:w="2346" w:type="dxa"/>
          </w:tcPr>
          <w:p w:rsidR="00C305B7" w:rsidRDefault="00C305B7" w:rsidP="00B77329">
            <w:pPr>
              <w:spacing w:line="360" w:lineRule="auto"/>
              <w:jc w:val="center"/>
              <w:rPr>
                <w:rFonts w:ascii="宋体" w:hAnsi="宋体"/>
                <w:sz w:val="21"/>
                <w:szCs w:val="21"/>
              </w:rPr>
            </w:pPr>
            <w:r>
              <w:rPr>
                <w:rFonts w:ascii="宋体" w:hAnsi="宋体" w:hint="eastAsia"/>
                <w:sz w:val="21"/>
                <w:szCs w:val="21"/>
              </w:rPr>
              <w:t>1G互联网接入服务</w:t>
            </w:r>
          </w:p>
        </w:tc>
        <w:tc>
          <w:tcPr>
            <w:tcW w:w="1700" w:type="dxa"/>
          </w:tcPr>
          <w:p w:rsidR="00C305B7" w:rsidRDefault="00C305B7" w:rsidP="00B77329">
            <w:pPr>
              <w:spacing w:line="360" w:lineRule="auto"/>
              <w:jc w:val="center"/>
              <w:rPr>
                <w:rFonts w:ascii="宋体" w:hAnsi="宋体" w:hint="eastAsia"/>
                <w:sz w:val="21"/>
                <w:szCs w:val="21"/>
              </w:rPr>
            </w:pPr>
            <w:r>
              <w:rPr>
                <w:rFonts w:ascii="宋体" w:hAnsi="宋体" w:hint="eastAsia"/>
                <w:sz w:val="21"/>
                <w:szCs w:val="21"/>
              </w:rPr>
              <w:t>1</w:t>
            </w:r>
          </w:p>
        </w:tc>
        <w:tc>
          <w:tcPr>
            <w:tcW w:w="1472" w:type="dxa"/>
          </w:tcPr>
          <w:p w:rsidR="00C305B7" w:rsidRDefault="00C305B7" w:rsidP="00B77329">
            <w:pPr>
              <w:spacing w:line="360" w:lineRule="auto"/>
              <w:jc w:val="center"/>
              <w:rPr>
                <w:rFonts w:ascii="宋体" w:hAnsi="宋体" w:hint="eastAsia"/>
                <w:sz w:val="21"/>
                <w:szCs w:val="21"/>
              </w:rPr>
            </w:pPr>
            <w:r>
              <w:rPr>
                <w:rFonts w:ascii="宋体" w:hAnsi="宋体" w:hint="eastAsia"/>
                <w:sz w:val="21"/>
                <w:szCs w:val="21"/>
              </w:rPr>
              <w:t>G</w:t>
            </w:r>
          </w:p>
        </w:tc>
        <w:tc>
          <w:tcPr>
            <w:tcW w:w="1946" w:type="dxa"/>
          </w:tcPr>
          <w:p w:rsidR="00C305B7" w:rsidRDefault="00C305B7" w:rsidP="00B77329">
            <w:pPr>
              <w:spacing w:line="360" w:lineRule="auto"/>
              <w:jc w:val="center"/>
              <w:rPr>
                <w:rFonts w:ascii="宋体" w:hAnsi="宋体"/>
                <w:sz w:val="21"/>
                <w:szCs w:val="21"/>
              </w:rPr>
            </w:pPr>
            <w:r>
              <w:rPr>
                <w:rFonts w:ascii="宋体" w:hAnsi="宋体" w:hint="eastAsia"/>
                <w:sz w:val="21"/>
                <w:szCs w:val="21"/>
              </w:rPr>
              <w:t>专线互联网</w:t>
            </w:r>
          </w:p>
        </w:tc>
      </w:tr>
    </w:tbl>
    <w:p w:rsidR="00C305B7" w:rsidRDefault="00C305B7" w:rsidP="00C305B7">
      <w:pPr>
        <w:numPr>
          <w:ilvl w:val="0"/>
          <w:numId w:val="1"/>
        </w:numPr>
        <w:spacing w:line="360" w:lineRule="auto"/>
        <w:rPr>
          <w:rFonts w:ascii="宋体" w:hAnsi="宋体"/>
          <w:b/>
          <w:sz w:val="21"/>
          <w:szCs w:val="21"/>
        </w:rPr>
      </w:pPr>
      <w:r>
        <w:rPr>
          <w:rFonts w:ascii="宋体" w:hAnsi="宋体" w:hint="eastAsia"/>
          <w:b/>
          <w:sz w:val="21"/>
          <w:szCs w:val="21"/>
        </w:rPr>
        <w:t>项目背景或简况</w:t>
      </w:r>
    </w:p>
    <w:p w:rsidR="00C305B7" w:rsidRDefault="00C305B7" w:rsidP="00C305B7">
      <w:pPr>
        <w:spacing w:line="360" w:lineRule="auto"/>
        <w:ind w:firstLineChars="200" w:firstLine="420"/>
        <w:rPr>
          <w:rFonts w:ascii="宋体" w:hAnsi="宋体"/>
          <w:sz w:val="21"/>
          <w:szCs w:val="21"/>
        </w:rPr>
      </w:pPr>
      <w:r>
        <w:rPr>
          <w:rFonts w:ascii="宋体" w:hAnsi="宋体" w:hint="eastAsia"/>
          <w:sz w:val="21"/>
          <w:szCs w:val="21"/>
        </w:rPr>
        <w:t>六里桥政务大厅承载了北京市各委办局行政审批、公共资源配置、社会服务、效能监察四个平台，集中受理、办理行政审批和行政服务事项。该办公区需要接入一条互联网专线用于提供各工作部门及员工之间的正常工作用网，要求性能稳定，访问快速，经反复</w:t>
      </w:r>
      <w:proofErr w:type="gramStart"/>
      <w:r>
        <w:rPr>
          <w:rFonts w:ascii="宋体" w:hAnsi="宋体" w:hint="eastAsia"/>
          <w:sz w:val="21"/>
          <w:szCs w:val="21"/>
        </w:rPr>
        <w:t>研</w:t>
      </w:r>
      <w:proofErr w:type="gramEnd"/>
      <w:r>
        <w:rPr>
          <w:rFonts w:ascii="宋体" w:hAnsi="宋体" w:hint="eastAsia"/>
          <w:sz w:val="21"/>
          <w:szCs w:val="21"/>
        </w:rPr>
        <w:t>判该项目需接入1G互联网。该项目需包含项目管理、实施、维护等一系列的服务。</w:t>
      </w:r>
    </w:p>
    <w:p w:rsidR="00C305B7" w:rsidRDefault="00C305B7" w:rsidP="00C305B7">
      <w:pPr>
        <w:numPr>
          <w:ilvl w:val="0"/>
          <w:numId w:val="1"/>
        </w:numPr>
        <w:spacing w:line="360" w:lineRule="auto"/>
        <w:rPr>
          <w:rFonts w:ascii="宋体" w:hAnsi="宋体"/>
          <w:b/>
          <w:sz w:val="21"/>
          <w:szCs w:val="21"/>
        </w:rPr>
      </w:pPr>
      <w:r>
        <w:rPr>
          <w:rFonts w:ascii="宋体" w:hAnsi="宋体" w:hint="eastAsia"/>
          <w:b/>
          <w:sz w:val="21"/>
          <w:szCs w:val="21"/>
        </w:rPr>
        <w:t>技术参数要求</w:t>
      </w:r>
    </w:p>
    <w:p w:rsidR="00C305B7" w:rsidRDefault="00C305B7" w:rsidP="00C305B7">
      <w:pPr>
        <w:spacing w:line="360" w:lineRule="auto"/>
        <w:rPr>
          <w:rFonts w:ascii="宋体" w:hAnsi="宋体" w:hint="eastAsia"/>
          <w:sz w:val="21"/>
          <w:szCs w:val="21"/>
        </w:rPr>
      </w:pPr>
      <w:r>
        <w:rPr>
          <w:rFonts w:ascii="宋体" w:hAnsi="宋体" w:hint="eastAsia"/>
          <w:sz w:val="21"/>
          <w:szCs w:val="21"/>
        </w:rPr>
        <w:t>1、1000M带宽，光纤专线接入六里桥政务中心机房。</w:t>
      </w:r>
    </w:p>
    <w:p w:rsidR="00C305B7" w:rsidRDefault="00C305B7" w:rsidP="00C305B7">
      <w:pPr>
        <w:spacing w:line="360" w:lineRule="auto"/>
        <w:rPr>
          <w:rFonts w:ascii="宋体" w:hAnsi="宋体" w:hint="eastAsia"/>
          <w:sz w:val="21"/>
          <w:szCs w:val="21"/>
        </w:rPr>
      </w:pPr>
      <w:r>
        <w:rPr>
          <w:rFonts w:ascii="宋体" w:hAnsi="宋体" w:hint="eastAsia"/>
          <w:sz w:val="21"/>
          <w:szCs w:val="21"/>
        </w:rPr>
        <w:t>2、报价人提供的线路带宽1Gbps，带宽应全为互联网带宽，不能包含报价人的局域网网内带宽。</w:t>
      </w:r>
    </w:p>
    <w:p w:rsidR="00C305B7" w:rsidRDefault="00C305B7" w:rsidP="00C305B7">
      <w:pPr>
        <w:spacing w:line="360" w:lineRule="auto"/>
        <w:rPr>
          <w:rFonts w:ascii="宋体" w:hAnsi="宋体" w:hint="eastAsia"/>
          <w:sz w:val="21"/>
          <w:szCs w:val="21"/>
        </w:rPr>
      </w:pPr>
      <w:r>
        <w:rPr>
          <w:rFonts w:ascii="宋体" w:hAnsi="宋体" w:hint="eastAsia"/>
          <w:sz w:val="21"/>
          <w:szCs w:val="21"/>
        </w:rPr>
        <w:t>3、要求线路至少提供64个的公网IPv4地址。</w:t>
      </w:r>
    </w:p>
    <w:p w:rsidR="00C305B7" w:rsidRDefault="00C305B7" w:rsidP="00C305B7">
      <w:pPr>
        <w:spacing w:line="360" w:lineRule="auto"/>
        <w:rPr>
          <w:rFonts w:ascii="宋体" w:hAnsi="宋体" w:hint="eastAsia"/>
          <w:sz w:val="21"/>
          <w:szCs w:val="21"/>
        </w:rPr>
      </w:pPr>
      <w:r>
        <w:rPr>
          <w:rFonts w:ascii="宋体" w:hAnsi="宋体" w:hint="eastAsia"/>
          <w:sz w:val="21"/>
          <w:szCs w:val="21"/>
        </w:rPr>
        <w:t>4、要求所提供的电路应该是双工模式，必须独享上下行对等的带宽光纤专线，线路质量稳定可靠，能很好解决各运营商之间互联互通的瓶颈问题。要求提供电路接入报价人本地城域网汇聚层；跳转数应不多于2跳连接入报价人主网络核心层，并</w:t>
      </w:r>
      <w:proofErr w:type="gramStart"/>
      <w:r>
        <w:rPr>
          <w:rFonts w:ascii="宋体" w:hAnsi="宋体" w:hint="eastAsia"/>
          <w:sz w:val="21"/>
          <w:szCs w:val="21"/>
        </w:rPr>
        <w:t>提供跳数说明</w:t>
      </w:r>
      <w:proofErr w:type="gramEnd"/>
      <w:r>
        <w:rPr>
          <w:rFonts w:ascii="宋体" w:hAnsi="宋体" w:hint="eastAsia"/>
          <w:sz w:val="21"/>
          <w:szCs w:val="21"/>
        </w:rPr>
        <w:t>；响应时，应用拓扑图的形式画出报价人的骨干网络，指出本次租用的接入点，并且标明各骨干路由的带宽和设备（含传输和网络交换机）型号、包交换能力，并提供在网络安全问题上的解决方案。要求从报价人的数据机房到我办公区核心机房提供万兆的FE口连接，并提供光接收设备及路由设备，单模光纤要求符合ITU-T的G.652标准。</w:t>
      </w:r>
    </w:p>
    <w:p w:rsidR="00C305B7" w:rsidRDefault="00C305B7" w:rsidP="00C305B7">
      <w:pPr>
        <w:spacing w:line="360" w:lineRule="auto"/>
        <w:rPr>
          <w:rFonts w:ascii="宋体" w:hAnsi="宋体" w:hint="eastAsia"/>
          <w:sz w:val="21"/>
          <w:szCs w:val="21"/>
        </w:rPr>
      </w:pPr>
      <w:r>
        <w:rPr>
          <w:rFonts w:ascii="宋体" w:hAnsi="宋体" w:hint="eastAsia"/>
          <w:sz w:val="21"/>
          <w:szCs w:val="21"/>
        </w:rPr>
        <w:t>5、IP包在链路轻载条件（带宽利用率&lt;40％）下丢包率&lt;0.05％，IP包在链路重载条件（带宽的70％～80％）下丢包率&lt;0.1％。从采购</w:t>
      </w:r>
      <w:proofErr w:type="gramStart"/>
      <w:r>
        <w:rPr>
          <w:rFonts w:ascii="宋体" w:hAnsi="宋体" w:hint="eastAsia"/>
          <w:sz w:val="21"/>
          <w:szCs w:val="21"/>
        </w:rPr>
        <w:t>人网络</w:t>
      </w:r>
      <w:proofErr w:type="gramEnd"/>
      <w:r>
        <w:rPr>
          <w:rFonts w:ascii="宋体" w:hAnsi="宋体" w:hint="eastAsia"/>
          <w:sz w:val="21"/>
          <w:szCs w:val="21"/>
        </w:rPr>
        <w:t>设备端口到供方局端网络设备网络丢包率≤0.1‰，忙时（20：00左右）访问大型ISP的服务器ping值不超过150ms。</w:t>
      </w:r>
    </w:p>
    <w:p w:rsidR="00C305B7" w:rsidRDefault="00C305B7" w:rsidP="00C305B7">
      <w:pPr>
        <w:spacing w:line="360" w:lineRule="auto"/>
        <w:rPr>
          <w:rFonts w:ascii="宋体" w:hAnsi="宋体"/>
          <w:sz w:val="21"/>
          <w:szCs w:val="21"/>
        </w:rPr>
      </w:pPr>
      <w:r>
        <w:rPr>
          <w:rFonts w:ascii="宋体" w:hAnsi="宋体" w:hint="eastAsia"/>
          <w:sz w:val="21"/>
          <w:szCs w:val="21"/>
        </w:rPr>
        <w:t>6、报价人需提供租赁线路的安装、维护服务的全部内容，并完成整个线路接入的联调工作。若本磋商文件中所提及的配置或要求中出现不合理或不完整的问题时，报价人有责任和义务在响应文件中提出补充修改方案。</w:t>
      </w:r>
    </w:p>
    <w:p w:rsidR="00C305B7" w:rsidRDefault="00C305B7" w:rsidP="00C305B7">
      <w:pPr>
        <w:spacing w:line="360" w:lineRule="auto"/>
        <w:rPr>
          <w:rFonts w:ascii="宋体" w:hAnsi="宋体"/>
          <w:sz w:val="21"/>
          <w:szCs w:val="21"/>
        </w:rPr>
      </w:pPr>
      <w:r>
        <w:rPr>
          <w:rFonts w:ascii="宋体" w:hAnsi="宋体" w:hint="eastAsia"/>
          <w:sz w:val="21"/>
          <w:szCs w:val="21"/>
        </w:rPr>
        <w:t>7、报价人应提供本单位售后服务方案及线路维护方案。</w:t>
      </w:r>
    </w:p>
    <w:p w:rsidR="00C305B7" w:rsidRDefault="00C305B7" w:rsidP="00C305B7">
      <w:pPr>
        <w:spacing w:line="360" w:lineRule="auto"/>
        <w:rPr>
          <w:rFonts w:ascii="宋体" w:hAnsi="宋体" w:hint="eastAsia"/>
          <w:sz w:val="21"/>
          <w:szCs w:val="21"/>
        </w:rPr>
      </w:pPr>
      <w:r>
        <w:rPr>
          <w:rFonts w:ascii="宋体" w:hAnsi="宋体" w:hint="eastAsia"/>
          <w:sz w:val="21"/>
          <w:szCs w:val="21"/>
        </w:rPr>
        <w:t>8、报价人须提供7×24小时的后台监控和保障服务，在服务期内接到报修电话须在15分钟内响应，并在1小时内赶到现场实施维修，2小时内修复故障，2天内提供书面故障检修报</w:t>
      </w:r>
      <w:r>
        <w:rPr>
          <w:rFonts w:ascii="宋体" w:hAnsi="宋体" w:hint="eastAsia"/>
          <w:sz w:val="21"/>
          <w:szCs w:val="21"/>
        </w:rPr>
        <w:lastRenderedPageBreak/>
        <w:t>告，出现网络故障时，故障响应时长不超过10分钟，且有相应的制度和流程反馈我方；如有网络调整及线路割接，应提前一周书面通知采购人。</w:t>
      </w:r>
    </w:p>
    <w:p w:rsidR="00C305B7" w:rsidRDefault="00C305B7" w:rsidP="00C305B7">
      <w:pPr>
        <w:widowControl/>
        <w:spacing w:line="400" w:lineRule="exact"/>
        <w:rPr>
          <w:rFonts w:ascii="宋体" w:hAnsi="宋体"/>
          <w:sz w:val="21"/>
          <w:szCs w:val="21"/>
        </w:rPr>
      </w:pPr>
      <w:r>
        <w:rPr>
          <w:rFonts w:ascii="宋体" w:hAnsi="宋体" w:hint="eastAsia"/>
          <w:sz w:val="21"/>
          <w:szCs w:val="21"/>
        </w:rPr>
        <w:t>9、报价人须提供网络</w:t>
      </w:r>
      <w:r>
        <w:rPr>
          <w:rFonts w:ascii="宋体" w:hAnsi="宋体" w:cs="宋体" w:hint="eastAsia"/>
          <w:sz w:val="21"/>
          <w:szCs w:val="21"/>
        </w:rPr>
        <w:t>负载均衡设备1台，其设备参数为</w:t>
      </w:r>
      <w:r>
        <w:rPr>
          <w:rFonts w:ascii="宋体" w:hAnsi="宋体" w:cs="宋体"/>
          <w:sz w:val="21"/>
          <w:szCs w:val="21"/>
          <w:lang w:val="en"/>
        </w:rPr>
        <w:t>:</w:t>
      </w:r>
      <w:proofErr w:type="gramStart"/>
      <w:r>
        <w:rPr>
          <w:rFonts w:ascii="宋体" w:hAnsi="宋体" w:cs="宋体" w:hint="eastAsia"/>
          <w:sz w:val="21"/>
          <w:szCs w:val="21"/>
        </w:rPr>
        <w:t>标配4个千兆电口</w:t>
      </w:r>
      <w:proofErr w:type="gramEnd"/>
      <w:r>
        <w:rPr>
          <w:rFonts w:ascii="宋体" w:hAnsi="宋体" w:cs="宋体" w:hint="eastAsia"/>
          <w:sz w:val="21"/>
          <w:szCs w:val="21"/>
        </w:rPr>
        <w:t>，4个</w:t>
      </w:r>
      <w:proofErr w:type="gramStart"/>
      <w:r>
        <w:rPr>
          <w:rFonts w:ascii="宋体" w:hAnsi="宋体" w:cs="宋体" w:hint="eastAsia"/>
          <w:sz w:val="21"/>
          <w:szCs w:val="21"/>
        </w:rPr>
        <w:t>千兆光口，标配</w:t>
      </w:r>
      <w:proofErr w:type="gramEnd"/>
      <w:r>
        <w:rPr>
          <w:rFonts w:ascii="宋体" w:hAnsi="宋体" w:cs="宋体" w:hint="eastAsia"/>
          <w:sz w:val="21"/>
          <w:szCs w:val="21"/>
        </w:rPr>
        <w:t>冗余电源；L4吞吐性能≥3Gbps，L7吞吐性能≥3Gbps；并发连接数≥200万；L4新建性能≥12万，L7新建性能≥6万；SSL新建性能（1K密钥）≥4200TPS。</w:t>
      </w:r>
    </w:p>
    <w:p w:rsidR="00C305B7" w:rsidRDefault="00C305B7" w:rsidP="00C305B7">
      <w:pPr>
        <w:spacing w:line="360" w:lineRule="auto"/>
        <w:rPr>
          <w:rFonts w:ascii="宋体" w:hAnsi="宋体"/>
          <w:sz w:val="21"/>
          <w:szCs w:val="21"/>
        </w:rPr>
      </w:pPr>
      <w:r>
        <w:rPr>
          <w:rFonts w:ascii="宋体" w:hAnsi="宋体" w:hint="eastAsia"/>
          <w:sz w:val="21"/>
          <w:szCs w:val="21"/>
        </w:rPr>
        <w:t>10、合同签订后3天完成线路施工，开通网络。</w:t>
      </w:r>
    </w:p>
    <w:p w:rsidR="00C305B7" w:rsidRDefault="00C305B7" w:rsidP="00C305B7">
      <w:pPr>
        <w:numPr>
          <w:ilvl w:val="0"/>
          <w:numId w:val="1"/>
        </w:numPr>
        <w:spacing w:line="360" w:lineRule="auto"/>
        <w:rPr>
          <w:rFonts w:ascii="宋体" w:hAnsi="宋体"/>
          <w:b/>
          <w:sz w:val="21"/>
          <w:szCs w:val="21"/>
        </w:rPr>
      </w:pPr>
      <w:r>
        <w:rPr>
          <w:rFonts w:ascii="宋体" w:hAnsi="宋体" w:hint="eastAsia"/>
          <w:b/>
          <w:sz w:val="21"/>
          <w:szCs w:val="21"/>
        </w:rPr>
        <w:t>售后服务及培训要求</w:t>
      </w:r>
    </w:p>
    <w:p w:rsidR="00C305B7" w:rsidRDefault="00C305B7" w:rsidP="00C305B7">
      <w:pPr>
        <w:spacing w:line="360" w:lineRule="auto"/>
        <w:ind w:firstLineChars="200" w:firstLine="420"/>
        <w:rPr>
          <w:rFonts w:ascii="宋体" w:hAnsi="宋体" w:hint="eastAsia"/>
          <w:sz w:val="21"/>
          <w:szCs w:val="21"/>
        </w:rPr>
      </w:pPr>
      <w:r>
        <w:rPr>
          <w:rFonts w:ascii="宋体" w:hAnsi="宋体" w:hint="eastAsia"/>
          <w:sz w:val="21"/>
          <w:szCs w:val="21"/>
        </w:rPr>
        <w:t>报价人对机房每月进行巡检、按季度出具巡检报告。每月进行六里桥办公区使用部门满意度调查并出具分析表及整改方案。针对该项目出具应急演练预案。</w:t>
      </w:r>
    </w:p>
    <w:p w:rsidR="00C305B7" w:rsidRDefault="00C305B7" w:rsidP="00C305B7">
      <w:pPr>
        <w:numPr>
          <w:ilvl w:val="0"/>
          <w:numId w:val="1"/>
        </w:numPr>
        <w:spacing w:line="360" w:lineRule="auto"/>
        <w:rPr>
          <w:rFonts w:ascii="宋体" w:hAnsi="宋体" w:hint="eastAsia"/>
          <w:b/>
          <w:sz w:val="21"/>
          <w:szCs w:val="21"/>
        </w:rPr>
      </w:pPr>
      <w:r>
        <w:rPr>
          <w:rFonts w:ascii="宋体" w:hAnsi="宋体" w:hint="eastAsia"/>
          <w:b/>
          <w:sz w:val="21"/>
          <w:szCs w:val="21"/>
        </w:rPr>
        <w:t>交货时间及地点</w:t>
      </w:r>
    </w:p>
    <w:p w:rsidR="00C305B7" w:rsidRDefault="00C305B7" w:rsidP="00C305B7">
      <w:pPr>
        <w:spacing w:line="360" w:lineRule="auto"/>
        <w:ind w:firstLineChars="200" w:firstLine="420"/>
        <w:rPr>
          <w:rFonts w:ascii="宋体" w:hAnsi="宋体"/>
          <w:sz w:val="21"/>
          <w:szCs w:val="21"/>
        </w:rPr>
      </w:pPr>
      <w:r>
        <w:rPr>
          <w:rFonts w:ascii="宋体" w:hAnsi="宋体" w:hint="eastAsia"/>
          <w:sz w:val="21"/>
          <w:szCs w:val="21"/>
        </w:rPr>
        <w:t>合同签订后3天内完成线路施工，开通网络。服务</w:t>
      </w:r>
      <w:r>
        <w:rPr>
          <w:rFonts w:ascii="宋体" w:hAnsi="宋体"/>
          <w:sz w:val="21"/>
          <w:szCs w:val="21"/>
        </w:rPr>
        <w:t>期限：</w:t>
      </w:r>
      <w:r>
        <w:rPr>
          <w:rFonts w:ascii="宋体" w:hAnsi="宋体" w:hint="eastAsia"/>
          <w:sz w:val="21"/>
          <w:szCs w:val="21"/>
        </w:rPr>
        <w:t>9个月。</w:t>
      </w:r>
    </w:p>
    <w:p w:rsidR="00C305B7" w:rsidRDefault="00C305B7" w:rsidP="00C305B7">
      <w:pPr>
        <w:numPr>
          <w:ilvl w:val="0"/>
          <w:numId w:val="1"/>
        </w:numPr>
        <w:spacing w:line="360" w:lineRule="auto"/>
        <w:rPr>
          <w:rFonts w:ascii="宋体" w:hAnsi="宋体" w:hint="eastAsia"/>
          <w:b/>
          <w:sz w:val="21"/>
          <w:szCs w:val="21"/>
        </w:rPr>
      </w:pPr>
      <w:r>
        <w:rPr>
          <w:rFonts w:ascii="宋体" w:hAnsi="宋体" w:hint="eastAsia"/>
          <w:b/>
          <w:sz w:val="21"/>
          <w:szCs w:val="21"/>
        </w:rPr>
        <w:t>验收服务要求</w:t>
      </w:r>
    </w:p>
    <w:p w:rsidR="00C305B7" w:rsidRDefault="00C305B7" w:rsidP="00C305B7">
      <w:pPr>
        <w:spacing w:line="360" w:lineRule="auto"/>
        <w:ind w:firstLineChars="200" w:firstLine="420"/>
        <w:rPr>
          <w:rFonts w:ascii="宋体" w:hAnsi="宋体" w:hint="eastAsia"/>
          <w:sz w:val="21"/>
          <w:szCs w:val="21"/>
        </w:rPr>
      </w:pPr>
      <w:r>
        <w:rPr>
          <w:rFonts w:ascii="宋体" w:hAnsi="宋体" w:hint="eastAsia"/>
          <w:sz w:val="21"/>
          <w:szCs w:val="21"/>
        </w:rPr>
        <w:t>实测上下行对等1000M</w:t>
      </w:r>
    </w:p>
    <w:p w:rsidR="00C305B7" w:rsidRDefault="00C305B7" w:rsidP="00C305B7">
      <w:pPr>
        <w:numPr>
          <w:ilvl w:val="0"/>
          <w:numId w:val="1"/>
        </w:numPr>
        <w:spacing w:line="360" w:lineRule="auto"/>
        <w:rPr>
          <w:rFonts w:ascii="宋体" w:hAnsi="宋体" w:hint="eastAsia"/>
          <w:b/>
          <w:sz w:val="21"/>
          <w:szCs w:val="21"/>
        </w:rPr>
      </w:pPr>
      <w:r>
        <w:rPr>
          <w:rFonts w:ascii="宋体" w:hAnsi="宋体" w:hint="eastAsia"/>
          <w:b/>
          <w:sz w:val="21"/>
          <w:szCs w:val="21"/>
        </w:rPr>
        <w:t>付款方式</w:t>
      </w:r>
    </w:p>
    <w:p w:rsidR="006A66B4" w:rsidRDefault="00C305B7" w:rsidP="00C305B7">
      <w:r>
        <w:rPr>
          <w:rFonts w:ascii="宋体" w:hAnsi="宋体" w:hint="eastAsia"/>
          <w:sz w:val="21"/>
          <w:szCs w:val="21"/>
        </w:rPr>
        <w:t>合同签订后一个月内付款100%。</w:t>
      </w:r>
      <w:bookmarkStart w:id="0" w:name="_GoBack"/>
      <w:bookmarkEnd w:id="0"/>
    </w:p>
    <w:sectPr w:rsidR="006A66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D4497"/>
    <w:multiLevelType w:val="multilevel"/>
    <w:tmpl w:val="1FCD449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53F5"/>
    <w:rsid w:val="006A66B4"/>
    <w:rsid w:val="00C305B7"/>
    <w:rsid w:val="00C35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C72B6-6813-4444-9230-BE79F2B2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5B7"/>
    <w:pPr>
      <w:widowControl w:val="0"/>
      <w:adjustRightInd w:val="0"/>
      <w:spacing w:line="360" w:lineRule="atLeast"/>
      <w:textAlignment w:val="baseline"/>
    </w:pPr>
    <w:rPr>
      <w:rFonts w:ascii="Times New Roman" w:eastAsia="宋体"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李锐</dc:creator>
  <cp:keywords/>
  <dc:description/>
  <cp:lastModifiedBy>李锐</cp:lastModifiedBy>
  <cp:revision>2</cp:revision>
  <dcterms:created xsi:type="dcterms:W3CDTF">2023-03-16T07:04:00Z</dcterms:created>
  <dcterms:modified xsi:type="dcterms:W3CDTF">2023-03-16T07:04:00Z</dcterms:modified>
</cp:coreProperties>
</file>