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snapToGrid w:val="0"/>
        <w:spacing w:before="0" w:after="0"/>
        <w:ind w:firstLine="3092" w:firstLineChars="1100"/>
        <w:jc w:val="both"/>
        <w:rPr>
          <w:rFonts w:ascii="宋体" w:hAnsi="宋体"/>
        </w:rPr>
      </w:pPr>
      <w:bookmarkStart w:id="2" w:name="_GoBack"/>
      <w:bookmarkEnd w:id="2"/>
      <w:bookmarkStart w:id="0" w:name="_Toc485134918"/>
      <w:r>
        <w:rPr>
          <w:rFonts w:hint="eastAsia" w:ascii="宋体" w:hAnsi="宋体"/>
        </w:rPr>
        <w:t>采购需求</w:t>
      </w:r>
      <w:bookmarkEnd w:id="0"/>
    </w:p>
    <w:p>
      <w:pPr>
        <w:spacing w:line="360" w:lineRule="auto"/>
        <w:rPr>
          <w:rFonts w:hint="eastAsia" w:ascii="宋体" w:hAnsi="宋体" w:cs="宋体"/>
          <w:b/>
          <w:sz w:val="21"/>
          <w:szCs w:val="21"/>
        </w:rPr>
      </w:pPr>
    </w:p>
    <w:p>
      <w:pPr>
        <w:rPr>
          <w:rFonts w:hint="eastAsia" w:ascii="宋体" w:hAnsi="宋体" w:cs="宋体"/>
          <w:sz w:val="21"/>
          <w:szCs w:val="21"/>
        </w:rPr>
      </w:pPr>
      <w:r>
        <w:rPr>
          <w:rFonts w:hint="eastAsia" w:ascii="宋体" w:hAnsi="宋体" w:cs="宋体"/>
          <w:sz w:val="21"/>
          <w:szCs w:val="21"/>
        </w:rPr>
        <w:t>一、采购清单</w:t>
      </w:r>
    </w:p>
    <w:tbl>
      <w:tblPr>
        <w:tblStyle w:val="4"/>
        <w:tblW w:w="4998" w:type="pct"/>
        <w:tblInd w:w="0" w:type="dxa"/>
        <w:tblLayout w:type="autofit"/>
        <w:tblCellMar>
          <w:top w:w="0" w:type="dxa"/>
          <w:left w:w="108" w:type="dxa"/>
          <w:bottom w:w="0" w:type="dxa"/>
          <w:right w:w="108" w:type="dxa"/>
        </w:tblCellMar>
      </w:tblPr>
      <w:tblGrid>
        <w:gridCol w:w="753"/>
        <w:gridCol w:w="1979"/>
        <w:gridCol w:w="1798"/>
        <w:gridCol w:w="2505"/>
        <w:gridCol w:w="1484"/>
      </w:tblGrid>
      <w:tr>
        <w:tblPrEx>
          <w:tblCellMar>
            <w:top w:w="0" w:type="dxa"/>
            <w:left w:w="108" w:type="dxa"/>
            <w:bottom w:w="0" w:type="dxa"/>
            <w:right w:w="108" w:type="dxa"/>
          </w:tblCellMar>
        </w:tblPrEx>
        <w:trPr>
          <w:trHeight w:val="510" w:hRule="atLeast"/>
        </w:trPr>
        <w:tc>
          <w:tcPr>
            <w:tcW w:w="44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序号</w:t>
            </w:r>
          </w:p>
        </w:tc>
        <w:tc>
          <w:tcPr>
            <w:tcW w:w="11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货物或服务名称</w:t>
            </w:r>
          </w:p>
        </w:tc>
        <w:tc>
          <w:tcPr>
            <w:tcW w:w="10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数量</w:t>
            </w:r>
          </w:p>
        </w:tc>
        <w:tc>
          <w:tcPr>
            <w:tcW w:w="14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单位</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备注</w:t>
            </w:r>
          </w:p>
        </w:tc>
      </w:tr>
      <w:tr>
        <w:tblPrEx>
          <w:tblCellMar>
            <w:top w:w="0" w:type="dxa"/>
            <w:left w:w="108" w:type="dxa"/>
            <w:bottom w:w="0" w:type="dxa"/>
            <w:right w:w="108" w:type="dxa"/>
          </w:tblCellMar>
        </w:tblPrEx>
        <w:trPr>
          <w:trHeight w:val="27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1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云计算服务</w:t>
            </w:r>
          </w:p>
        </w:tc>
        <w:tc>
          <w:tcPr>
            <w:tcW w:w="10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7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项</w:t>
            </w:r>
          </w:p>
        </w:tc>
        <w:tc>
          <w:tcPr>
            <w:tcW w:w="87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无</w:t>
            </w:r>
          </w:p>
        </w:tc>
      </w:tr>
    </w:tbl>
    <w:p>
      <w:pPr>
        <w:rPr>
          <w:rFonts w:hint="eastAsia" w:ascii="宋体" w:hAnsi="宋体" w:cs="宋体"/>
          <w:b/>
          <w:sz w:val="21"/>
          <w:szCs w:val="21"/>
        </w:rPr>
      </w:pPr>
    </w:p>
    <w:p>
      <w:pPr>
        <w:rPr>
          <w:rFonts w:hint="eastAsia" w:ascii="宋体" w:hAnsi="宋体" w:cs="宋体"/>
          <w:sz w:val="21"/>
          <w:szCs w:val="21"/>
        </w:rPr>
      </w:pPr>
      <w:r>
        <w:rPr>
          <w:rFonts w:hint="eastAsia" w:ascii="宋体" w:hAnsi="宋体" w:cs="宋体"/>
          <w:sz w:val="21"/>
          <w:szCs w:val="21"/>
        </w:rPr>
        <w:t>二、项目背景或简况</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为加快推进北京市政务信息系统整合共享工作，北京市经信局等部门联合制定并发布了《关于印发&lt;关于推进我市政务信息系统整合共享的实施方案&gt;的通知》（京经信委发[2017]89号）文件。同时，结合《关于印发&lt;北京市大数据行动计划2019年重点工作任务&gt;的通知》以及《关于加快政务信息系统入云工作的函》的工作要求，北京市应急指挥保障中心各业务系统已迁移部署至市级政务云平台。</w:t>
      </w:r>
    </w:p>
    <w:p>
      <w:pPr>
        <w:rPr>
          <w:rFonts w:hint="eastAsia" w:ascii="宋体" w:hAnsi="宋体" w:cs="宋体"/>
          <w:sz w:val="21"/>
          <w:szCs w:val="21"/>
        </w:rPr>
      </w:pPr>
      <w:r>
        <w:rPr>
          <w:rFonts w:hint="eastAsia" w:ascii="宋体" w:hAnsi="宋体" w:cs="宋体"/>
          <w:sz w:val="21"/>
          <w:szCs w:val="21"/>
        </w:rPr>
        <w:t>三、技术参数要求</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1、采购目标</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为市应急管理局信息化系统提供可靠、稳定、安全的政务云服务，具体包括：</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（1）提供政务云基础服务，包括计算服务、存储服务和网络服务等基础环境日常维护、应急响应等工作。</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（2）提供7*24运维保障，做好重大活动和节假日应急值守保障服务，确保各系统在政务云环境中可靠稳定运行。</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2、项目服务内容及要求</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报价人按照采购人的有关规定及要求，提供政务云租赁服务。</w:t>
      </w:r>
    </w:p>
    <w:p>
      <w:pPr>
        <w:tabs>
          <w:tab w:val="left" w:pos="567"/>
        </w:tabs>
        <w:spacing w:line="360" w:lineRule="auto"/>
        <w:ind w:left="31" w:firstLine="420"/>
        <w:rPr>
          <w:rFonts w:hint="eastAsia" w:ascii="宋体" w:hAnsi="宋体" w:cs="宋体"/>
          <w:kern w:val="44"/>
          <w:sz w:val="21"/>
          <w:szCs w:val="21"/>
        </w:rPr>
      </w:pPr>
      <w:r>
        <w:rPr>
          <w:rFonts w:hint="eastAsia" w:ascii="宋体" w:hAnsi="宋体" w:cs="宋体"/>
          <w:kern w:val="44"/>
          <w:sz w:val="21"/>
          <w:szCs w:val="21"/>
        </w:rPr>
        <w:t>服务清单如下：</w:t>
      </w:r>
    </w:p>
    <w:tbl>
      <w:tblPr>
        <w:tblStyle w:val="4"/>
        <w:tblW w:w="4997" w:type="pct"/>
        <w:tblInd w:w="0" w:type="dxa"/>
        <w:tblLayout w:type="autofit"/>
        <w:tblCellMar>
          <w:top w:w="0" w:type="dxa"/>
          <w:left w:w="108" w:type="dxa"/>
          <w:bottom w:w="0" w:type="dxa"/>
          <w:right w:w="108" w:type="dxa"/>
        </w:tblCellMar>
      </w:tblPr>
      <w:tblGrid>
        <w:gridCol w:w="753"/>
        <w:gridCol w:w="1205"/>
        <w:gridCol w:w="3053"/>
        <w:gridCol w:w="815"/>
        <w:gridCol w:w="823"/>
        <w:gridCol w:w="1019"/>
        <w:gridCol w:w="849"/>
      </w:tblGrid>
      <w:tr>
        <w:tblPrEx>
          <w:tblCellMar>
            <w:top w:w="0" w:type="dxa"/>
            <w:left w:w="108" w:type="dxa"/>
            <w:bottom w:w="0" w:type="dxa"/>
            <w:right w:w="108" w:type="dxa"/>
          </w:tblCellMar>
        </w:tblPrEx>
        <w:trPr>
          <w:trHeight w:val="270" w:hRule="atLeast"/>
        </w:trPr>
        <w:tc>
          <w:tcPr>
            <w:tcW w:w="442"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bookmarkStart w:id="1" w:name="_MON_1714397399"/>
            <w:bookmarkEnd w:id="1"/>
            <w:r>
              <w:rPr>
                <w:rFonts w:hint="eastAsia" w:ascii="宋体" w:hAnsi="宋体" w:cs="宋体"/>
                <w:b/>
                <w:bCs/>
                <w:sz w:val="21"/>
                <w:szCs w:val="21"/>
                <w:lang w:bidi="ar"/>
              </w:rPr>
              <w:t>服务类别</w:t>
            </w:r>
          </w:p>
        </w:tc>
        <w:tc>
          <w:tcPr>
            <w:tcW w:w="707"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服务子类</w:t>
            </w:r>
          </w:p>
        </w:tc>
        <w:tc>
          <w:tcPr>
            <w:tcW w:w="1791"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服务项</w:t>
            </w:r>
          </w:p>
        </w:tc>
        <w:tc>
          <w:tcPr>
            <w:tcW w:w="478"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计价单位</w:t>
            </w:r>
          </w:p>
        </w:tc>
        <w:tc>
          <w:tcPr>
            <w:tcW w:w="483"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报价单位</w:t>
            </w:r>
          </w:p>
        </w:tc>
        <w:tc>
          <w:tcPr>
            <w:tcW w:w="598"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数量</w:t>
            </w:r>
          </w:p>
        </w:tc>
        <w:tc>
          <w:tcPr>
            <w:tcW w:w="498" w:type="pct"/>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期限（月）</w:t>
            </w:r>
          </w:p>
        </w:tc>
      </w:tr>
      <w:tr>
        <w:tblPrEx>
          <w:tblCellMar>
            <w:top w:w="0" w:type="dxa"/>
            <w:left w:w="108" w:type="dxa"/>
            <w:bottom w:w="0" w:type="dxa"/>
            <w:right w:w="108" w:type="dxa"/>
          </w:tblCellMar>
        </w:tblPrEx>
        <w:trPr>
          <w:trHeight w:val="270" w:hRule="atLeast"/>
        </w:trPr>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计算服务</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x86平台云主机服务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vCPU（主频不低于2.4GHz）</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CPU</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1040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sz w:val="21"/>
                <w:szCs w:val="21"/>
              </w:rPr>
            </w:pP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内存</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GB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5120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525"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x86物理服务器租用服务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x86物理服务器配置1：2路10核2.0Ghz，64G内存，2块600G SAS硬盘,2个HBA卡，2个万兆端口</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台</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525"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sz w:val="21"/>
                <w:szCs w:val="21"/>
              </w:rPr>
            </w:pP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x86物理服务器配置2：4路10核2.0Ghz，128G内存，2块600G SAS硬盘，2个HBA卡，2个万兆端口</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台</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restart"/>
            <w:tcBorders>
              <w:top w:val="single" w:color="000000" w:sz="4" w:space="0"/>
              <w:left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存储服务</w:t>
            </w: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普通性能存储</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普通存储（单盘技术指标: 单盘IOPS 1000-3000 ）</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GB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77511</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left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高性能存储</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高性能存储（单盘技术指标：单盘IOPS 3000-20000 ）</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GB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154812</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525" w:hRule="atLeast"/>
        </w:trPr>
        <w:tc>
          <w:tcPr>
            <w:tcW w:w="442" w:type="pct"/>
            <w:vMerge w:val="continue"/>
            <w:tcBorders>
              <w:left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静态存储</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大容量、高可靠的数据存储服务，具备PB级线性扩展能力，提供静态数据存储</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TB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
                <w:bCs/>
                <w:sz w:val="21"/>
                <w:szCs w:val="21"/>
                <w:lang w:bidi="ar"/>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本地备份服务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通过备份策略实现文件、操作系统、数据库的本地备份（不包含备份存储空间费用）</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1GB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79365</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
                <w:bCs/>
                <w:sz w:val="21"/>
                <w:szCs w:val="21"/>
              </w:rPr>
            </w:pPr>
            <w:r>
              <w:rPr>
                <w:rFonts w:hint="eastAsia" w:ascii="宋体" w:hAnsi="宋体" w:cs="宋体"/>
                <w:b/>
                <w:bCs/>
                <w:sz w:val="21"/>
                <w:szCs w:val="21"/>
                <w:lang w:bidi="ar"/>
              </w:rPr>
              <w:t>网络服务</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互联网链路服务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互联网链路带宽</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Mb</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320</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sz w:val="21"/>
                <w:szCs w:val="21"/>
              </w:rPr>
            </w:pP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互联网IP地址租用服务、并提供备案服务</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IP</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主机负载均衡服务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主机负载均衡服务</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IP（内网）</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27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远程接入服务</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每个账号结合身份验证通过VPN远程接入堡垒机进行维护</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1账号</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47</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r>
        <w:tblPrEx>
          <w:tblCellMar>
            <w:top w:w="0" w:type="dxa"/>
            <w:left w:w="108" w:type="dxa"/>
            <w:bottom w:w="0" w:type="dxa"/>
            <w:right w:w="108" w:type="dxa"/>
          </w:tblCellMar>
        </w:tblPrEx>
        <w:trPr>
          <w:trHeight w:val="788"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bCs/>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WAF防护</w:t>
            </w:r>
          </w:p>
        </w:tc>
        <w:tc>
          <w:tcPr>
            <w:tcW w:w="1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在网站前端架设WAF防护服务，保证用户网站对已知安全隐患进行防护，实时升级漏洞补丁，配置防护策略，可起到前端防护作用。</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 IP（互联网）</w:t>
            </w:r>
          </w:p>
        </w:tc>
        <w:tc>
          <w:tcPr>
            <w:tcW w:w="4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元/月</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r>
    </w:tbl>
    <w:p>
      <w:pPr>
        <w:rPr>
          <w:rFonts w:hint="eastAsia" w:ascii="宋体" w:hAnsi="宋体" w:cs="宋体"/>
          <w:sz w:val="21"/>
          <w:szCs w:val="21"/>
        </w:rPr>
      </w:pPr>
    </w:p>
    <w:p>
      <w:pPr>
        <w:ind w:left="640"/>
        <w:rPr>
          <w:rFonts w:hint="eastAsia" w:ascii="宋体" w:hAnsi="宋体" w:cs="宋体"/>
          <w:b/>
          <w:bCs/>
          <w:sz w:val="21"/>
          <w:szCs w:val="21"/>
        </w:rPr>
      </w:pPr>
      <w:r>
        <w:rPr>
          <w:rFonts w:hint="eastAsia" w:ascii="宋体" w:hAnsi="宋体" w:cs="宋体"/>
          <w:b/>
          <w:bCs/>
          <w:sz w:val="21"/>
          <w:szCs w:val="21"/>
        </w:rPr>
        <w:t>（1）政务云基础服务</w:t>
      </w:r>
    </w:p>
    <w:p>
      <w:pPr>
        <w:numPr>
          <w:ilvl w:val="0"/>
          <w:numId w:val="2"/>
        </w:numPr>
        <w:spacing w:line="360" w:lineRule="auto"/>
        <w:ind w:firstLine="420" w:firstLineChars="200"/>
        <w:rPr>
          <w:rFonts w:hint="eastAsia" w:ascii="宋体" w:hAnsi="宋体" w:cs="宋体"/>
          <w:sz w:val="21"/>
          <w:szCs w:val="21"/>
        </w:rPr>
      </w:pPr>
      <w:r>
        <w:rPr>
          <w:rFonts w:hint="eastAsia" w:ascii="宋体" w:hAnsi="宋体" w:cs="宋体"/>
          <w:sz w:val="21"/>
          <w:szCs w:val="21"/>
        </w:rPr>
        <w:t>计算服务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按照采购人的有关管理规定及应用系统的需求，提供x86平台云主机服务。按照采购人要求对vCPU及内存进行动态调整，自接到工单至完成调整时间不超过4小时。</w:t>
      </w:r>
    </w:p>
    <w:p>
      <w:pPr>
        <w:numPr>
          <w:ilvl w:val="0"/>
          <w:numId w:val="2"/>
        </w:numPr>
        <w:spacing w:line="360" w:lineRule="auto"/>
        <w:ind w:firstLine="420" w:firstLineChars="200"/>
        <w:rPr>
          <w:rFonts w:hint="eastAsia" w:ascii="宋体" w:hAnsi="宋体" w:cs="宋体"/>
          <w:sz w:val="21"/>
          <w:szCs w:val="21"/>
        </w:rPr>
      </w:pPr>
      <w:r>
        <w:rPr>
          <w:rFonts w:hint="eastAsia" w:ascii="宋体" w:hAnsi="宋体" w:cs="宋体"/>
          <w:sz w:val="21"/>
          <w:szCs w:val="21"/>
        </w:rPr>
        <w:t>存储服务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报价人需根据采购需求，提供单盘IOPS 3000-20000的高性能存储服务、单盘IPOS 1000-3000的普通存储服务（包括备份存储空间），以及大容量、高可靠、具备PB级线性扩展能力的静态存储服务。按照采购人要求对存储空间和配置进行动态调整。</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报价人需根据采购需求，提供本地备份服务。通过制定备份策略实现文件、操作系统、数据库的本地备份，并支持云主机快照功能。支持按照备份文件、快照文件的数据恢复。</w:t>
      </w:r>
    </w:p>
    <w:p>
      <w:pPr>
        <w:numPr>
          <w:ilvl w:val="0"/>
          <w:numId w:val="2"/>
        </w:numPr>
        <w:spacing w:line="360" w:lineRule="auto"/>
        <w:ind w:firstLine="420" w:firstLineChars="200"/>
        <w:rPr>
          <w:rFonts w:hint="eastAsia" w:ascii="宋体" w:hAnsi="宋体" w:cs="宋体"/>
          <w:sz w:val="21"/>
          <w:szCs w:val="21"/>
        </w:rPr>
      </w:pPr>
      <w:r>
        <w:rPr>
          <w:rFonts w:hint="eastAsia" w:ascii="宋体" w:hAnsi="宋体" w:cs="宋体"/>
          <w:sz w:val="21"/>
          <w:szCs w:val="21"/>
        </w:rPr>
        <w:t>网络服务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报价人需根据采购需求，提供链路带宽服务及互联网IP地址租用服务，并提供相应的网络域名备案服务，按照管理部门要求,配合系统应用厂商提供网络策略配置服务；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报价人需根据采购需求，提供应用负载均衡服务，实现主机应用集群的负载均衡；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报价人需根据采购需求，提供远程接入服务，每个账号结合身份验证通过VPN远程接入堡垒机维护应用系统；</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报价人需根据采购需求，提供WAF防护服务，通过在前端架设WAF防护服务，保证用户对已知安全隐患进行防护，实时升级漏洞补丁，配置防护策略，起到前端防护作用；</w:t>
      </w:r>
    </w:p>
    <w:p>
      <w:pPr>
        <w:ind w:left="640"/>
        <w:rPr>
          <w:rFonts w:hint="eastAsia" w:ascii="宋体" w:hAnsi="宋体" w:cs="宋体"/>
          <w:b/>
          <w:bCs/>
          <w:sz w:val="21"/>
          <w:szCs w:val="21"/>
        </w:rPr>
      </w:pPr>
      <w:r>
        <w:rPr>
          <w:rFonts w:hint="eastAsia" w:ascii="宋体" w:hAnsi="宋体" w:cs="宋体"/>
          <w:b/>
          <w:bCs/>
          <w:sz w:val="21"/>
          <w:szCs w:val="21"/>
        </w:rPr>
        <w:t>（2）运维及安全保障服务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报价人提供的政务云环境应在安全等保三级基础上，按各业务系统具体安全需求，开展相应等保评估、检查、整改等工作。</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服务规范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报价人须严格按照《北京市市级政务云管理办法》以及采购人制定的管理办法及流程等相关制度，开展标准化运维工作。</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服务方式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报价人需利用监控系统或人工对机房环境、硬件设备及应用系统的运行情况进行7*24小时的不间断巡检监控，及时发现安全隐患，通知相关人员及时处理，并形成监控报告。</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负责设立技术支持热线，并安排专人值守，为运维工作提供7*24小时热线支持服务。报价人针对采购人要求的云平台运维服务相关内容，需指定专业技术能力较强的工程师，根据采购人要求配合开展相关维护服务。</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安全及保密要求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报价人须严格遵守采购人的相关信息安全规定，不得利用系统维护服务时的便利将采购人数据及其他信息进行擅自修改或透漏给第三方。</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响应的及时性</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应当提供高效的系统维护服务，有效防范系统风险，系统对应负责人7*24小时电话畅通，能够在系统发生除宕机外的其他故障问题时，能够协调人力资源在1小时内到达运维现场提供服务。系统发生宕机问题时，供应商应在30分钟内响应，在4个小时之内使系统恢复正常，故障处理完毕后提供相关系统宕机报告。</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重点保障要求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报价人应具备完善的系统服务保障体系，配备足够的技术人员，在重大节假日、重大活动及业务高峰期内加大运维保障力度，保证期间系统平稳运行。</w:t>
      </w:r>
    </w:p>
    <w:p>
      <w:pPr>
        <w:numPr>
          <w:ilvl w:val="0"/>
          <w:numId w:val="3"/>
        </w:numPr>
        <w:spacing w:line="360" w:lineRule="auto"/>
        <w:ind w:firstLine="420" w:firstLineChars="200"/>
        <w:rPr>
          <w:rFonts w:hint="eastAsia" w:ascii="宋体" w:hAnsi="宋体" w:cs="宋体"/>
          <w:sz w:val="21"/>
          <w:szCs w:val="21"/>
        </w:rPr>
      </w:pPr>
      <w:r>
        <w:rPr>
          <w:rFonts w:hint="eastAsia" w:ascii="宋体" w:hAnsi="宋体" w:cs="宋体"/>
          <w:sz w:val="21"/>
          <w:szCs w:val="21"/>
        </w:rPr>
        <w:t>服务团队要求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该项目服务团队要求配备1名项目负责人（项目经理）及若干名项目团队专职人员，为本项目提供实施服务工作。其中：</w:t>
      </w:r>
    </w:p>
    <w:p>
      <w:pPr>
        <w:spacing w:line="360" w:lineRule="auto"/>
        <w:ind w:firstLine="420" w:firstLineChars="200"/>
        <w:rPr>
          <w:rFonts w:hint="eastAsia" w:ascii="宋体" w:hAnsi="宋体" w:cs="宋体"/>
          <w:color w:val="000000"/>
          <w:sz w:val="21"/>
          <w:szCs w:val="21"/>
        </w:rPr>
      </w:pPr>
      <w:r>
        <w:rPr>
          <w:rFonts w:hint="eastAsia" w:ascii="宋体" w:hAnsi="宋体" w:cs="宋体"/>
          <w:sz w:val="21"/>
          <w:szCs w:val="21"/>
        </w:rPr>
        <w:t>项目经</w:t>
      </w:r>
      <w:r>
        <w:rPr>
          <w:rFonts w:hint="eastAsia" w:ascii="宋体" w:hAnsi="宋体" w:cs="宋体"/>
          <w:color w:val="000000"/>
          <w:sz w:val="21"/>
          <w:szCs w:val="21"/>
        </w:rPr>
        <w:t>理具有</w:t>
      </w:r>
      <w:r>
        <w:rPr>
          <w:rFonts w:hint="eastAsia" w:ascii="宋体" w:hAnsi="宋体" w:cs="宋体"/>
          <w:sz w:val="21"/>
          <w:szCs w:val="21"/>
        </w:rPr>
        <w:t>信息系统高级项目管理师证书；</w:t>
      </w:r>
    </w:p>
    <w:p>
      <w:pPr>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技术负责人具有ITIL或CISP证书；</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团队成员（除项目经理和技术负责人之外）具有OCP、ITIL或CISP等证书。</w:t>
      </w:r>
    </w:p>
    <w:p>
      <w:pPr>
        <w:ind w:left="640"/>
        <w:rPr>
          <w:rFonts w:hint="eastAsia" w:ascii="宋体" w:hAnsi="宋体" w:cs="宋体"/>
          <w:b/>
          <w:bCs/>
          <w:sz w:val="21"/>
          <w:szCs w:val="21"/>
        </w:rPr>
      </w:pPr>
      <w:r>
        <w:rPr>
          <w:rFonts w:hint="eastAsia" w:ascii="宋体" w:hAnsi="宋体" w:cs="宋体"/>
          <w:b/>
          <w:bCs/>
          <w:sz w:val="21"/>
          <w:szCs w:val="21"/>
        </w:rPr>
        <w:t>（3）业务系统迁移及部署调整要求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由于目前业务系统属于生产系统，保障业务系统连续性是关键。如涉及跨云平台迁移，需在不中断业务的前提下，自合同生效之日起一周内完成全部系统迁移。供应商需具备类似项目经验，可根据业务特点制定应用系统迁移部署方案，配合用户完成系统迁移部署、运行和安全保障，最终保证现有业务系统可平滑迁移至中标单位云平台。具体要求如下：</w:t>
      </w:r>
    </w:p>
    <w:p>
      <w:pPr>
        <w:numPr>
          <w:ilvl w:val="0"/>
          <w:numId w:val="4"/>
        </w:numPr>
        <w:spacing w:line="360" w:lineRule="auto"/>
        <w:ind w:firstLine="420" w:firstLineChars="200"/>
        <w:rPr>
          <w:rFonts w:hint="eastAsia" w:ascii="宋体" w:hAnsi="宋体" w:cs="宋体"/>
          <w:sz w:val="21"/>
          <w:szCs w:val="21"/>
        </w:rPr>
      </w:pPr>
      <w:r>
        <w:rPr>
          <w:rFonts w:hint="eastAsia" w:ascii="宋体" w:hAnsi="宋体" w:cs="宋体"/>
          <w:sz w:val="21"/>
          <w:szCs w:val="21"/>
        </w:rPr>
        <w:t>根据采购人需求，完成应用系统的迁移部署，迁移过程中保证应用系统不中断。</w:t>
      </w:r>
    </w:p>
    <w:p>
      <w:pPr>
        <w:numPr>
          <w:ilvl w:val="0"/>
          <w:numId w:val="4"/>
        </w:numPr>
        <w:spacing w:line="360" w:lineRule="auto"/>
        <w:ind w:firstLine="420" w:firstLineChars="200"/>
        <w:rPr>
          <w:rFonts w:hint="eastAsia" w:ascii="宋体" w:hAnsi="宋体" w:cs="宋体"/>
          <w:sz w:val="21"/>
          <w:szCs w:val="21"/>
        </w:rPr>
      </w:pPr>
      <w:r>
        <w:rPr>
          <w:rFonts w:hint="eastAsia" w:ascii="宋体" w:hAnsi="宋体" w:cs="宋体"/>
          <w:sz w:val="21"/>
          <w:szCs w:val="21"/>
        </w:rPr>
        <w:t>自合同生效之日起7日内，根据用户需求完成系统迁移工作，并且不能改变和影响原有系统的功能、技术状态以及用户的使用习惯。未按时完成系统迁移工作的，采购人有权解除合同并有权要求供应商按合同首付款双倍支付违约金。</w:t>
      </w:r>
    </w:p>
    <w:p>
      <w:pPr>
        <w:numPr>
          <w:ilvl w:val="0"/>
          <w:numId w:val="4"/>
        </w:numPr>
        <w:spacing w:line="360" w:lineRule="auto"/>
        <w:ind w:firstLine="420" w:firstLineChars="200"/>
        <w:rPr>
          <w:rFonts w:hint="eastAsia" w:ascii="宋体" w:hAnsi="宋体" w:cs="宋体"/>
          <w:sz w:val="21"/>
          <w:szCs w:val="21"/>
        </w:rPr>
      </w:pPr>
      <w:r>
        <w:rPr>
          <w:rFonts w:hint="eastAsia" w:ascii="宋体" w:hAnsi="宋体" w:cs="宋体"/>
          <w:sz w:val="21"/>
          <w:szCs w:val="21"/>
        </w:rPr>
        <w:t>针对已经运行在政务云平台上的应用系统，为确保迁移过程中数据不丢失、系统业务不中断，本次成交人负责与原政务云平台的服务商进行主动对接，系统迁移涉及的所有费用（包括但不限于成交人迁移测试阶段的云资源费用，系统开发商对业务系统的部署、调试费用，原服务商配合迁出系统的服务费用等）由本次成交人负责解决。</w:t>
      </w:r>
    </w:p>
    <w:p>
      <w:pPr>
        <w:rPr>
          <w:rFonts w:hint="eastAsia" w:ascii="宋体" w:hAnsi="宋体" w:cs="宋体"/>
          <w:sz w:val="21"/>
          <w:szCs w:val="21"/>
        </w:rPr>
      </w:pPr>
      <w:r>
        <w:rPr>
          <w:rFonts w:hint="eastAsia" w:ascii="宋体" w:hAnsi="宋体" w:cs="宋体"/>
          <w:sz w:val="21"/>
          <w:szCs w:val="21"/>
        </w:rPr>
        <w:t>四、售后服务要求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1、成交人应提供电话、邮件等方式解答、响应采购人的服务请求和故障申报。</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2、对采购人的服务请求，若成交人无法通过电话或邮件方式解决的，应在接到采购人通知</w:t>
      </w:r>
      <w:r>
        <w:rPr>
          <w:rFonts w:hint="eastAsia" w:ascii="宋体" w:hAnsi="宋体" w:cs="宋体"/>
          <w:sz w:val="21"/>
          <w:szCs w:val="21"/>
          <w:u w:val="single"/>
        </w:rPr>
        <w:t xml:space="preserve"> 1 </w:t>
      </w:r>
      <w:r>
        <w:rPr>
          <w:rFonts w:hint="eastAsia" w:ascii="宋体" w:hAnsi="宋体" w:cs="宋体"/>
          <w:sz w:val="21"/>
          <w:szCs w:val="21"/>
        </w:rPr>
        <w:t>小时内，提供及时的现场支持服务;采购人政务云机房提供7*24小时全天候运维值守服务。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3、云平台平均可用性99.99%；提供普通和高性能存储服务，要求稳定可靠，结合其他技术，确保数据可靠性99.9999%。</w:t>
      </w:r>
    </w:p>
    <w:p>
      <w:pPr>
        <w:rPr>
          <w:rFonts w:hint="eastAsia" w:ascii="宋体" w:hAnsi="宋体" w:cs="宋体"/>
          <w:sz w:val="21"/>
          <w:szCs w:val="21"/>
        </w:rPr>
      </w:pPr>
      <w:r>
        <w:rPr>
          <w:rFonts w:hint="eastAsia" w:ascii="宋体" w:hAnsi="宋体" w:cs="宋体"/>
          <w:sz w:val="21"/>
          <w:szCs w:val="21"/>
        </w:rPr>
        <w:t>五、交货时间及地点（服务期限）</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1、★服务期限/服务期/服务时间：1年。</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2、★服务地点：采购人指定地点。</w:t>
      </w:r>
    </w:p>
    <w:p>
      <w:pPr>
        <w:rPr>
          <w:rFonts w:hint="eastAsia" w:ascii="宋体" w:hAnsi="宋体" w:cs="宋体"/>
          <w:sz w:val="21"/>
          <w:szCs w:val="21"/>
        </w:rPr>
      </w:pPr>
      <w:r>
        <w:rPr>
          <w:rFonts w:hint="eastAsia" w:ascii="宋体" w:hAnsi="宋体" w:cs="宋体"/>
          <w:sz w:val="21"/>
          <w:szCs w:val="21"/>
        </w:rPr>
        <w:t>六、验收服务要求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成交人所提供资源应满足磋商文件规定的要求。保证合同期内系统安全稳定运行，不因硬件故障导致服务中断12小时。服务期满后30个工作日开始对合同项目进行验收。成交人应当在采购人指定的验收日前向采购人提交验收报告。验收报告的内容包括但不限于，合同规定的各项服务清单，各系统设备运行情况。</w:t>
      </w:r>
    </w:p>
    <w:p>
      <w:pPr>
        <w:rPr>
          <w:rFonts w:hint="eastAsia" w:ascii="宋体" w:hAnsi="宋体" w:cs="宋体"/>
          <w:sz w:val="21"/>
          <w:szCs w:val="21"/>
        </w:rPr>
      </w:pPr>
      <w:r>
        <w:rPr>
          <w:rFonts w:hint="eastAsia" w:ascii="宋体" w:hAnsi="宋体" w:cs="宋体"/>
          <w:sz w:val="21"/>
          <w:szCs w:val="21"/>
        </w:rPr>
        <w:t>七、付款方式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本项目付款方式：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1、本合同签订后且财政经费下达后15</w:t>
      </w:r>
      <w:r>
        <w:rPr>
          <w:rFonts w:hint="eastAsia" w:ascii="宋体" w:hAnsi="宋体" w:cs="宋体"/>
          <w:sz w:val="21"/>
          <w:szCs w:val="21"/>
          <w:lang w:eastAsia="zh-CN"/>
        </w:rPr>
        <w:t>个工作</w:t>
      </w:r>
      <w:r>
        <w:rPr>
          <w:rFonts w:hint="eastAsia" w:ascii="宋体" w:hAnsi="宋体" w:cs="宋体"/>
          <w:sz w:val="21"/>
          <w:szCs w:val="21"/>
        </w:rPr>
        <w:t xml:space="preserve">日内，支付合同服务费用的60%；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2、服务合同到期且财政经费</w:t>
      </w:r>
      <w:r>
        <w:rPr>
          <w:rFonts w:hint="eastAsia" w:ascii="宋体" w:hAnsi="宋体" w:cs="宋体"/>
          <w:sz w:val="21"/>
          <w:szCs w:val="21"/>
          <w:lang w:eastAsia="zh-CN"/>
        </w:rPr>
        <w:t>下达后，并</w:t>
      </w:r>
      <w:r>
        <w:rPr>
          <w:rFonts w:hint="eastAsia" w:ascii="宋体" w:hAnsi="宋体" w:cs="宋体"/>
          <w:sz w:val="21"/>
          <w:szCs w:val="21"/>
        </w:rPr>
        <w:t>通过验收后15个工作日内,支付合同服务费用的40%。</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FCF7B"/>
    <w:multiLevelType w:val="singleLevel"/>
    <w:tmpl w:val="C78FCF7B"/>
    <w:lvl w:ilvl="0" w:tentative="0">
      <w:start w:val="1"/>
      <w:numFmt w:val="decimalEnclosedCircleChinese"/>
      <w:suff w:val="nothing"/>
      <w:lvlText w:val="%1　"/>
      <w:lvlJc w:val="left"/>
      <w:pPr>
        <w:ind w:left="0" w:firstLine="400"/>
      </w:pPr>
      <w:rPr>
        <w:rFonts w:hint="eastAsia"/>
      </w:rPr>
    </w:lvl>
  </w:abstractNum>
  <w:abstractNum w:abstractNumId="1">
    <w:nsid w:val="D52B9776"/>
    <w:multiLevelType w:val="singleLevel"/>
    <w:tmpl w:val="D52B9776"/>
    <w:lvl w:ilvl="0" w:tentative="0">
      <w:start w:val="1"/>
      <w:numFmt w:val="decimalEnclosedCircleChinese"/>
      <w:suff w:val="nothing"/>
      <w:lvlText w:val="%1　"/>
      <w:lvlJc w:val="left"/>
      <w:pPr>
        <w:ind w:left="0" w:firstLine="400"/>
      </w:pPr>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69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3616406"/>
    <w:multiLevelType w:val="singleLevel"/>
    <w:tmpl w:val="13616406"/>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YWE0MTc4MWEwMTBjZmJmZTE3ODY4YjRlNmJkN2YifQ=="/>
  </w:docVars>
  <w:rsids>
    <w:rsidRoot w:val="00000000"/>
    <w:rsid w:val="6BCC149B"/>
    <w:rsid w:val="76405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left="210" w:leftChars="100" w:firstLine="420" w:firstLineChars="200"/>
    </w:pPr>
    <w:rPr>
      <w:rFonts w:ascii="宋体" w:hAnsi="宋体"/>
    </w:rPr>
  </w:style>
  <w:style w:type="paragraph" w:customStyle="1" w:styleId="6">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3024</Words>
  <Characters>3249</Characters>
  <Lines>0</Lines>
  <Paragraphs>0</Paragraphs>
  <TotalTime>0</TotalTime>
  <ScaleCrop>false</ScaleCrop>
  <LinksUpToDate>false</LinksUpToDate>
  <CharactersWithSpaces>3272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2023-04-10T09:06:00Z</dcterms:created>
  <dc:creator>admin</dc:creator>
  <cp:lastModifiedBy>阿欢</cp:lastModifiedBy>
  <dcterms:modified xsi:type="dcterms:W3CDTF">2023-04-11T01:32:09Z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B31015985C574401912E0F1EBE5DD1B9_12</vt:lpwstr>
  </property>
</Properties>
</file>