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snapToGrid w:val="0"/>
        <w:spacing w:before="0" w:after="0"/>
        <w:ind w:left="288" w:leftChars="0"/>
        <w:jc w:val="center"/>
        <w:rPr>
          <w:rFonts w:ascii="宋体" w:hAnsi="宋体"/>
        </w:rPr>
      </w:pPr>
      <w:bookmarkStart w:id="0" w:name="_Toc466015313"/>
      <w:r>
        <w:rPr>
          <w:rFonts w:hint="eastAsia" w:ascii="宋体" w:hAnsi="宋体"/>
          <w:lang w:val="en-US" w:eastAsia="zh-CN"/>
        </w:rPr>
        <w:t>G23298</w:t>
      </w:r>
      <w:bookmarkStart w:id="1" w:name="_GoBack"/>
      <w:bookmarkEnd w:id="1"/>
      <w:r>
        <w:rPr>
          <w:rFonts w:hint="eastAsia" w:ascii="宋体" w:hAnsi="宋体"/>
        </w:rPr>
        <w:t>采购需求</w:t>
      </w:r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采购清单</w:t>
      </w:r>
    </w:p>
    <w:tbl>
      <w:tblPr>
        <w:tblStyle w:val="3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61"/>
        <w:gridCol w:w="547"/>
        <w:gridCol w:w="4528"/>
        <w:gridCol w:w="636"/>
        <w:gridCol w:w="457"/>
        <w:gridCol w:w="770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地块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材质及参数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中小企业所属行业划分标准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岗亭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不锈钢,尺寸1500mm*1200mm*2700mm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不锈钢,尺寸1500mm*1200mm*2700mm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不锈钢,尺寸1500mm*1200mm*2700mm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不锈钢,尺寸1500mm*1200mm*2700mm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不锈钢,尺寸1500mm*1200mm*2700mm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不锈钢,尺寸1500mm*1200mm*2700mm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不锈钢,尺寸1500mm*1200mm*2700mm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C03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不锈钢,尺寸1500mm*2000mm*2700mm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不锈钢,尺寸1500mm*2000mm*2700mm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（合金型材）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大门+人行小门（带门禁），烤漆，尺寸6100mm*2300mm、6100mm*2300mm、7100*2300mm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大门+人行小门（带门禁），烤漆，尺寸8200mm*2300mm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内庭院入口处设大门，烤漆，尺寸7300mm*2300mm,人行小门（带门禁），烤漆，尺寸1640mm*2300mm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内庭院入口设大门+人行小门（带门禁），烤漆，尺寸9000mm*2300mm；                                        2处非机动车入口各设置人行小门，钢质烤漆，尺寸1200mm*2300mm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大门+人行小门（带门禁），烤漆，尺寸8200mm*2300mm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内庭院入口处设大门，烤漆，尺寸6600mm*2300mm；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人行小门（带门禁），烤漆，尺寸1640mm*2300mm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内庭院入口处设大门+人行小门（带门禁），烤漆，尺寸5700mm*2300mm； 1处非机动车入口设人行小门，烤漆，尺寸1200mm*2300mm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C03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庭院东南入口平开门，大小扇开启，烤漆，尺寸5500mm*2000mm；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庭院西北入口设大门两扇对开，烤漆，尺寸2000mm*9000mm；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庭院西北入口人行小门（带门禁），烤漆，尺寸1800mm*2000mm；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下沉庭院设人行小门（带门禁），两扇对开，烤漆，尺寸3000mm*2000mm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庭院东北入口设大门，大小扇开启，烤漆，尺寸5700mm*2000mm；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庭院西南入口设大门，大小扇开启，烤漆，尺寸6200mm*2000mm；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东北侧车行入口设人行小门（带门禁），烤漆，尺寸1800mm*2000mm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下沉庭院设人行小门（带门禁），两扇对开，烤漆，尺寸3000mm*2000mm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围栏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铁艺栅栏1处，位于内庭院入口，总长度28000mm，高2300mm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铁艺栅栏1处，位于内庭院入口，总长度10700mm，高2300mm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铁艺栅栏1处，位于内庭院入口，总长度8450mm，高2300mm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8.45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铁艺栅栏，内庭院入口19500mm，非机动车入口，高3000mm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铁艺栅栏1处，位于内庭院入口，总长度6400mm，高2300mm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铁艺栅栏1处，位于内庭院入口，总长度8450mm，高2300mm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8.45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铁艺栅栏，内庭院入口19500mm，非机动车入口，高3000mm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C03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铁艺栅栏1处，庭院东南入口，总长度3000mm，高2000mm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铁艺栅栏，庭院东北入口、东北侧车行入口,总长度4300mm，高2000mm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C08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铁艺栅栏，北庭院北侧消防车行入口、北庭院东侧消防车入口、南庭院西侧消防车行入口、南庭院南侧消防车行入口，总长度8900mm，高2300mm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项目背景或简况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副中心行政办公区二期工程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，计划9月底完工具备交付条件，地块门区安防设施实现办公区域围合及安保值守条件。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技术参数要求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成品岗亭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a.整体为钢结构，立面3面为透视玻璃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b.设置可伸缩遮阳板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c.岗亭内部含照明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d.1匹空调（一级能耗）（需提供所投产品由国家确定的认证机构出具的、处于有效期之内的节能产品认证证书复印件，否则，做无效投标处理。）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e.220V两孔及三孔电源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f.岗亭框架主龙骨80mm×80mm镀锌钢管，壁厚3mm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g.顶板主、次龙骨及岗亭背板次龙骨50mm×50mm镀锌钢管,壁厚2mm，间距不大于300mm；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h.底板框架龙骨100mm×100mm镀锌钢管，壁厚3mm，间距不大于200mm。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i.玻璃采用6+12+6中空钢化玻璃。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j.门体采用12mm钢化玻璃，安装吊轨吊轮；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k.整体喷漆，环氧底漆及氟碳喷涂面漆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l.岗亭钢结构部分填充不可燃保温填充材料。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铁艺围栏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a.大门、人行小门及围栏主框架为镀锌钢管或铝型材，壁厚不低于5mm。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b.护栏立杆间距不大于140mm。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c.门体内立柱为镀锌钢管或铝型材，壁厚不低于3mm。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大门和围栏具体样式及颜色与办公楼及周边环境统一，需中标后深化设计确定。大门、人行小门需预留门禁条件，具体中标后深化设计。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投标人需保证服务质量合格，服务过程安全。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售后服务及培训要求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安装调试完成后交付及使用培训。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交货时间及地点（服务期限）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合同签定后20天内完成安装调试验收，地点为副中心行政办公区二期9个地块。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验收服务要求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配合验收。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付款方式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289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 w:bidi="ar-SA"/>
        </w:rPr>
        <w:t>合同生效后5个工作日内支付30%，材料全部进场安装完成后5个工作日内支付40%，验收合格后10个工作日内支付30%尾款。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02366C"/>
    <w:multiLevelType w:val="singleLevel"/>
    <w:tmpl w:val="B10236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1FCD4497"/>
    <w:multiLevelType w:val="multilevel"/>
    <w:tmpl w:val="1FCD449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407E0"/>
    <w:rsid w:val="5DD4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1 + 四号 居中 段前: 12 磅 段后: 12 磅 行距: 单倍行距"/>
    <w:basedOn w:val="2"/>
    <w:qFormat/>
    <w:uiPriority w:val="0"/>
    <w:pPr>
      <w:spacing w:before="240" w:after="240" w:line="240" w:lineRule="auto"/>
      <w:ind w:left="-288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2023-09-21T06:46:00Z</dcterms:created>
  <dc:creator>情兮亦若璃</dc:creator>
  <cp:lastModifiedBy>情兮亦若璃</cp:lastModifiedBy>
  <dcterms:modified xsi:type="dcterms:W3CDTF">2023-09-21T06:47:30Z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