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snapToGrid w:val="0"/>
        <w:spacing w:before="0" w:after="0"/>
        <w:ind w:left="288" w:leftChars="0"/>
        <w:jc w:val="center"/>
        <w:rPr>
          <w:rFonts w:ascii="宋体" w:hAnsi="宋体"/>
        </w:rPr>
      </w:pPr>
      <w:bookmarkStart w:id="0" w:name="_Toc20432"/>
      <w:r>
        <w:rPr>
          <w:rFonts w:hint="eastAsia" w:ascii="宋体" w:hAnsi="宋体"/>
        </w:rPr>
        <w:t>采购需求</w:t>
      </w:r>
      <w:bookmarkEnd w:id="0"/>
    </w:p>
    <w:p>
      <w:pPr>
        <w:pStyle w:val="8"/>
        <w:numPr>
          <w:ilvl w:val="0"/>
          <w:numId w:val="2"/>
        </w:numPr>
        <w:ind w:firstLineChars="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采购清单</w:t>
      </w:r>
    </w:p>
    <w:tbl>
      <w:tblPr>
        <w:tblStyle w:val="5"/>
        <w:tblW w:w="8260" w:type="dxa"/>
        <w:tblInd w:w="93" w:type="dxa"/>
        <w:tblLayout w:type="fixed"/>
        <w:tblCellMar>
          <w:top w:w="0" w:type="dxa"/>
          <w:left w:w="108" w:type="dxa"/>
          <w:bottom w:w="0" w:type="dxa"/>
          <w:right w:w="108" w:type="dxa"/>
        </w:tblCellMar>
      </w:tblPr>
      <w:tblGrid>
        <w:gridCol w:w="683"/>
        <w:gridCol w:w="1202"/>
        <w:gridCol w:w="3549"/>
        <w:gridCol w:w="942"/>
        <w:gridCol w:w="942"/>
        <w:gridCol w:w="942"/>
      </w:tblGrid>
      <w:tr>
        <w:tblPrEx>
          <w:tblLayout w:type="fixed"/>
          <w:tblCellMar>
            <w:top w:w="0" w:type="dxa"/>
            <w:left w:w="108" w:type="dxa"/>
            <w:bottom w:w="0" w:type="dxa"/>
            <w:right w:w="108" w:type="dxa"/>
          </w:tblCellMar>
        </w:tblPrEx>
        <w:trPr>
          <w:trHeight w:val="514" w:hRule="atLeast"/>
        </w:trPr>
        <w:tc>
          <w:tcPr>
            <w:tcW w:w="683"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Theme="minorEastAsia" w:hAnsiTheme="minorEastAsia" w:eastAsiaTheme="minorEastAsia" w:cstheme="minorEastAsia"/>
                <w:color w:val="000000"/>
                <w:sz w:val="21"/>
                <w:szCs w:val="21"/>
              </w:rPr>
            </w:pPr>
            <w:r>
              <w:rPr>
                <w:rStyle w:val="9"/>
                <w:rFonts w:asciiTheme="minorEastAsia" w:hAnsiTheme="minorEastAsia" w:eastAsiaTheme="minorEastAsia" w:cstheme="minorEastAsia"/>
                <w:lang w:bidi="ar"/>
              </w:rPr>
              <w:t>序号</w:t>
            </w:r>
          </w:p>
        </w:tc>
        <w:tc>
          <w:tcPr>
            <w:tcW w:w="1202"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Theme="minorEastAsia" w:hAnsiTheme="minorEastAsia" w:eastAsiaTheme="minorEastAsia" w:cstheme="minorEastAsia"/>
                <w:color w:val="000000"/>
                <w:sz w:val="21"/>
                <w:szCs w:val="21"/>
              </w:rPr>
            </w:pPr>
            <w:r>
              <w:rPr>
                <w:rStyle w:val="9"/>
                <w:rFonts w:asciiTheme="minorEastAsia" w:hAnsiTheme="minorEastAsia" w:eastAsiaTheme="minorEastAsia" w:cstheme="minorEastAsia"/>
                <w:lang w:bidi="ar"/>
              </w:rPr>
              <w:t>服务名称</w:t>
            </w:r>
          </w:p>
        </w:tc>
        <w:tc>
          <w:tcPr>
            <w:tcW w:w="3549"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Theme="minorEastAsia" w:hAnsiTheme="minorEastAsia" w:eastAsiaTheme="minorEastAsia" w:cstheme="minorEastAsia"/>
                <w:color w:val="000000"/>
                <w:sz w:val="21"/>
                <w:szCs w:val="21"/>
              </w:rPr>
            </w:pPr>
            <w:r>
              <w:rPr>
                <w:rStyle w:val="9"/>
                <w:rFonts w:asciiTheme="minorEastAsia" w:hAnsiTheme="minorEastAsia" w:eastAsiaTheme="minorEastAsia" w:cstheme="minorEastAsia"/>
                <w:lang w:bidi="ar"/>
              </w:rPr>
              <w:t>服务描述</w:t>
            </w:r>
          </w:p>
        </w:tc>
        <w:tc>
          <w:tcPr>
            <w:tcW w:w="942"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Theme="minorEastAsia" w:hAnsiTheme="minorEastAsia" w:eastAsiaTheme="minorEastAsia" w:cstheme="minorEastAsia"/>
                <w:color w:val="000000"/>
                <w:sz w:val="21"/>
                <w:szCs w:val="21"/>
              </w:rPr>
            </w:pPr>
            <w:r>
              <w:rPr>
                <w:rStyle w:val="9"/>
                <w:rFonts w:asciiTheme="minorEastAsia" w:hAnsiTheme="minorEastAsia" w:eastAsiaTheme="minorEastAsia" w:cstheme="minorEastAsia"/>
                <w:lang w:bidi="ar"/>
              </w:rPr>
              <w:t>计费单位</w:t>
            </w:r>
          </w:p>
        </w:tc>
        <w:tc>
          <w:tcPr>
            <w:tcW w:w="942"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Theme="minorEastAsia" w:hAnsiTheme="minorEastAsia" w:eastAsiaTheme="minorEastAsia" w:cstheme="minorEastAsia"/>
                <w:color w:val="000000"/>
                <w:sz w:val="21"/>
                <w:szCs w:val="21"/>
              </w:rPr>
            </w:pPr>
            <w:r>
              <w:rPr>
                <w:rStyle w:val="9"/>
                <w:rFonts w:asciiTheme="minorEastAsia" w:hAnsiTheme="minorEastAsia" w:eastAsiaTheme="minorEastAsia" w:cstheme="minorEastAsia"/>
                <w:lang w:bidi="ar"/>
              </w:rPr>
              <w:t>数量</w:t>
            </w:r>
          </w:p>
        </w:tc>
        <w:tc>
          <w:tcPr>
            <w:tcW w:w="942"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服务期限（月）</w:t>
            </w:r>
          </w:p>
        </w:tc>
      </w:tr>
      <w:tr>
        <w:tblPrEx>
          <w:tblLayout w:type="fixed"/>
          <w:tblCellMar>
            <w:top w:w="0" w:type="dxa"/>
            <w:left w:w="108" w:type="dxa"/>
            <w:bottom w:w="0" w:type="dxa"/>
            <w:right w:w="108" w:type="dxa"/>
          </w:tblCellMar>
        </w:tblPrEx>
        <w:trPr>
          <w:trHeight w:val="7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X86平台云主机服务-vCPU</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主频不低于2.4GHz</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元/vCPU/月</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944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7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X87平台云主机服务-内存</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内存</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元/GB/月</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3744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51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普通性能存储</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单盘技术指标：单盘IOPS 1000-3000）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元/GB/月</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79800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51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高性能存储1</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单盘技术指标：单盘IOPS 3000-20000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元/GB/月</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2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静态存储</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提供静态存储服务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元/TB/月</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51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远程接入服务</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远程接入运维，每个账号结合身份验证，通过VPN远程接入堡垒机进行维护</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元/账号/月</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2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VPN服务</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SSL VPN 接入</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元/套/月</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2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WAF防护</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web应用防火墙服务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元/IP/月</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51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商用操作系统套餐</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国产Linux套餐：国产Linux操作系统服务租用、安装及维护。</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元/主机/月</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2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主机防护</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主机防护</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元/台</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51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主机漏洞扫描</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提供不主机漏洞扫描服务。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元/台</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51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主机日志分析</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提供主机日志分析服务。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元/台</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51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数据库审计服务</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提供数据库审计服务。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元/台</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7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密码应用服务</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包括：统一身份认证服务、SSL应用网关、密钥管理服务、密码态势分析服务、签名验证服务、加解密服务等</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元/台</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10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数据脱敏</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敏感数据自动识别，自定义敏感数据特征和脱敏算法。支持关联应用帐号权限。用于运维脱敏、应用脱敏、API接口脱敏等业务场景。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元/套/月</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51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密钥管理系统</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创建和管理密钥，满足多应用多业务的密钥管理需求，符合监管和合规要求。</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元/套/月</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56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安全运营中心</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提供一站式、可视化、自动化的云上安全运营管理。</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元/套/月</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51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内存数据库</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Redis, 32G 1主3副本8分片，集群架构</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元/套/月</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51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分布式数据库</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1主1从,8核32G</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元/套/月</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2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智能搜索</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8核CPU、32G内存、500G SSD云硬盘</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元/套/月</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r>
        <w:tblPrEx>
          <w:tblLayout w:type="fixed"/>
          <w:tblCellMar>
            <w:top w:w="0" w:type="dxa"/>
            <w:left w:w="108" w:type="dxa"/>
            <w:bottom w:w="0" w:type="dxa"/>
            <w:right w:w="108" w:type="dxa"/>
          </w:tblCellMar>
        </w:tblPrEx>
        <w:trPr>
          <w:trHeight w:val="2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消息队列</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峰值流量100M、500G SSD云硬盘</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元/套/月</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r>
    </w:tbl>
    <w:p>
      <w:pPr>
        <w:rPr>
          <w:rFonts w:asciiTheme="minorEastAsia" w:hAnsiTheme="minorEastAsia" w:eastAsiaTheme="minorEastAsia" w:cstheme="minorEastAsia"/>
          <w:b/>
          <w:sz w:val="21"/>
          <w:szCs w:val="21"/>
        </w:rPr>
      </w:pPr>
    </w:p>
    <w:p>
      <w:pPr>
        <w:rPr>
          <w:rFonts w:asciiTheme="minorEastAsia" w:hAnsiTheme="minorEastAsia" w:eastAsiaTheme="minorEastAsia" w:cstheme="minorEastAsia"/>
          <w:b/>
          <w:sz w:val="21"/>
          <w:szCs w:val="21"/>
        </w:rPr>
      </w:pPr>
    </w:p>
    <w:p>
      <w:pPr>
        <w:ind w:left="42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二、项目背景或简况</w:t>
      </w:r>
    </w:p>
    <w:p>
      <w:pPr>
        <w:ind w:firstLine="420" w:firstLineChars="200"/>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为提升北京市文化和旅游行业服务和治理水平，围绕北京“全国文化中心”、“消费中心城市”、“全球数字经济标杆城市”定位，立足首都深厚的文化底蕴和丰富的旅游资源，建设资源汇聚、互联共享、智能高效的北京智慧文旅平台，促进文旅行业管理效能提高，牵引文旅融合和产业升级，助力游客服务体验提升，推动北京“智慧城市2.0”中的人文环境领域建设，塑造具有国际影响力、引领全国数字文旅发展的金名片。</w:t>
      </w:r>
    </w:p>
    <w:p>
      <w:pPr>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按照《北京市市级政务云管理办法》中“上云为常态、不上云为例外”的政策要求，通过采购北京市级政务云计算服务，满足北京智慧文旅平台正常运行，保障信息系统安全。</w:t>
      </w:r>
    </w:p>
    <w:p>
      <w:pPr>
        <w:pStyle w:val="8"/>
        <w:numPr>
          <w:ilvl w:val="0"/>
          <w:numId w:val="3"/>
        </w:numPr>
        <w:ind w:firstLineChars="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技术参数要求</w:t>
      </w:r>
    </w:p>
    <w:p>
      <w:p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3.1云主机技术需求</w:t>
      </w:r>
    </w:p>
    <w:tbl>
      <w:tblPr>
        <w:tblStyle w:val="5"/>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7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CCCCCC"/>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指标项</w:t>
            </w:r>
          </w:p>
        </w:tc>
        <w:tc>
          <w:tcPr>
            <w:tcW w:w="7153" w:type="dxa"/>
            <w:tcBorders>
              <w:top w:val="single" w:color="auto" w:sz="4" w:space="0"/>
              <w:left w:val="single" w:color="auto" w:sz="4" w:space="0"/>
              <w:bottom w:val="single" w:color="auto" w:sz="4" w:space="0"/>
              <w:right w:val="single" w:color="auto" w:sz="4" w:space="0"/>
            </w:tcBorders>
            <w:shd w:val="clear" w:color="auto" w:fill="CCCCCC"/>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52" w:type="dxa"/>
            <w:vMerge w:val="restart"/>
            <w:tcBorders>
              <w:top w:val="nil"/>
              <w:left w:val="single" w:color="auto" w:sz="4" w:space="0"/>
              <w:right w:val="single" w:color="auto" w:sz="4" w:space="0"/>
            </w:tcBorders>
            <w:shd w:val="clear" w:color="auto" w:fill="auto"/>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基本需求</w:t>
            </w:r>
          </w:p>
        </w:tc>
        <w:tc>
          <w:tcPr>
            <w:tcW w:w="7153"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云主机资源支持弹性调整，可弹提供性扩展CPU、内存及数据盘磁盘，实例可用性达99.99%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52"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cstheme="minorEastAsia"/>
                <w:sz w:val="21"/>
                <w:szCs w:val="21"/>
              </w:rPr>
            </w:pPr>
          </w:p>
        </w:tc>
        <w:tc>
          <w:tcPr>
            <w:tcW w:w="7153" w:type="dxa"/>
            <w:tcBorders>
              <w:top w:val="single" w:color="auto" w:sz="4" w:space="0"/>
              <w:left w:val="single" w:color="auto" w:sz="4" w:space="0"/>
              <w:bottom w:val="single" w:color="auto" w:sz="4" w:space="0"/>
              <w:right w:val="single" w:color="auto" w:sz="4" w:space="0"/>
            </w:tcBorders>
            <w:shd w:val="clear" w:color="auto" w:fill="FFFFFF"/>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#为保障业务系统在政务云平台可扩展性，云平台计算资源应当预留充分冗余，政务云平台现有计算服务vCPU及内存应不少于项目需求的3倍且vCPU及内存剩余容量不低于25%。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52"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cstheme="minorEastAsia"/>
                <w:sz w:val="21"/>
                <w:szCs w:val="21"/>
              </w:rPr>
            </w:pPr>
          </w:p>
        </w:tc>
        <w:tc>
          <w:tcPr>
            <w:tcW w:w="7153" w:type="dxa"/>
            <w:tcBorders>
              <w:top w:val="single" w:color="auto" w:sz="4" w:space="0"/>
              <w:left w:val="single" w:color="auto" w:sz="4" w:space="0"/>
              <w:bottom w:val="single" w:color="auto" w:sz="4" w:space="0"/>
              <w:right w:val="single" w:color="auto" w:sz="4" w:space="0"/>
            </w:tcBorders>
            <w:shd w:val="clear" w:color="auto" w:fill="FFFFFF"/>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云主机深度监控能力，结合深度监控服务提供云主机CPU、内存、磁盘、网络相关资源使用率分析，能够清晰判别资源使用率数值及变化情况，如1天内变化；并支持自动巡检能力，可快速获取巡检时刻资源使用率。提供系统链接及管理工具截图证明文件，并加盖投标人公章。</w:t>
            </w:r>
          </w:p>
        </w:tc>
      </w:tr>
    </w:tbl>
    <w:p>
      <w:pPr>
        <w:spacing w:line="360" w:lineRule="auto"/>
        <w:rPr>
          <w:rFonts w:asciiTheme="minorEastAsia" w:hAnsiTheme="minorEastAsia" w:eastAsiaTheme="minorEastAsia" w:cstheme="minorEastAsia"/>
          <w:b/>
          <w:bCs/>
          <w:sz w:val="21"/>
          <w:szCs w:val="21"/>
        </w:rPr>
      </w:pPr>
    </w:p>
    <w:p>
      <w:p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
        </w:rPr>
        <w:t>3.2</w:t>
      </w:r>
      <w:r>
        <w:rPr>
          <w:rFonts w:hint="eastAsia" w:asciiTheme="minorEastAsia" w:hAnsiTheme="minorEastAsia" w:eastAsiaTheme="minorEastAsia" w:cstheme="minorEastAsia"/>
          <w:bCs/>
          <w:sz w:val="21"/>
          <w:szCs w:val="21"/>
        </w:rPr>
        <w:t>云存储技术需求</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11" w:type="dxa"/>
            <w:tcBorders>
              <w:top w:val="single" w:color="auto" w:sz="4" w:space="0"/>
              <w:left w:val="single" w:color="auto" w:sz="4" w:space="0"/>
              <w:bottom w:val="single" w:color="auto" w:sz="4" w:space="0"/>
              <w:right w:val="single" w:color="auto" w:sz="4" w:space="0"/>
            </w:tcBorders>
            <w:shd w:val="clear" w:color="auto" w:fill="CCCCCC"/>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指标项</w:t>
            </w:r>
          </w:p>
        </w:tc>
        <w:tc>
          <w:tcPr>
            <w:tcW w:w="7211" w:type="dxa"/>
            <w:tcBorders>
              <w:top w:val="single" w:color="auto" w:sz="4" w:space="0"/>
              <w:left w:val="single" w:color="auto" w:sz="4" w:space="0"/>
              <w:bottom w:val="single" w:color="auto" w:sz="4" w:space="0"/>
              <w:right w:val="single" w:color="auto" w:sz="4" w:space="0"/>
            </w:tcBorders>
            <w:shd w:val="clear" w:color="auto" w:fill="CCCCCC"/>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11" w:type="dxa"/>
            <w:vMerge w:val="restart"/>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cstheme="minorEastAsia"/>
                <w:sz w:val="21"/>
                <w:szCs w:val="21"/>
              </w:rPr>
            </w:pPr>
          </w:p>
        </w:tc>
        <w:tc>
          <w:tcPr>
            <w:tcW w:w="721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#为保障系统在政务云平台可扩展性，云平台存储资源应当预留充分冗余，政务云平台现有普通性能存储服务和高性能存储服务不少于项目需求的3倍，高性能存储服务剩余容量不低于40%。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11"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cstheme="minorEastAsia"/>
                <w:sz w:val="21"/>
                <w:szCs w:val="21"/>
              </w:rPr>
            </w:pPr>
          </w:p>
        </w:tc>
        <w:tc>
          <w:tcPr>
            <w:tcW w:w="721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投标人支持对象存储技术，采用基于服务器本地硬盘提供对象存储资源池，云平台支持通过Web界面对对象存储文件夹进行增删改查（提供所投产品此项要求的系统截图或其他有效证明文件）</w:t>
            </w:r>
          </w:p>
        </w:tc>
      </w:tr>
    </w:tbl>
    <w:p>
      <w:pPr>
        <w:spacing w:line="360" w:lineRule="auto"/>
        <w:rPr>
          <w:rFonts w:asciiTheme="minorEastAsia" w:hAnsiTheme="minorEastAsia" w:eastAsiaTheme="minorEastAsia" w:cstheme="minorEastAsia"/>
          <w:b/>
          <w:bCs/>
          <w:sz w:val="21"/>
          <w:szCs w:val="21"/>
        </w:rPr>
      </w:pPr>
    </w:p>
    <w:p>
      <w:pPr>
        <w:rPr>
          <w:rFonts w:asciiTheme="minorEastAsia" w:hAnsiTheme="minorEastAsia" w:eastAsiaTheme="minorEastAsia" w:cstheme="minorEastAsia"/>
          <w:bCs/>
          <w:sz w:val="21"/>
          <w:szCs w:val="21"/>
          <w:lang w:val="en"/>
        </w:rPr>
      </w:pPr>
      <w:r>
        <w:rPr>
          <w:rFonts w:hint="eastAsia" w:asciiTheme="minorEastAsia" w:hAnsiTheme="minorEastAsia" w:eastAsiaTheme="minorEastAsia" w:cstheme="minorEastAsia"/>
          <w:bCs/>
          <w:sz w:val="21"/>
          <w:szCs w:val="21"/>
          <w:lang w:val="en"/>
        </w:rPr>
        <w:t>3.3云平台技术需求</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321"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36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指标项</w:t>
            </w:r>
          </w:p>
        </w:tc>
        <w:tc>
          <w:tcPr>
            <w:tcW w:w="7201"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36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21" w:type="dxa"/>
            <w:vMerge w:val="restart"/>
            <w:tcBorders>
              <w:top w:val="nil"/>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基本要求</w:t>
            </w:r>
          </w:p>
        </w:tc>
        <w:tc>
          <w:tcPr>
            <w:tcW w:w="7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云平台应具备不低于99.99%可用性标准，可支持用户自主配置主机、存储、网络、安全等资源，支持定制化开发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21"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cstheme="minorEastAsia"/>
                <w:sz w:val="21"/>
                <w:szCs w:val="21"/>
              </w:rPr>
            </w:pPr>
          </w:p>
        </w:tc>
        <w:tc>
          <w:tcPr>
            <w:tcW w:w="72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依据业务突发性特点，云平台应保障足够的资源冗余及弹性，实现突发情况下的应急扩容、应急安全保障。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21"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cstheme="minorEastAsia"/>
                <w:sz w:val="21"/>
                <w:szCs w:val="21"/>
              </w:rPr>
            </w:pPr>
          </w:p>
        </w:tc>
        <w:tc>
          <w:tcPr>
            <w:tcW w:w="72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云平台应支持IPv6地址访问，配合完成IPv6适配改造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321" w:type="dxa"/>
            <w:vMerge w:val="continue"/>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cstheme="minorEastAsia"/>
                <w:sz w:val="21"/>
                <w:szCs w:val="21"/>
              </w:rPr>
            </w:pPr>
          </w:p>
        </w:tc>
        <w:tc>
          <w:tcPr>
            <w:tcW w:w="720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#支持自动生成资源使用的数据报表（提供所投产品此项要求的系统截图或其他有效证明文件）</w:t>
            </w:r>
          </w:p>
        </w:tc>
      </w:tr>
    </w:tbl>
    <w:p>
      <w:pPr>
        <w:pStyle w:val="4"/>
        <w:numPr>
          <w:ilvl w:val="1"/>
          <w:numId w:val="0"/>
        </w:numPr>
        <w:tabs>
          <w:tab w:val="left" w:pos="420"/>
        </w:tabs>
        <w:autoSpaceDE w:val="0"/>
        <w:autoSpaceDN w:val="0"/>
        <w:spacing w:after="100" w:afterAutospacing="1" w:line="360" w:lineRule="auto"/>
        <w:rPr>
          <w:rFonts w:asciiTheme="minorEastAsia" w:hAnsiTheme="minorEastAsia" w:eastAsiaTheme="minorEastAsia" w:cstheme="minorEastAsia"/>
          <w:kern w:val="44"/>
          <w:sz w:val="21"/>
          <w:szCs w:val="21"/>
        </w:rPr>
      </w:pPr>
    </w:p>
    <w:p>
      <w:pPr>
        <w:rPr>
          <w:rFonts w:asciiTheme="minorEastAsia" w:hAnsiTheme="minorEastAsia" w:eastAsiaTheme="minorEastAsia" w:cstheme="minorEastAsia"/>
          <w:bCs/>
          <w:sz w:val="21"/>
          <w:szCs w:val="21"/>
          <w:lang w:val="en"/>
        </w:rPr>
      </w:pPr>
      <w:r>
        <w:rPr>
          <w:rFonts w:hint="eastAsia" w:asciiTheme="minorEastAsia" w:hAnsiTheme="minorEastAsia" w:eastAsiaTheme="minorEastAsia" w:cstheme="minorEastAsia"/>
          <w:bCs/>
          <w:sz w:val="21"/>
          <w:szCs w:val="21"/>
          <w:lang w:val="en"/>
        </w:rPr>
        <w:t>3.</w:t>
      </w:r>
      <w:r>
        <w:rPr>
          <w:rFonts w:hint="eastAsia" w:asciiTheme="minorEastAsia" w:hAnsiTheme="minorEastAsia" w:eastAsiaTheme="minorEastAsia" w:cstheme="minorEastAsia"/>
          <w:bCs/>
          <w:sz w:val="21"/>
          <w:szCs w:val="21"/>
        </w:rPr>
        <w:t>4</w:t>
      </w:r>
      <w:r>
        <w:rPr>
          <w:rFonts w:hint="eastAsia" w:asciiTheme="minorEastAsia" w:hAnsiTheme="minorEastAsia" w:eastAsiaTheme="minorEastAsia" w:cstheme="minorEastAsia"/>
          <w:bCs/>
          <w:sz w:val="21"/>
          <w:szCs w:val="21"/>
          <w:lang w:val="en"/>
        </w:rPr>
        <w:t>其他技术需求</w:t>
      </w: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指标项</w:t>
            </w:r>
          </w:p>
        </w:tc>
        <w:tc>
          <w:tcPr>
            <w:tcW w:w="7247"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政务云服务保障</w:t>
            </w:r>
          </w:p>
        </w:tc>
        <w:tc>
          <w:tcPr>
            <w:tcW w:w="724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投标人应提供7X24小时保障及应急响应，在应急事件条件下快速响应，提供资源及服务保障。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政务云可用性要求</w:t>
            </w:r>
          </w:p>
        </w:tc>
        <w:tc>
          <w:tcPr>
            <w:tcW w:w="724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云平台应具备不低于99.99%可用性标准，可支持用户自主配置主机、存储、网络、安全等资源，支持定制化开发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275" w:type="dxa"/>
            <w:vMerge w:val="restart"/>
            <w:tcBorders>
              <w:top w:val="single" w:color="auto" w:sz="4" w:space="0"/>
              <w:left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政务云服务管理要求</w:t>
            </w:r>
          </w:p>
        </w:tc>
        <w:tc>
          <w:tcPr>
            <w:tcW w:w="724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提供招标人可自服务的云资源可视化管理能力，实现：云主机数量、vCPU数、内存数、磁盘数统计，云资源分配量趋势分析，云资源分布分析（互联网及政务外网分布情况、操作系统类型分布情况、云主机状态分布等），提供演示系统链接及管理工具截图证明文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275" w:type="dxa"/>
            <w:vMerge w:val="continue"/>
            <w:tcBorders>
              <w:left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p>
        </w:tc>
        <w:tc>
          <w:tcPr>
            <w:tcW w:w="724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提供招标人可自服务的云资源可视化管理能力，支持按资源分布进行业务资源用量分析并支持排序；支持按云主机数量进行业务系统分析并支持排序；提供演示系统链接及管理工具截图证明文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275" w:type="dxa"/>
            <w:vMerge w:val="continue"/>
            <w:tcBorders>
              <w:left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p>
        </w:tc>
        <w:tc>
          <w:tcPr>
            <w:tcW w:w="724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提供招标人可自服务的云资源可视化管理能力，支持业务探活能力，能够根据业务系统服务IP地址、服务链接进行业务健康状态探测，展示系统运行状态，如正常、异常等，提供演示系统链接及管理工具截图证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275" w:type="dxa"/>
            <w:vMerge w:val="continue"/>
            <w:tcBorders>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p>
        </w:tc>
        <w:tc>
          <w:tcPr>
            <w:tcW w:w="724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提供招标人可自服务的云资源可视化管理能力，支持云效率分析展示能力，能够清晰展示云效率总值以及云效率变化轨迹图，时刻掌握系统云资源使用情况，并能够清晰展示不同系统云效率情况。提供演示系统链接及管理工具截图证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政务云运维服务要求</w:t>
            </w:r>
          </w:p>
        </w:tc>
        <w:tc>
          <w:tcPr>
            <w:tcW w:w="724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应提供可以独立部署的自动化运维工具和自动化运维平台，自动化运维工具支持自动化巡检、云平台补丁自动分发、批量远程脚本执行等功能；提供的自动化运维平台支持自动告警、运维即时通讯工具、告警升级、工单与故障报告自动分发和认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275" w:type="dxa"/>
            <w:vMerge w:val="restart"/>
            <w:tcBorders>
              <w:top w:val="single" w:color="auto" w:sz="4" w:space="0"/>
              <w:left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政务云合规性要求</w:t>
            </w:r>
          </w:p>
        </w:tc>
        <w:tc>
          <w:tcPr>
            <w:tcW w:w="72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#提供所投云平台最近一年（2022年12月1日至2023年12月31日）云平台商业密码安全性评估报告，评估结果符合密评第三级信息系统要求，评测报告持有人必须与投标人必须完全一致。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275" w:type="dxa"/>
            <w:vMerge w:val="continue"/>
            <w:tcBorders>
              <w:left w:val="single" w:color="auto" w:sz="4" w:space="0"/>
              <w:right w:val="single" w:color="auto" w:sz="4" w:space="0"/>
            </w:tcBorders>
            <w:shd w:val="clear" w:color="auto" w:fill="FFFFFF"/>
            <w:vAlign w:val="center"/>
          </w:tcPr>
          <w:p>
            <w:pPr>
              <w:rPr>
                <w:rFonts w:asciiTheme="minorEastAsia" w:hAnsiTheme="minorEastAsia" w:eastAsiaTheme="minorEastAsia" w:cstheme="minorEastAsia"/>
                <w:sz w:val="21"/>
                <w:szCs w:val="21"/>
              </w:rPr>
            </w:pPr>
          </w:p>
        </w:tc>
        <w:tc>
          <w:tcPr>
            <w:tcW w:w="72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提供所投云平台有效的北京政务云网络安全等级保护第三级备案证明复印件及最近一年内（2022年12月1日至2023年12月31日）的等保评测报告关键页复印件，等保备案证明和评测报告的持有人与投标人必须完全一致。</w:t>
            </w:r>
          </w:p>
        </w:tc>
      </w:tr>
    </w:tbl>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rPr>
          <w:rFonts w:asciiTheme="minorEastAsia" w:hAnsiTheme="minorEastAsia" w:eastAsiaTheme="minorEastAsia" w:cstheme="minorEastAsia"/>
          <w:sz w:val="21"/>
          <w:szCs w:val="21"/>
        </w:rPr>
      </w:pPr>
    </w:p>
    <w:p>
      <w:pPr>
        <w:pStyle w:val="8"/>
        <w:numPr>
          <w:ilvl w:val="0"/>
          <w:numId w:val="3"/>
        </w:numPr>
        <w:ind w:firstLineChars="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售后服务及培训要求</w:t>
      </w:r>
    </w:p>
    <w:p>
      <w:pPr>
        <w:rPr>
          <w:rFonts w:asciiTheme="minorEastAsia" w:hAnsiTheme="minorEastAsia" w:eastAsiaTheme="minorEastAsia" w:cstheme="minorEastAsia"/>
          <w:bCs/>
          <w:sz w:val="21"/>
          <w:szCs w:val="21"/>
          <w:lang w:val="en"/>
        </w:rPr>
      </w:pPr>
      <w:r>
        <w:rPr>
          <w:rFonts w:hint="eastAsia" w:asciiTheme="minorEastAsia" w:hAnsiTheme="minorEastAsia" w:eastAsiaTheme="minorEastAsia" w:cstheme="minorEastAsia"/>
          <w:bCs/>
          <w:sz w:val="21"/>
          <w:szCs w:val="21"/>
          <w:lang w:val="en"/>
        </w:rPr>
        <w:t>4.1安全服务要求</w:t>
      </w:r>
    </w:p>
    <w:p>
      <w:pPr>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投标人应保证业务应用系统的支撑环境，包括但不限于服务器、网络、存储等相关物理环境能满足安全三级等保要求，依据采购需求向采购人提供本次项目中所涉及安全服务内容。</w:t>
      </w:r>
    </w:p>
    <w:p>
      <w:pPr>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同时投标人需提供完整、可行的安全服务方案，为用户系统下一步进行信息系统安全等级保护测评提供支撑。 </w:t>
      </w:r>
    </w:p>
    <w:p>
      <w:pPr>
        <w:rPr>
          <w:rFonts w:asciiTheme="minorEastAsia" w:hAnsiTheme="minorEastAsia" w:eastAsiaTheme="minorEastAsia" w:cstheme="minorEastAsia"/>
          <w:bCs/>
          <w:sz w:val="21"/>
          <w:szCs w:val="21"/>
          <w:lang w:val="en"/>
        </w:rPr>
      </w:pPr>
      <w:r>
        <w:rPr>
          <w:rFonts w:hint="eastAsia" w:asciiTheme="minorEastAsia" w:hAnsiTheme="minorEastAsia" w:eastAsiaTheme="minorEastAsia" w:cstheme="minorEastAsia"/>
          <w:bCs/>
          <w:sz w:val="21"/>
          <w:szCs w:val="21"/>
          <w:lang w:val="en"/>
        </w:rPr>
        <w:t>4.2技术支持与服务要求</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1）售后服务</w:t>
      </w:r>
    </w:p>
    <w:p>
      <w:pPr>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投标人需利用监控系统或人工对硬件设备及应用系统的运行情况进行7*24小时的不间断巡检监控，及时发现安全隐患，通知相关人员及时处理，并形成监控报告。</w:t>
      </w:r>
    </w:p>
    <w:p>
      <w:pPr>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投标人负责设立技术支持热线，并安排专人值守，提供7*24小时热线支持服务。投标人针对采购人要求的云平台运维服务相关内容，需指定专业技术能力较强的工程师，根据采购人要求配合开展相关维护服务。</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2）故障响应服务</w:t>
      </w:r>
    </w:p>
    <w:p>
      <w:pPr>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应当提供高效的系统维护服务，有效防范系统风险，投标人需保持7*24小时电话畅通，能够在系统发生除宕机外的其他故障问题时，能够协调人力资源在2小时内到达运维现场提供服务。系统发生宕机问题时，投标人应在5分钟内响应，故障处理完毕后提供相关系统宕机报告。</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3）重点保障要求</w:t>
      </w:r>
    </w:p>
    <w:p>
      <w:pPr>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为保障业务高峰期内系统平稳运行，缓解系统高峰期内因业务发生量增大而带来系统压力风险，要求投标人根据业务周期性特点，加大运维保障力度，保证在业务高峰期内系统平稳运行。</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4）安全及保密要求</w:t>
      </w:r>
    </w:p>
    <w:p>
      <w:pPr>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投标人须严格遵守采购人的相关信息安全规定，不得利用系统维护服务时的便利对采购人数据及其他信息擅自修改或透漏给第三方。</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5）项目人员要求</w:t>
      </w:r>
    </w:p>
    <w:p>
      <w:pPr>
        <w:spacing w:line="360" w:lineRule="auto"/>
        <w:ind w:firstLine="420"/>
        <w:rPr>
          <w:rFonts w:asciiTheme="minorEastAsia" w:hAnsiTheme="minorEastAsia" w:eastAsiaTheme="minorEastAsia" w:cstheme="minorEastAsia"/>
          <w:color w:val="000000" w:themeColor="text1"/>
          <w:sz w:val="21"/>
          <w:szCs w:val="21"/>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（1）拟派项目经理：因本项目采用敏捷方法进行开发，因此需要政务云项目经理除项目经理的能力外还需掌握敏捷相关方法，项目经理应同时具备</w:t>
      </w:r>
      <w:r>
        <w:rPr>
          <w:rFonts w:hint="eastAsia" w:asciiTheme="minorEastAsia" w:hAnsiTheme="minorEastAsia" w:eastAsiaTheme="minorEastAsia" w:cstheme="minorEastAsia"/>
          <w:color w:val="191B1F"/>
          <w:sz w:val="21"/>
          <w:szCs w:val="21"/>
          <w:shd w:val="clear" w:color="auto" w:fill="FFFFFF"/>
        </w:rPr>
        <w:t>信息系统项目管理师</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（2）拟派项目成员：拟派项目人员不少于4人，成员应具备：网络工程师、CISSP、CISP、ITIL等相关技术资质证书。</w:t>
      </w:r>
    </w:p>
    <w:p>
      <w:pPr>
        <w:rPr>
          <w:rFonts w:asciiTheme="minorEastAsia" w:hAnsiTheme="minorEastAsia" w:eastAsiaTheme="minorEastAsia" w:cstheme="minorEastAsia"/>
          <w:b/>
          <w:sz w:val="21"/>
          <w:szCs w:val="21"/>
        </w:rPr>
      </w:pPr>
    </w:p>
    <w:p>
      <w:pPr>
        <w:numPr>
          <w:ilvl w:val="0"/>
          <w:numId w:val="3"/>
        </w:numP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交货时间及地点（服务期限）</w:t>
      </w:r>
    </w:p>
    <w:p>
      <w:pPr>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服务期限：11个月。</w:t>
      </w:r>
    </w:p>
    <w:p>
      <w:pPr>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服务地点：北京市政务服务中心六里桥机房</w:t>
      </w:r>
    </w:p>
    <w:p>
      <w:pPr>
        <w:spacing w:line="360" w:lineRule="auto"/>
        <w:ind w:firstLine="420"/>
        <w:rPr>
          <w:rFonts w:asciiTheme="minorEastAsia" w:hAnsiTheme="minorEastAsia" w:eastAsiaTheme="minorEastAsia" w:cstheme="minorEastAsia"/>
          <w:sz w:val="21"/>
          <w:szCs w:val="21"/>
        </w:rPr>
      </w:pPr>
    </w:p>
    <w:p>
      <w:pPr>
        <w:numPr>
          <w:ilvl w:val="0"/>
          <w:numId w:val="3"/>
        </w:numP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付款方式</w:t>
      </w:r>
    </w:p>
    <w:p>
      <w:pPr>
        <w:spacing w:line="360" w:lineRule="auto"/>
        <w:ind w:firstLine="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1、合同价款以人民币结算，根据财政资金安排和使用要求，以分期付款方式进行支付</w:t>
      </w:r>
    </w:p>
    <w:p>
      <w:pPr>
        <w:spacing w:line="360" w:lineRule="auto"/>
        <w:ind w:firstLine="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2、本合同生效后，采购人按支付流程向中标人支付合同金额的70%。</w:t>
      </w:r>
    </w:p>
    <w:p>
      <w:pPr>
        <w:spacing w:line="360" w:lineRule="auto"/>
        <w:ind w:firstLine="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3、项目验收完成后，采购人向中标人支付项目合同金额的30%。</w:t>
      </w:r>
    </w:p>
    <w:p>
      <w:pPr>
        <w:spacing w:line="360" w:lineRule="auto"/>
        <w:ind w:firstLine="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鉴于本项目的资金属于财政资金，具体付款将按北京市财政局的有关规定及相关资金的实际到账金额和时间进行办理。实际支付以采购人实际收到上级财政拨款金额和时间为准。中标人应对此有充分的知晓与理解，采购人免除因拨款额度及时间造成的责任。</w:t>
      </w:r>
    </w:p>
    <w:p>
      <w:pPr>
        <w:spacing w:line="360" w:lineRule="auto"/>
        <w:ind w:firstLine="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5、采购人每笔付款前，中标人应向甲方开具等额、合法、有效的增值税发票。否则，采购人有权拒绝付款且不承担违约责任。</w:t>
      </w:r>
    </w:p>
    <w:p>
      <w:pPr>
        <w:snapToGrid w:val="0"/>
        <w:spacing w:line="360" w:lineRule="auto"/>
        <w:rPr>
          <w:rFonts w:ascii="宋体" w:hAnsi="宋体" w:cs="仿宋"/>
          <w:sz w:val="21"/>
          <w:szCs w:val="21"/>
        </w:rPr>
      </w:pPr>
    </w:p>
    <w:p>
      <w:pPr>
        <w:pStyle w:val="7"/>
        <w:numPr>
          <w:ilvl w:val="0"/>
          <w:numId w:val="0"/>
        </w:numPr>
        <w:snapToGrid w:val="0"/>
        <w:spacing w:before="0" w:after="0"/>
        <w:jc w:val="center"/>
        <w:rPr>
          <w:rFonts w:ascii="宋体" w:hAnsi="宋体"/>
        </w:rPr>
      </w:pPr>
      <w:bookmarkStart w:id="1" w:name="_Toc13684"/>
      <w:bookmarkEnd w:id="1"/>
      <w:bookmarkStart w:id="2" w:name="_Toc30822"/>
      <w:r>
        <w:rPr>
          <w:rFonts w:hint="eastAsia" w:ascii="宋体" w:hAnsi="宋体"/>
        </w:rPr>
        <w:t>评标标准和评标方法</w:t>
      </w:r>
      <w:bookmarkEnd w:id="2"/>
    </w:p>
    <w:p>
      <w:pPr>
        <w:pStyle w:val="7"/>
        <w:numPr>
          <w:ilvl w:val="0"/>
          <w:numId w:val="0"/>
        </w:numPr>
        <w:snapToGrid w:val="0"/>
        <w:spacing w:before="0" w:after="0"/>
        <w:ind w:left="288"/>
        <w:jc w:val="left"/>
        <w:rPr>
          <w:rFonts w:ascii="宋体" w:hAnsi="宋体"/>
        </w:rPr>
      </w:pPr>
    </w:p>
    <w:p>
      <w:pPr>
        <w:spacing w:line="302" w:lineRule="auto"/>
        <w:rPr>
          <w:rFonts w:ascii="宋体" w:hAnsi="宋体"/>
          <w:sz w:val="21"/>
          <w:szCs w:val="21"/>
        </w:rPr>
      </w:pPr>
      <w:r>
        <w:rPr>
          <w:rFonts w:hint="eastAsia" w:ascii="宋体" w:hAnsi="宋体"/>
          <w:sz w:val="21"/>
          <w:szCs w:val="21"/>
        </w:rPr>
        <w:t>1、评标方法：采用综合评分法，满分为</w:t>
      </w:r>
      <w:r>
        <w:rPr>
          <w:rFonts w:ascii="宋体" w:hAnsi="宋体"/>
          <w:sz w:val="21"/>
          <w:szCs w:val="21"/>
        </w:rPr>
        <w:t>100</w:t>
      </w:r>
      <w:r>
        <w:rPr>
          <w:rFonts w:hint="eastAsia" w:ascii="宋体" w:hAnsi="宋体"/>
          <w:sz w:val="21"/>
          <w:szCs w:val="21"/>
        </w:rPr>
        <w:t>分。</w:t>
      </w:r>
    </w:p>
    <w:p>
      <w:pPr>
        <w:spacing w:line="302" w:lineRule="auto"/>
        <w:rPr>
          <w:rFonts w:ascii="宋体" w:hAnsi="宋体"/>
          <w:sz w:val="21"/>
          <w:szCs w:val="21"/>
        </w:rPr>
      </w:pPr>
      <w:r>
        <w:rPr>
          <w:rFonts w:hint="eastAsia" w:ascii="宋体" w:hAnsi="宋体"/>
          <w:sz w:val="21"/>
          <w:szCs w:val="21"/>
        </w:rPr>
        <w:t>2、价格分采用低价优先法计算，即满足招标文件要求且投标价格最低的投标报价为评标基准价，其价格分为满分，其他投标人的价格分统一按下列公式计算：</w:t>
      </w:r>
    </w:p>
    <w:p>
      <w:pPr>
        <w:spacing w:line="302" w:lineRule="auto"/>
        <w:rPr>
          <w:rFonts w:ascii="宋体" w:hAnsi="宋体"/>
          <w:sz w:val="21"/>
          <w:szCs w:val="21"/>
        </w:rPr>
      </w:pPr>
      <w:r>
        <w:rPr>
          <w:rFonts w:hint="eastAsia" w:ascii="宋体" w:hAnsi="宋体"/>
          <w:sz w:val="21"/>
          <w:szCs w:val="21"/>
        </w:rPr>
        <w:t>投标报价得分=（评标基准价/投标报价）×价格权值×100。</w:t>
      </w:r>
    </w:p>
    <w:p>
      <w:pPr>
        <w:spacing w:line="302" w:lineRule="auto"/>
        <w:rPr>
          <w:rFonts w:ascii="宋体" w:hAnsi="宋体"/>
          <w:sz w:val="21"/>
          <w:szCs w:val="21"/>
        </w:rPr>
      </w:pPr>
      <w:r>
        <w:rPr>
          <w:rFonts w:hint="eastAsia" w:ascii="宋体" w:hAnsi="宋体"/>
          <w:sz w:val="21"/>
          <w:szCs w:val="21"/>
        </w:rPr>
        <w:t>3、最低报价不作为中标保证。</w:t>
      </w:r>
    </w:p>
    <w:p>
      <w:pPr>
        <w:widowControl/>
        <w:adjustRightInd/>
        <w:spacing w:line="400" w:lineRule="exact"/>
        <w:jc w:val="both"/>
        <w:textAlignment w:val="auto"/>
        <w:rPr>
          <w:rFonts w:ascii="宋体" w:hAnsi="宋体"/>
          <w:sz w:val="21"/>
          <w:szCs w:val="21"/>
        </w:rPr>
      </w:pPr>
      <w:r>
        <w:rPr>
          <w:rFonts w:hint="eastAsia" w:ascii="宋体" w:hAnsi="宋体"/>
          <w:sz w:val="21"/>
          <w:szCs w:val="21"/>
        </w:rPr>
        <w:t>4、本项目对属于小型和微型企业的投标人的投标报价给予10%的扣除，用扣除后的价格参与评审。</w:t>
      </w:r>
    </w:p>
    <w:p>
      <w:pPr>
        <w:widowControl/>
        <w:adjustRightInd/>
        <w:spacing w:line="400" w:lineRule="exact"/>
        <w:jc w:val="both"/>
        <w:textAlignment w:val="auto"/>
        <w:rPr>
          <w:szCs w:val="21"/>
        </w:rPr>
      </w:pPr>
      <w:r>
        <w:rPr>
          <w:rFonts w:hint="eastAsia" w:ascii="宋体" w:hAnsi="宋体"/>
          <w:sz w:val="21"/>
          <w:szCs w:val="21"/>
        </w:rPr>
        <w:t>5、具体评标标准：</w:t>
      </w:r>
    </w:p>
    <w:tbl>
      <w:tblPr>
        <w:tblStyle w:val="5"/>
        <w:tblW w:w="8522" w:type="dxa"/>
        <w:tblInd w:w="0" w:type="dxa"/>
        <w:tblLayout w:type="fixed"/>
        <w:tblCellMar>
          <w:top w:w="0" w:type="dxa"/>
          <w:left w:w="108" w:type="dxa"/>
          <w:bottom w:w="0" w:type="dxa"/>
          <w:right w:w="108" w:type="dxa"/>
        </w:tblCellMar>
      </w:tblPr>
      <w:tblGrid>
        <w:gridCol w:w="312"/>
        <w:gridCol w:w="886"/>
        <w:gridCol w:w="545"/>
        <w:gridCol w:w="1241"/>
        <w:gridCol w:w="587"/>
        <w:gridCol w:w="4241"/>
        <w:gridCol w:w="710"/>
      </w:tblGrid>
      <w:tr>
        <w:tblPrEx>
          <w:tblLayout w:type="fixed"/>
          <w:tblCellMar>
            <w:top w:w="0" w:type="dxa"/>
            <w:left w:w="108" w:type="dxa"/>
            <w:bottom w:w="0" w:type="dxa"/>
            <w:right w:w="108" w:type="dxa"/>
          </w:tblCellMar>
        </w:tblPrEx>
        <w:trPr>
          <w:trHeight w:val="23" w:hRule="atLeast"/>
          <w:tblHeader/>
        </w:trPr>
        <w:tc>
          <w:tcPr>
            <w:tcW w:w="31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886"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评审</w:t>
            </w:r>
          </w:p>
          <w:p>
            <w:pPr>
              <w:widowControl/>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条款</w:t>
            </w:r>
          </w:p>
        </w:tc>
        <w:tc>
          <w:tcPr>
            <w:tcW w:w="545"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权重</w:t>
            </w:r>
          </w:p>
        </w:tc>
        <w:tc>
          <w:tcPr>
            <w:tcW w:w="1241"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评审细则</w:t>
            </w:r>
          </w:p>
        </w:tc>
        <w:tc>
          <w:tcPr>
            <w:tcW w:w="587"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分值</w:t>
            </w:r>
          </w:p>
        </w:tc>
        <w:tc>
          <w:tcPr>
            <w:tcW w:w="4241"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评审标准</w:t>
            </w:r>
          </w:p>
        </w:tc>
        <w:tc>
          <w:tcPr>
            <w:tcW w:w="710"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主客观分属性</w:t>
            </w:r>
          </w:p>
        </w:tc>
      </w:tr>
      <w:tr>
        <w:tblPrEx>
          <w:tblLayout w:type="fixed"/>
          <w:tblCellMar>
            <w:top w:w="0" w:type="dxa"/>
            <w:left w:w="108" w:type="dxa"/>
            <w:bottom w:w="0" w:type="dxa"/>
            <w:right w:w="108" w:type="dxa"/>
          </w:tblCellMar>
        </w:tblPrEx>
        <w:trPr>
          <w:trHeight w:val="23" w:hRule="atLeast"/>
        </w:trPr>
        <w:tc>
          <w:tcPr>
            <w:tcW w:w="312" w:type="dxa"/>
            <w:tcBorders>
              <w:top w:val="single" w:color="000000" w:sz="4" w:space="0"/>
              <w:left w:val="single" w:color="000000" w:sz="4" w:space="0"/>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886" w:type="dxa"/>
            <w:tcBorders>
              <w:top w:val="single" w:color="000000"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价格</w:t>
            </w:r>
          </w:p>
        </w:tc>
        <w:tc>
          <w:tcPr>
            <w:tcW w:w="545" w:type="dxa"/>
            <w:tcBorders>
              <w:top w:val="single" w:color="000000"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1241"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投标报价得分=（评标基准价/投标报价）×价格权值×100</w:t>
            </w:r>
          </w:p>
        </w:tc>
        <w:tc>
          <w:tcPr>
            <w:tcW w:w="587"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4241"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价格分采用低价优先法计算，即满足招标文件要求且投标价格最低的投标报价为评标基准价，其价格分为满分，其他投标人的价格分统一按下列公式计算：</w:t>
            </w:r>
          </w:p>
          <w:p>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投标报价得分=（评标基准价/投标报价）×价格权值×100。</w:t>
            </w:r>
          </w:p>
        </w:tc>
        <w:tc>
          <w:tcPr>
            <w:tcW w:w="710"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客观</w:t>
            </w:r>
          </w:p>
        </w:tc>
      </w:tr>
      <w:tr>
        <w:tblPrEx>
          <w:tblLayout w:type="fixed"/>
          <w:tblCellMar>
            <w:top w:w="0" w:type="dxa"/>
            <w:left w:w="108" w:type="dxa"/>
            <w:bottom w:w="0" w:type="dxa"/>
            <w:right w:w="108" w:type="dxa"/>
          </w:tblCellMar>
        </w:tblPrEx>
        <w:trPr>
          <w:trHeight w:val="23" w:hRule="atLeast"/>
        </w:trPr>
        <w:tc>
          <w:tcPr>
            <w:tcW w:w="312" w:type="dxa"/>
            <w:vMerge w:val="restart"/>
            <w:tcBorders>
              <w:top w:val="single" w:color="000000" w:sz="4" w:space="0"/>
              <w:left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886" w:type="dxa"/>
            <w:vMerge w:val="restart"/>
            <w:tcBorders>
              <w:top w:val="single" w:color="000000" w:sz="4" w:space="0"/>
              <w:left w:val="nil"/>
              <w:right w:val="single" w:color="000000"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商务</w:t>
            </w:r>
          </w:p>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评审</w:t>
            </w:r>
          </w:p>
        </w:tc>
        <w:tc>
          <w:tcPr>
            <w:tcW w:w="545" w:type="dxa"/>
            <w:vMerge w:val="restart"/>
            <w:tcBorders>
              <w:top w:val="single" w:color="000000" w:sz="4" w:space="0"/>
              <w:left w:val="nil"/>
              <w:right w:val="single" w:color="000000" w:sz="4" w:space="0"/>
            </w:tcBorders>
            <w:vAlign w:val="center"/>
          </w:tcPr>
          <w:p>
            <w:pPr>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t>
            </w:r>
          </w:p>
        </w:tc>
        <w:tc>
          <w:tcPr>
            <w:tcW w:w="1241" w:type="dxa"/>
            <w:tcBorders>
              <w:top w:val="single" w:color="000000" w:sz="4" w:space="0"/>
              <w:left w:val="nil"/>
              <w:right w:val="single" w:color="000000" w:sz="4" w:space="0"/>
            </w:tcBorders>
            <w:vAlign w:val="center"/>
          </w:tcPr>
          <w:p>
            <w:pP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企业能力</w:t>
            </w:r>
          </w:p>
        </w:tc>
        <w:tc>
          <w:tcPr>
            <w:tcW w:w="587" w:type="dxa"/>
            <w:tcBorders>
              <w:top w:val="single" w:color="000000" w:sz="4" w:space="0"/>
              <w:left w:val="nil"/>
              <w:right w:val="single" w:color="000000" w:sz="4" w:space="0"/>
            </w:tcBorders>
            <w:vAlign w:val="center"/>
          </w:tcPr>
          <w:p>
            <w:pPr>
              <w:widowControl/>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w:t>
            </w:r>
          </w:p>
        </w:tc>
        <w:tc>
          <w:tcPr>
            <w:tcW w:w="4241" w:type="dxa"/>
            <w:tcBorders>
              <w:top w:val="single" w:color="000000" w:sz="4" w:space="0"/>
              <w:left w:val="nil"/>
              <w:bottom w:val="single" w:color="auto" w:sz="4" w:space="0"/>
              <w:right w:val="single" w:color="000000" w:sz="4" w:space="0"/>
            </w:tcBorders>
            <w:vAlign w:val="center"/>
          </w:tcPr>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投标人同时具备有效的信息技术服务管理体系认证、</w:t>
            </w:r>
            <w:r>
              <w:rPr>
                <w:rFonts w:hint="eastAsia" w:asciiTheme="minorEastAsia" w:hAnsiTheme="minorEastAsia" w:eastAsiaTheme="minorEastAsia" w:cstheme="minorEastAsia"/>
                <w:color w:val="000000"/>
                <w:sz w:val="21"/>
                <w:szCs w:val="21"/>
                <w:highlight w:val="none"/>
                <w:shd w:val="clear" w:color="auto" w:fill="FFFFFF"/>
              </w:rPr>
              <w:t>业务连续性管理体系</w:t>
            </w:r>
            <w:r>
              <w:rPr>
                <w:rFonts w:hint="eastAsia" w:asciiTheme="minorEastAsia" w:hAnsiTheme="minorEastAsia" w:eastAsiaTheme="minorEastAsia" w:cstheme="minorEastAsia"/>
                <w:color w:val="000000"/>
                <w:sz w:val="21"/>
                <w:szCs w:val="21"/>
                <w:highlight w:val="none"/>
              </w:rPr>
              <w:t>、信息安全管理体系认证证明材料。证明材料持有人与投标人必须完全一致.同时具备以上认证得6分，其他不得分。</w:t>
            </w:r>
          </w:p>
        </w:tc>
        <w:tc>
          <w:tcPr>
            <w:tcW w:w="710" w:type="dxa"/>
            <w:tcBorders>
              <w:top w:val="single" w:color="000000" w:sz="4" w:space="0"/>
              <w:left w:val="nil"/>
              <w:bottom w:val="single" w:color="auto"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客观</w:t>
            </w:r>
          </w:p>
        </w:tc>
      </w:tr>
      <w:tr>
        <w:tblPrEx>
          <w:tblLayout w:type="fixed"/>
          <w:tblCellMar>
            <w:top w:w="0" w:type="dxa"/>
            <w:left w:w="108" w:type="dxa"/>
            <w:bottom w:w="0" w:type="dxa"/>
            <w:right w:w="108" w:type="dxa"/>
          </w:tblCellMar>
        </w:tblPrEx>
        <w:trPr>
          <w:trHeight w:val="23" w:hRule="atLeast"/>
        </w:trPr>
        <w:tc>
          <w:tcPr>
            <w:tcW w:w="312" w:type="dxa"/>
            <w:vMerge w:val="continue"/>
            <w:tcBorders>
              <w:left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p>
        </w:tc>
        <w:tc>
          <w:tcPr>
            <w:tcW w:w="886" w:type="dxa"/>
            <w:vMerge w:val="continue"/>
            <w:tcBorders>
              <w:left w:val="nil"/>
              <w:right w:val="single" w:color="000000" w:sz="4" w:space="0"/>
            </w:tcBorders>
            <w:vAlign w:val="center"/>
          </w:tcPr>
          <w:p>
            <w:pPr>
              <w:jc w:val="center"/>
              <w:rPr>
                <w:rFonts w:asciiTheme="minorEastAsia" w:hAnsiTheme="minorEastAsia" w:eastAsiaTheme="minorEastAsia" w:cstheme="minorEastAsia"/>
                <w:color w:val="000000"/>
                <w:sz w:val="21"/>
                <w:szCs w:val="21"/>
              </w:rPr>
            </w:pPr>
          </w:p>
        </w:tc>
        <w:tc>
          <w:tcPr>
            <w:tcW w:w="545" w:type="dxa"/>
            <w:vMerge w:val="continue"/>
            <w:tcBorders>
              <w:left w:val="nil"/>
              <w:right w:val="single" w:color="000000" w:sz="4" w:space="0"/>
            </w:tcBorders>
            <w:vAlign w:val="center"/>
          </w:tcPr>
          <w:p>
            <w:pPr>
              <w:snapToGrid w:val="0"/>
              <w:jc w:val="center"/>
              <w:rPr>
                <w:rFonts w:asciiTheme="minorEastAsia" w:hAnsiTheme="minorEastAsia" w:eastAsiaTheme="minorEastAsia" w:cstheme="minorEastAsia"/>
                <w:color w:val="000000"/>
                <w:sz w:val="21"/>
                <w:szCs w:val="21"/>
              </w:rPr>
            </w:pPr>
          </w:p>
        </w:tc>
        <w:tc>
          <w:tcPr>
            <w:tcW w:w="1241" w:type="dxa"/>
            <w:tcBorders>
              <w:top w:val="single" w:color="000000" w:sz="4" w:space="0"/>
              <w:left w:val="nil"/>
              <w:right w:val="single" w:color="000000" w:sz="4" w:space="0"/>
            </w:tcBorders>
            <w:vAlign w:val="center"/>
          </w:tcPr>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ITSS云计算服务能力标准证书--私有云证书</w:t>
            </w:r>
          </w:p>
        </w:tc>
        <w:tc>
          <w:tcPr>
            <w:tcW w:w="587" w:type="dxa"/>
            <w:tcBorders>
              <w:top w:val="single" w:color="000000" w:sz="4" w:space="0"/>
              <w:left w:val="nil"/>
              <w:right w:val="single" w:color="000000" w:sz="4" w:space="0"/>
            </w:tcBorders>
            <w:vAlign w:val="center"/>
          </w:tcPr>
          <w:p>
            <w:pPr>
              <w:widowControl/>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w:t>
            </w:r>
          </w:p>
        </w:tc>
        <w:tc>
          <w:tcPr>
            <w:tcW w:w="4241" w:type="dxa"/>
            <w:tcBorders>
              <w:top w:val="single" w:color="000000" w:sz="4" w:space="0"/>
              <w:left w:val="nil"/>
              <w:bottom w:val="single" w:color="auto" w:sz="4" w:space="0"/>
              <w:right w:val="single" w:color="000000" w:sz="4" w:space="0"/>
            </w:tcBorders>
            <w:vAlign w:val="center"/>
          </w:tcPr>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提供有效的ITSS云计算服务能力标准证书—私有云证书复印件，级别为一级的得6分，二级得3分，三级得2分，四级得1分，其他不得分。</w:t>
            </w:r>
          </w:p>
        </w:tc>
        <w:tc>
          <w:tcPr>
            <w:tcW w:w="710" w:type="dxa"/>
            <w:tcBorders>
              <w:top w:val="single" w:color="000000" w:sz="4" w:space="0"/>
              <w:left w:val="nil"/>
              <w:bottom w:val="single" w:color="auto"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客观</w:t>
            </w:r>
          </w:p>
        </w:tc>
      </w:tr>
      <w:tr>
        <w:tblPrEx>
          <w:tblLayout w:type="fixed"/>
          <w:tblCellMar>
            <w:top w:w="0" w:type="dxa"/>
            <w:left w:w="108" w:type="dxa"/>
            <w:bottom w:w="0" w:type="dxa"/>
            <w:right w:w="108" w:type="dxa"/>
          </w:tblCellMar>
        </w:tblPrEx>
        <w:trPr>
          <w:trHeight w:val="23" w:hRule="atLeast"/>
        </w:trPr>
        <w:tc>
          <w:tcPr>
            <w:tcW w:w="312" w:type="dxa"/>
            <w:vMerge w:val="continue"/>
            <w:tcBorders>
              <w:left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p>
        </w:tc>
        <w:tc>
          <w:tcPr>
            <w:tcW w:w="886" w:type="dxa"/>
            <w:vMerge w:val="continue"/>
            <w:tcBorders>
              <w:left w:val="nil"/>
              <w:right w:val="single" w:color="000000" w:sz="4" w:space="0"/>
            </w:tcBorders>
            <w:vAlign w:val="center"/>
          </w:tcPr>
          <w:p>
            <w:pPr>
              <w:jc w:val="center"/>
              <w:rPr>
                <w:rFonts w:asciiTheme="minorEastAsia" w:hAnsiTheme="minorEastAsia" w:eastAsiaTheme="minorEastAsia" w:cstheme="minorEastAsia"/>
                <w:color w:val="000000"/>
                <w:sz w:val="21"/>
                <w:szCs w:val="21"/>
              </w:rPr>
            </w:pPr>
          </w:p>
        </w:tc>
        <w:tc>
          <w:tcPr>
            <w:tcW w:w="545" w:type="dxa"/>
            <w:vMerge w:val="continue"/>
            <w:tcBorders>
              <w:left w:val="nil"/>
              <w:right w:val="single" w:color="000000" w:sz="4" w:space="0"/>
            </w:tcBorders>
            <w:vAlign w:val="center"/>
          </w:tcPr>
          <w:p>
            <w:pPr>
              <w:snapToGrid w:val="0"/>
              <w:jc w:val="center"/>
              <w:rPr>
                <w:rFonts w:asciiTheme="minorEastAsia" w:hAnsiTheme="minorEastAsia" w:eastAsiaTheme="minorEastAsia" w:cstheme="minorEastAsia"/>
                <w:color w:val="000000"/>
                <w:sz w:val="21"/>
                <w:szCs w:val="21"/>
              </w:rPr>
            </w:pPr>
          </w:p>
        </w:tc>
        <w:tc>
          <w:tcPr>
            <w:tcW w:w="1241" w:type="dxa"/>
            <w:tcBorders>
              <w:top w:val="single" w:color="000000" w:sz="4" w:space="0"/>
              <w:left w:val="nil"/>
              <w:right w:val="single" w:color="000000" w:sz="4" w:space="0"/>
            </w:tcBorders>
            <w:vAlign w:val="center"/>
          </w:tcPr>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ITSS云计算服务能力标准证书--公有云证书</w:t>
            </w:r>
          </w:p>
        </w:tc>
        <w:tc>
          <w:tcPr>
            <w:tcW w:w="587" w:type="dxa"/>
            <w:tcBorders>
              <w:top w:val="single" w:color="000000" w:sz="4" w:space="0"/>
              <w:left w:val="nil"/>
              <w:right w:val="single" w:color="000000" w:sz="4" w:space="0"/>
            </w:tcBorders>
            <w:vAlign w:val="center"/>
          </w:tcPr>
          <w:p>
            <w:pPr>
              <w:widowControl/>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w:t>
            </w:r>
          </w:p>
        </w:tc>
        <w:tc>
          <w:tcPr>
            <w:tcW w:w="4241" w:type="dxa"/>
            <w:tcBorders>
              <w:top w:val="single" w:color="000000" w:sz="4" w:space="0"/>
              <w:left w:val="nil"/>
              <w:bottom w:val="single" w:color="auto" w:sz="4" w:space="0"/>
              <w:right w:val="single" w:color="000000" w:sz="4" w:space="0"/>
            </w:tcBorders>
            <w:vAlign w:val="center"/>
          </w:tcPr>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提供有效的ITSS云计算服务能力标准证书—公有云证书复印件，级别为一级的得6分，二级得3分，三级得2分，四级得1分，其他不得分。</w:t>
            </w:r>
          </w:p>
        </w:tc>
        <w:tc>
          <w:tcPr>
            <w:tcW w:w="710" w:type="dxa"/>
            <w:tcBorders>
              <w:top w:val="single" w:color="000000" w:sz="4" w:space="0"/>
              <w:left w:val="nil"/>
              <w:bottom w:val="single" w:color="auto"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客观</w:t>
            </w:r>
          </w:p>
        </w:tc>
      </w:tr>
      <w:tr>
        <w:tblPrEx>
          <w:tblLayout w:type="fixed"/>
          <w:tblCellMar>
            <w:top w:w="0" w:type="dxa"/>
            <w:left w:w="108" w:type="dxa"/>
            <w:bottom w:w="0" w:type="dxa"/>
            <w:right w:w="108" w:type="dxa"/>
          </w:tblCellMar>
        </w:tblPrEx>
        <w:trPr>
          <w:trHeight w:val="23" w:hRule="atLeast"/>
        </w:trPr>
        <w:tc>
          <w:tcPr>
            <w:tcW w:w="312" w:type="dxa"/>
            <w:vMerge w:val="continue"/>
            <w:tcBorders>
              <w:left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p>
        </w:tc>
        <w:tc>
          <w:tcPr>
            <w:tcW w:w="886" w:type="dxa"/>
            <w:vMerge w:val="continue"/>
            <w:tcBorders>
              <w:left w:val="nil"/>
              <w:right w:val="single" w:color="000000" w:sz="4" w:space="0"/>
            </w:tcBorders>
            <w:vAlign w:val="center"/>
          </w:tcPr>
          <w:p>
            <w:pPr>
              <w:jc w:val="center"/>
              <w:rPr>
                <w:rFonts w:asciiTheme="minorEastAsia" w:hAnsiTheme="minorEastAsia" w:eastAsiaTheme="minorEastAsia" w:cstheme="minorEastAsia"/>
                <w:color w:val="000000"/>
                <w:sz w:val="21"/>
                <w:szCs w:val="21"/>
              </w:rPr>
            </w:pPr>
          </w:p>
        </w:tc>
        <w:tc>
          <w:tcPr>
            <w:tcW w:w="545" w:type="dxa"/>
            <w:vMerge w:val="continue"/>
            <w:tcBorders>
              <w:left w:val="nil"/>
              <w:right w:val="single" w:color="000000" w:sz="4" w:space="0"/>
            </w:tcBorders>
            <w:vAlign w:val="center"/>
          </w:tcPr>
          <w:p>
            <w:pPr>
              <w:snapToGrid w:val="0"/>
              <w:jc w:val="center"/>
              <w:rPr>
                <w:rFonts w:asciiTheme="minorEastAsia" w:hAnsiTheme="minorEastAsia" w:eastAsiaTheme="minorEastAsia" w:cstheme="minorEastAsia"/>
                <w:color w:val="000000"/>
                <w:sz w:val="21"/>
                <w:szCs w:val="21"/>
              </w:rPr>
            </w:pPr>
          </w:p>
        </w:tc>
        <w:tc>
          <w:tcPr>
            <w:tcW w:w="1241" w:type="dxa"/>
            <w:tcBorders>
              <w:top w:val="single" w:color="000000" w:sz="4" w:space="0"/>
              <w:left w:val="nil"/>
              <w:right w:val="single" w:color="000000" w:sz="4" w:space="0"/>
            </w:tcBorders>
            <w:vAlign w:val="center"/>
          </w:tcPr>
          <w:p>
            <w:pPr>
              <w:widowControl/>
              <w:rPr>
                <w:rFonts w:asciiTheme="minorEastAsia" w:hAnsiTheme="minorEastAsia" w:eastAsiaTheme="minorEastAsia" w:cstheme="minorEastAsia"/>
                <w:color w:val="000000"/>
                <w:sz w:val="21"/>
                <w:szCs w:val="21"/>
                <w:highlight w:val="yellow"/>
              </w:rPr>
            </w:pPr>
            <w:r>
              <w:rPr>
                <w:rFonts w:hint="eastAsia" w:asciiTheme="minorEastAsia" w:hAnsiTheme="minorEastAsia" w:eastAsiaTheme="minorEastAsia" w:cstheme="minorEastAsia"/>
                <w:color w:val="000000"/>
                <w:sz w:val="21"/>
                <w:szCs w:val="21"/>
              </w:rPr>
              <w:t>通过中央网信办云计算服务安全评估证明材料</w:t>
            </w:r>
          </w:p>
        </w:tc>
        <w:tc>
          <w:tcPr>
            <w:tcW w:w="587" w:type="dxa"/>
            <w:tcBorders>
              <w:top w:val="single" w:color="000000" w:sz="4" w:space="0"/>
              <w:left w:val="nil"/>
              <w:right w:val="single" w:color="000000" w:sz="4" w:space="0"/>
            </w:tcBorders>
            <w:vAlign w:val="center"/>
          </w:tcPr>
          <w:p>
            <w:pPr>
              <w:widowControl/>
              <w:jc w:val="center"/>
              <w:rPr>
                <w:rFonts w:asciiTheme="minorEastAsia" w:hAnsiTheme="minorEastAsia" w:eastAsiaTheme="minorEastAsia" w:cstheme="minorEastAsia"/>
                <w:color w:val="000000"/>
                <w:sz w:val="21"/>
                <w:szCs w:val="21"/>
                <w:highlight w:val="yellow"/>
              </w:rPr>
            </w:pPr>
            <w:r>
              <w:rPr>
                <w:rFonts w:hint="eastAsia" w:asciiTheme="minorEastAsia" w:hAnsiTheme="minorEastAsia" w:eastAsiaTheme="minorEastAsia" w:cstheme="minorEastAsia"/>
                <w:color w:val="000000"/>
                <w:sz w:val="21"/>
                <w:szCs w:val="21"/>
              </w:rPr>
              <w:t>4</w:t>
            </w:r>
          </w:p>
        </w:tc>
        <w:tc>
          <w:tcPr>
            <w:tcW w:w="4241" w:type="dxa"/>
            <w:tcBorders>
              <w:top w:val="single" w:color="000000" w:sz="4" w:space="0"/>
              <w:left w:val="nil"/>
              <w:bottom w:val="single" w:color="auto" w:sz="4" w:space="0"/>
              <w:right w:val="single" w:color="000000" w:sz="4" w:space="0"/>
            </w:tcBorders>
            <w:vAlign w:val="center"/>
          </w:tcPr>
          <w:p>
            <w:pPr>
              <w:widowControl/>
              <w:rPr>
                <w:rFonts w:asciiTheme="minorEastAsia" w:hAnsiTheme="minorEastAsia" w:eastAsiaTheme="minorEastAsia" w:cstheme="minorEastAsia"/>
                <w:color w:val="000000"/>
                <w:sz w:val="21"/>
                <w:szCs w:val="21"/>
                <w:highlight w:val="none"/>
              </w:rPr>
            </w:pPr>
            <w:bookmarkStart w:id="3" w:name="_GoBack"/>
            <w:bookmarkEnd w:id="3"/>
            <w:r>
              <w:rPr>
                <w:rFonts w:hint="eastAsia" w:asciiTheme="minorEastAsia" w:hAnsiTheme="minorEastAsia" w:eastAsiaTheme="minorEastAsia" w:cstheme="minorEastAsia"/>
                <w:color w:val="000000"/>
                <w:sz w:val="21"/>
                <w:szCs w:val="21"/>
                <w:highlight w:val="none"/>
              </w:rPr>
              <w:t>提供所投云平台有效的通过中央网信办云计算服务安全评估证明材料，提供材料并且</w:t>
            </w:r>
            <w:r>
              <w:rPr>
                <w:rFonts w:hint="eastAsia" w:asciiTheme="minorEastAsia" w:hAnsiTheme="minorEastAsia" w:eastAsiaTheme="minorEastAsia" w:cstheme="minorEastAsia"/>
                <w:b/>
                <w:bCs/>
                <w:color w:val="000000"/>
                <w:sz w:val="21"/>
                <w:szCs w:val="21"/>
                <w:highlight w:val="none"/>
              </w:rPr>
              <w:t>在评估有效期内</w:t>
            </w:r>
            <w:r>
              <w:rPr>
                <w:rFonts w:hint="eastAsia" w:asciiTheme="minorEastAsia" w:hAnsiTheme="minorEastAsia" w:eastAsiaTheme="minorEastAsia" w:cstheme="minorEastAsia"/>
                <w:color w:val="000000"/>
                <w:sz w:val="21"/>
                <w:szCs w:val="21"/>
                <w:highlight w:val="none"/>
              </w:rPr>
              <w:t>的得4分，其他不得分。</w:t>
            </w:r>
          </w:p>
        </w:tc>
        <w:tc>
          <w:tcPr>
            <w:tcW w:w="710" w:type="dxa"/>
            <w:tcBorders>
              <w:top w:val="single" w:color="000000" w:sz="4" w:space="0"/>
              <w:left w:val="nil"/>
              <w:bottom w:val="single" w:color="auto"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客观</w:t>
            </w:r>
          </w:p>
        </w:tc>
      </w:tr>
      <w:tr>
        <w:tblPrEx>
          <w:tblLayout w:type="fixed"/>
          <w:tblCellMar>
            <w:top w:w="0" w:type="dxa"/>
            <w:left w:w="108" w:type="dxa"/>
            <w:bottom w:w="0" w:type="dxa"/>
            <w:right w:w="108" w:type="dxa"/>
          </w:tblCellMar>
        </w:tblPrEx>
        <w:trPr>
          <w:trHeight w:val="23" w:hRule="atLeast"/>
        </w:trPr>
        <w:tc>
          <w:tcPr>
            <w:tcW w:w="312" w:type="dxa"/>
            <w:vMerge w:val="continue"/>
            <w:tcBorders>
              <w:left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p>
        </w:tc>
        <w:tc>
          <w:tcPr>
            <w:tcW w:w="886" w:type="dxa"/>
            <w:vMerge w:val="continue"/>
            <w:tcBorders>
              <w:left w:val="nil"/>
              <w:right w:val="single" w:color="000000" w:sz="4" w:space="0"/>
            </w:tcBorders>
            <w:vAlign w:val="center"/>
          </w:tcPr>
          <w:p>
            <w:pPr>
              <w:jc w:val="center"/>
              <w:rPr>
                <w:rFonts w:asciiTheme="minorEastAsia" w:hAnsiTheme="minorEastAsia" w:eastAsiaTheme="minorEastAsia" w:cstheme="minorEastAsia"/>
                <w:color w:val="000000"/>
                <w:sz w:val="21"/>
                <w:szCs w:val="21"/>
              </w:rPr>
            </w:pPr>
          </w:p>
        </w:tc>
        <w:tc>
          <w:tcPr>
            <w:tcW w:w="545" w:type="dxa"/>
            <w:vMerge w:val="continue"/>
            <w:tcBorders>
              <w:left w:val="nil"/>
              <w:right w:val="single" w:color="000000" w:sz="4" w:space="0"/>
            </w:tcBorders>
            <w:vAlign w:val="center"/>
          </w:tcPr>
          <w:p>
            <w:pPr>
              <w:snapToGrid w:val="0"/>
              <w:jc w:val="center"/>
              <w:rPr>
                <w:rFonts w:asciiTheme="minorEastAsia" w:hAnsiTheme="minorEastAsia" w:eastAsiaTheme="minorEastAsia" w:cstheme="minorEastAsia"/>
                <w:color w:val="000000"/>
                <w:sz w:val="21"/>
                <w:szCs w:val="21"/>
              </w:rPr>
            </w:pPr>
          </w:p>
        </w:tc>
        <w:tc>
          <w:tcPr>
            <w:tcW w:w="1241" w:type="dxa"/>
            <w:tcBorders>
              <w:top w:val="single" w:color="000000" w:sz="4" w:space="0"/>
              <w:left w:val="nil"/>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同类项目业绩</w:t>
            </w:r>
          </w:p>
        </w:tc>
        <w:tc>
          <w:tcPr>
            <w:tcW w:w="587" w:type="dxa"/>
            <w:tcBorders>
              <w:top w:val="single" w:color="000000" w:sz="4" w:space="0"/>
              <w:left w:val="nil"/>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4241" w:type="dxa"/>
            <w:tcBorders>
              <w:top w:val="single" w:color="000000" w:sz="4" w:space="0"/>
              <w:left w:val="nil"/>
              <w:bottom w:val="single" w:color="auto" w:sz="4" w:space="0"/>
              <w:right w:val="single" w:color="000000" w:sz="4" w:space="0"/>
            </w:tcBorders>
            <w:vAlign w:val="center"/>
          </w:tcPr>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近三年（2021年1月1日至2023年12月31日）同类项目证明材料，每有1项加2分，最高加8分。</w:t>
            </w:r>
          </w:p>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注： 证明材料：类似项目合同，需提供合同关键页复印件（体现项目基本内容及合同双方的签章，合同案例中合同的乙方必须与投标人的名称完全一致，如公司名称发生变更，必须提供工商部门的证明文件。）</w:t>
            </w:r>
          </w:p>
        </w:tc>
        <w:tc>
          <w:tcPr>
            <w:tcW w:w="710" w:type="dxa"/>
            <w:tcBorders>
              <w:top w:val="single" w:color="000000" w:sz="4" w:space="0"/>
              <w:left w:val="nil"/>
              <w:bottom w:val="single" w:color="auto"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客观</w:t>
            </w:r>
          </w:p>
        </w:tc>
      </w:tr>
      <w:tr>
        <w:tblPrEx>
          <w:tblLayout w:type="fixed"/>
          <w:tblCellMar>
            <w:top w:w="0" w:type="dxa"/>
            <w:left w:w="108" w:type="dxa"/>
            <w:bottom w:w="0" w:type="dxa"/>
            <w:right w:w="108" w:type="dxa"/>
          </w:tblCellMar>
        </w:tblPrEx>
        <w:trPr>
          <w:trHeight w:val="23" w:hRule="atLeast"/>
        </w:trPr>
        <w:tc>
          <w:tcPr>
            <w:tcW w:w="312" w:type="dxa"/>
            <w:vMerge w:val="continue"/>
            <w:tcBorders>
              <w:left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p>
        </w:tc>
        <w:tc>
          <w:tcPr>
            <w:tcW w:w="886" w:type="dxa"/>
            <w:vMerge w:val="continue"/>
            <w:tcBorders>
              <w:left w:val="nil"/>
              <w:right w:val="single" w:color="000000" w:sz="4" w:space="0"/>
            </w:tcBorders>
            <w:vAlign w:val="center"/>
          </w:tcPr>
          <w:p>
            <w:pPr>
              <w:jc w:val="center"/>
              <w:rPr>
                <w:rFonts w:asciiTheme="minorEastAsia" w:hAnsiTheme="minorEastAsia" w:eastAsiaTheme="minorEastAsia" w:cstheme="minorEastAsia"/>
                <w:color w:val="000000"/>
                <w:sz w:val="21"/>
                <w:szCs w:val="21"/>
              </w:rPr>
            </w:pPr>
          </w:p>
        </w:tc>
        <w:tc>
          <w:tcPr>
            <w:tcW w:w="545" w:type="dxa"/>
            <w:vMerge w:val="continue"/>
            <w:tcBorders>
              <w:left w:val="nil"/>
              <w:right w:val="single" w:color="000000" w:sz="4" w:space="0"/>
            </w:tcBorders>
            <w:vAlign w:val="center"/>
          </w:tcPr>
          <w:p>
            <w:pPr>
              <w:snapToGrid w:val="0"/>
              <w:jc w:val="center"/>
              <w:rPr>
                <w:rFonts w:asciiTheme="minorEastAsia" w:hAnsiTheme="minorEastAsia" w:eastAsiaTheme="minorEastAsia" w:cstheme="minorEastAsia"/>
                <w:color w:val="000000"/>
                <w:sz w:val="21"/>
                <w:szCs w:val="21"/>
              </w:rPr>
            </w:pPr>
          </w:p>
        </w:tc>
        <w:tc>
          <w:tcPr>
            <w:tcW w:w="6069" w:type="dxa"/>
            <w:gridSpan w:val="3"/>
            <w:tcBorders>
              <w:top w:val="single" w:color="000000" w:sz="4" w:space="0"/>
              <w:left w:val="nil"/>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【注：投标人提供相关证明材料复印件，否则不得分。取得相关证明的公司名称必须与投标人名称一致】</w:t>
            </w:r>
          </w:p>
        </w:tc>
        <w:tc>
          <w:tcPr>
            <w:tcW w:w="710" w:type="dxa"/>
            <w:tcBorders>
              <w:top w:val="single" w:color="000000" w:sz="4" w:space="0"/>
              <w:left w:val="nil"/>
              <w:right w:val="single" w:color="000000" w:sz="4" w:space="0"/>
            </w:tcBorders>
            <w:vAlign w:val="center"/>
          </w:tcPr>
          <w:p>
            <w:pPr>
              <w:widowControl/>
              <w:rPr>
                <w:rFonts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23" w:hRule="atLeast"/>
        </w:trPr>
        <w:tc>
          <w:tcPr>
            <w:tcW w:w="312" w:type="dxa"/>
            <w:vMerge w:val="restart"/>
            <w:tcBorders>
              <w:top w:val="single" w:color="000000" w:sz="4" w:space="0"/>
              <w:left w:val="single" w:color="000000" w:sz="4" w:space="0"/>
              <w:right w:val="single" w:color="000000" w:sz="4" w:space="0"/>
            </w:tcBorders>
            <w:vAlign w:val="center"/>
          </w:tcPr>
          <w:p>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886" w:type="dxa"/>
            <w:vMerge w:val="restart"/>
            <w:tcBorders>
              <w:top w:val="single" w:color="000000" w:sz="4" w:space="0"/>
              <w:left w:val="nil"/>
              <w:right w:val="single" w:color="000000"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技术</w:t>
            </w:r>
          </w:p>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评审</w:t>
            </w:r>
          </w:p>
        </w:tc>
        <w:tc>
          <w:tcPr>
            <w:tcW w:w="545" w:type="dxa"/>
            <w:vMerge w:val="restart"/>
            <w:tcBorders>
              <w:top w:val="single" w:color="000000" w:sz="4" w:space="0"/>
              <w:left w:val="nil"/>
              <w:right w:val="single" w:color="000000"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60</w:t>
            </w:r>
          </w:p>
        </w:tc>
        <w:tc>
          <w:tcPr>
            <w:tcW w:w="1241"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技术指标</w:t>
            </w:r>
          </w:p>
        </w:tc>
        <w:tc>
          <w:tcPr>
            <w:tcW w:w="587"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t>
            </w:r>
          </w:p>
        </w:tc>
        <w:tc>
          <w:tcPr>
            <w:tcW w:w="4241"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考察投标文件，有10个技术要求#号项，完全满足招标文件要求得30分，每出现一项负偏离减3分，扣完为止。</w:t>
            </w:r>
          </w:p>
        </w:tc>
        <w:tc>
          <w:tcPr>
            <w:tcW w:w="710"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客观</w:t>
            </w:r>
          </w:p>
        </w:tc>
      </w:tr>
      <w:tr>
        <w:tblPrEx>
          <w:tblLayout w:type="fixed"/>
          <w:tblCellMar>
            <w:top w:w="0" w:type="dxa"/>
            <w:left w:w="108" w:type="dxa"/>
            <w:bottom w:w="0" w:type="dxa"/>
            <w:right w:w="108" w:type="dxa"/>
          </w:tblCellMar>
        </w:tblPrEx>
        <w:trPr>
          <w:trHeight w:val="23" w:hRule="atLeast"/>
        </w:trPr>
        <w:tc>
          <w:tcPr>
            <w:tcW w:w="312" w:type="dxa"/>
            <w:vMerge w:val="continue"/>
            <w:tcBorders>
              <w:left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p>
        </w:tc>
        <w:tc>
          <w:tcPr>
            <w:tcW w:w="886" w:type="dxa"/>
            <w:vMerge w:val="continue"/>
            <w:tcBorders>
              <w:left w:val="nil"/>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p>
        </w:tc>
        <w:tc>
          <w:tcPr>
            <w:tcW w:w="545" w:type="dxa"/>
            <w:vMerge w:val="continue"/>
            <w:tcBorders>
              <w:left w:val="nil"/>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p>
        </w:tc>
        <w:tc>
          <w:tcPr>
            <w:tcW w:w="1241"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项目团队</w:t>
            </w:r>
          </w:p>
        </w:tc>
        <w:tc>
          <w:tcPr>
            <w:tcW w:w="587"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4241"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（1）拟派项目经理：具备信息系统项目管理师的得6分，不满足得0分；</w:t>
            </w:r>
          </w:p>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（2）拟派项目成员：拟派项目人员不少于4人，成员应具备：网络工程师、CISSP、CISP、ITIL等相关技术资质证书，成员中每有一类资质得1分，每人最多1分，不同人资质证书相同的不重复得分，最高得4分。</w:t>
            </w:r>
          </w:p>
        </w:tc>
        <w:tc>
          <w:tcPr>
            <w:tcW w:w="710"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客观</w:t>
            </w:r>
          </w:p>
        </w:tc>
      </w:tr>
      <w:tr>
        <w:tblPrEx>
          <w:tblLayout w:type="fixed"/>
          <w:tblCellMar>
            <w:top w:w="0" w:type="dxa"/>
            <w:left w:w="108" w:type="dxa"/>
            <w:bottom w:w="0" w:type="dxa"/>
            <w:right w:w="108" w:type="dxa"/>
          </w:tblCellMar>
        </w:tblPrEx>
        <w:trPr>
          <w:trHeight w:val="23" w:hRule="atLeast"/>
        </w:trPr>
        <w:tc>
          <w:tcPr>
            <w:tcW w:w="312" w:type="dxa"/>
            <w:vMerge w:val="continue"/>
            <w:tcBorders>
              <w:left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p>
        </w:tc>
        <w:tc>
          <w:tcPr>
            <w:tcW w:w="886" w:type="dxa"/>
            <w:vMerge w:val="continue"/>
            <w:tcBorders>
              <w:left w:val="nil"/>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p>
        </w:tc>
        <w:tc>
          <w:tcPr>
            <w:tcW w:w="545" w:type="dxa"/>
            <w:vMerge w:val="continue"/>
            <w:tcBorders>
              <w:left w:val="nil"/>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p>
        </w:tc>
        <w:tc>
          <w:tcPr>
            <w:tcW w:w="1241"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安全服务方案</w:t>
            </w:r>
          </w:p>
        </w:tc>
        <w:tc>
          <w:tcPr>
            <w:tcW w:w="587"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4241"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提供对本项目安全服务方案，包括①项目安全需求分析、②安全服务方案等，满分4分。</w:t>
            </w:r>
          </w:p>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（1）每有一项内容进行了详细阐述且完全满足采购需求的，该项得2分； </w:t>
            </w:r>
          </w:p>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（2）每有一项内容虽然进行了阐述但并未完全贴合项目需求情况，或方案内容未包括细节或存在偏差，该项得1分；</w:t>
            </w:r>
          </w:p>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（3）每有一项内容未进行阐述或阐述内容无法满足项目需求的，该项得0分。</w:t>
            </w:r>
          </w:p>
        </w:tc>
        <w:tc>
          <w:tcPr>
            <w:tcW w:w="710"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主观</w:t>
            </w:r>
          </w:p>
        </w:tc>
      </w:tr>
      <w:tr>
        <w:tblPrEx>
          <w:tblLayout w:type="fixed"/>
          <w:tblCellMar>
            <w:top w:w="0" w:type="dxa"/>
            <w:left w:w="108" w:type="dxa"/>
            <w:bottom w:w="0" w:type="dxa"/>
            <w:right w:w="108" w:type="dxa"/>
          </w:tblCellMar>
        </w:tblPrEx>
        <w:trPr>
          <w:trHeight w:val="23" w:hRule="atLeast"/>
        </w:trPr>
        <w:tc>
          <w:tcPr>
            <w:tcW w:w="312" w:type="dxa"/>
            <w:vMerge w:val="continue"/>
            <w:tcBorders>
              <w:left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p>
        </w:tc>
        <w:tc>
          <w:tcPr>
            <w:tcW w:w="886" w:type="dxa"/>
            <w:vMerge w:val="continue"/>
            <w:tcBorders>
              <w:left w:val="nil"/>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p>
        </w:tc>
        <w:tc>
          <w:tcPr>
            <w:tcW w:w="545" w:type="dxa"/>
            <w:vMerge w:val="continue"/>
            <w:tcBorders>
              <w:left w:val="nil"/>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p>
        </w:tc>
        <w:tc>
          <w:tcPr>
            <w:tcW w:w="1241"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日常运维服务方案</w:t>
            </w:r>
          </w:p>
        </w:tc>
        <w:tc>
          <w:tcPr>
            <w:tcW w:w="587"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4241"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提供对本项目日常运维服务方案，包括①运维管理制度、②管理流程、③运维服务方案等，满分6分；</w:t>
            </w:r>
          </w:p>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（1）每有一项内容进行了详细阐述且完全满足采购需求的，该项得2分， </w:t>
            </w:r>
          </w:p>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（2）每有一项内容虽然进行了阐述但并未完全贴合项目需求情况，或方案内容未包括细节或存在偏差，该项得1分。</w:t>
            </w:r>
          </w:p>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（3）每有一项内容未进行阐述或阐述内容无法满足项目需求的，该项得0分。</w:t>
            </w:r>
          </w:p>
        </w:tc>
        <w:tc>
          <w:tcPr>
            <w:tcW w:w="710"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主观</w:t>
            </w:r>
          </w:p>
        </w:tc>
      </w:tr>
      <w:tr>
        <w:tblPrEx>
          <w:tblLayout w:type="fixed"/>
          <w:tblCellMar>
            <w:top w:w="0" w:type="dxa"/>
            <w:left w:w="108" w:type="dxa"/>
            <w:bottom w:w="0" w:type="dxa"/>
            <w:right w:w="108" w:type="dxa"/>
          </w:tblCellMar>
        </w:tblPrEx>
        <w:trPr>
          <w:trHeight w:val="23" w:hRule="atLeast"/>
        </w:trPr>
        <w:tc>
          <w:tcPr>
            <w:tcW w:w="312" w:type="dxa"/>
            <w:vMerge w:val="continue"/>
            <w:tcBorders>
              <w:left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p>
        </w:tc>
        <w:tc>
          <w:tcPr>
            <w:tcW w:w="886" w:type="dxa"/>
            <w:vMerge w:val="continue"/>
            <w:tcBorders>
              <w:left w:val="nil"/>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p>
        </w:tc>
        <w:tc>
          <w:tcPr>
            <w:tcW w:w="545" w:type="dxa"/>
            <w:vMerge w:val="continue"/>
            <w:tcBorders>
              <w:left w:val="nil"/>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p>
        </w:tc>
        <w:tc>
          <w:tcPr>
            <w:tcW w:w="1241"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售后服务方案</w:t>
            </w:r>
          </w:p>
        </w:tc>
        <w:tc>
          <w:tcPr>
            <w:tcW w:w="587"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4241"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提供对本项目日常售后服务方案，包括①故障响应服务方案、②重点保障服务方案等，满分4分。</w:t>
            </w:r>
          </w:p>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（1）每有一项内容进行了详细阐述且完全满足采购需求的，该项得2分， </w:t>
            </w:r>
          </w:p>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（2）每有一项内容虽然进行了阐述但并未完全贴合项目需求情况，或方案内容未包括细节或存在偏差，该项得1分。</w:t>
            </w:r>
          </w:p>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（3）每有一项内容未进行阐述或阐述内容无法满足项目需求的，该项得0分。</w:t>
            </w:r>
          </w:p>
        </w:tc>
        <w:tc>
          <w:tcPr>
            <w:tcW w:w="710"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主观</w:t>
            </w:r>
          </w:p>
        </w:tc>
      </w:tr>
      <w:tr>
        <w:tblPrEx>
          <w:tblLayout w:type="fixed"/>
          <w:tblCellMar>
            <w:top w:w="0" w:type="dxa"/>
            <w:left w:w="108" w:type="dxa"/>
            <w:bottom w:w="0" w:type="dxa"/>
            <w:right w:w="108" w:type="dxa"/>
          </w:tblCellMar>
        </w:tblPrEx>
        <w:trPr>
          <w:trHeight w:val="23" w:hRule="atLeast"/>
        </w:trPr>
        <w:tc>
          <w:tcPr>
            <w:tcW w:w="312" w:type="dxa"/>
            <w:vMerge w:val="continue"/>
            <w:tcBorders>
              <w:left w:val="single" w:color="000000" w:sz="4" w:space="0"/>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p>
        </w:tc>
        <w:tc>
          <w:tcPr>
            <w:tcW w:w="886" w:type="dxa"/>
            <w:vMerge w:val="continue"/>
            <w:tcBorders>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p>
        </w:tc>
        <w:tc>
          <w:tcPr>
            <w:tcW w:w="545" w:type="dxa"/>
            <w:vMerge w:val="continue"/>
            <w:tcBorders>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p>
        </w:tc>
        <w:tc>
          <w:tcPr>
            <w:tcW w:w="1241"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项目组织实施方案</w:t>
            </w:r>
          </w:p>
        </w:tc>
        <w:tc>
          <w:tcPr>
            <w:tcW w:w="587"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4241" w:type="dxa"/>
            <w:tcBorders>
              <w:top w:val="single" w:color="000000" w:sz="4" w:space="0"/>
              <w:left w:val="nil"/>
              <w:bottom w:val="single" w:color="000000" w:sz="4" w:space="0"/>
              <w:right w:val="single" w:color="000000" w:sz="4" w:space="0"/>
            </w:tcBorders>
          </w:tcPr>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提供对本项目组织实施方案，包括①组织实施方案、②风险分析及应对措施、③项目工作管理制度等。满分6分</w:t>
            </w:r>
          </w:p>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（1）每有一项内容进行了详细阐述且完全满足采购需求的，该项得2分， </w:t>
            </w:r>
          </w:p>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（2）每有一项内容虽然进行了阐述但并未完全贴合项目需求情况，或方案内容未包括细节或存在偏差，该项得1分。</w:t>
            </w:r>
          </w:p>
          <w:p>
            <w:pPr>
              <w:widowControl/>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（3）每有一项内容未进行阐述或阐述内容无法满足项目需求的，该项得0分。</w:t>
            </w:r>
          </w:p>
        </w:tc>
        <w:tc>
          <w:tcPr>
            <w:tcW w:w="710" w:type="dxa"/>
            <w:tcBorders>
              <w:top w:val="single" w:color="000000" w:sz="4" w:space="0"/>
              <w:left w:val="nil"/>
              <w:bottom w:val="single" w:color="000000" w:sz="4" w:space="0"/>
              <w:right w:val="single" w:color="000000" w:sz="4" w:space="0"/>
            </w:tcBorders>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主观</w:t>
            </w:r>
          </w:p>
        </w:tc>
      </w:tr>
      <w:tr>
        <w:tblPrEx>
          <w:tblLayout w:type="fixed"/>
          <w:tblCellMar>
            <w:top w:w="0" w:type="dxa"/>
            <w:left w:w="108" w:type="dxa"/>
            <w:bottom w:w="0" w:type="dxa"/>
            <w:right w:w="108" w:type="dxa"/>
          </w:tblCellMar>
        </w:tblPrEx>
        <w:trPr>
          <w:trHeight w:val="23" w:hRule="atLeast"/>
        </w:trPr>
        <w:tc>
          <w:tcPr>
            <w:tcW w:w="312" w:type="dxa"/>
            <w:tcBorders>
              <w:top w:val="single" w:color="000000" w:sz="4" w:space="0"/>
              <w:left w:val="single" w:color="000000" w:sz="4" w:space="0"/>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886"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p>
        </w:tc>
        <w:tc>
          <w:tcPr>
            <w:tcW w:w="545"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w:t>
            </w:r>
          </w:p>
        </w:tc>
        <w:tc>
          <w:tcPr>
            <w:tcW w:w="1241"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p>
        </w:tc>
        <w:tc>
          <w:tcPr>
            <w:tcW w:w="587"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w:t>
            </w:r>
          </w:p>
        </w:tc>
        <w:tc>
          <w:tcPr>
            <w:tcW w:w="4241"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p>
        </w:tc>
        <w:tc>
          <w:tcPr>
            <w:tcW w:w="710" w:type="dxa"/>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cstheme="minorEastAsia"/>
                <w:color w:val="00000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973"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3FAA13EB"/>
    <w:multiLevelType w:val="multilevel"/>
    <w:tmpl w:val="3FAA13EB"/>
    <w:lvl w:ilvl="0" w:tentative="0">
      <w:start w:val="3"/>
      <w:numFmt w:val="japaneseCounting"/>
      <w:lvlText w:val="%1、"/>
      <w:lvlJc w:val="left"/>
      <w:pPr>
        <w:ind w:left="930" w:hanging="510"/>
      </w:pPr>
      <w:rPr>
        <w:rFonts w:hint="default"/>
        <w:sz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37743A9"/>
    <w:multiLevelType w:val="multilevel"/>
    <w:tmpl w:val="537743A9"/>
    <w:lvl w:ilvl="0" w:tentative="0">
      <w:start w:val="1"/>
      <w:numFmt w:val="none"/>
      <w:lvlText w:val="一、"/>
      <w:lvlJc w:val="left"/>
      <w:pPr>
        <w:ind w:left="870" w:hanging="45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0363E2"/>
    <w:rsid w:val="3D53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tLeast"/>
      <w:ind w:left="0"/>
      <w:outlineLvl w:val="0"/>
    </w:pPr>
    <w:rPr>
      <w:b/>
      <w:bCs/>
      <w:kern w:val="44"/>
      <w:sz w:val="44"/>
      <w:szCs w:val="44"/>
    </w:rPr>
  </w:style>
  <w:style w:type="paragraph" w:styleId="4">
    <w:name w:val="heading 2"/>
    <w:basedOn w:val="1"/>
    <w:next w:val="1"/>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正文 缩进2字符"/>
    <w:basedOn w:val="1"/>
    <w:qFormat/>
    <w:uiPriority w:val="0"/>
    <w:pPr>
      <w:spacing w:line="288" w:lineRule="auto"/>
    </w:pPr>
    <w:rPr>
      <w:rFonts w:ascii="宋体" w:hAnsi="宋体"/>
      <w:sz w:val="28"/>
      <w:szCs w:val="28"/>
    </w:rPr>
  </w:style>
  <w:style w:type="paragraph" w:customStyle="1" w:styleId="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styleId="8">
    <w:name w:val="List Paragraph"/>
    <w:basedOn w:val="1"/>
    <w:qFormat/>
    <w:uiPriority w:val="99"/>
    <w:pPr>
      <w:ind w:firstLine="420" w:firstLineChars="200"/>
    </w:pPr>
  </w:style>
  <w:style w:type="character" w:customStyle="1" w:styleId="9">
    <w:name w:val="font1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2023-12-21T09:17:00Z</dcterms:created>
  <dc:creator>zhhx</dc:creator>
  <cp:lastModifiedBy>zhhx</cp:lastModifiedBy>
  <dcterms:modified xsi:type="dcterms:W3CDTF">2023-12-21T09:41:24Z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