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color w:val="auto"/>
          <w:kern w:val="0"/>
          <w:sz w:val="21"/>
          <w:szCs w:val="21"/>
          <w:highlight w:val="none"/>
        </w:rPr>
      </w:pPr>
      <w:bookmarkStart w:id="0" w:name="_Hlk137039500"/>
      <w:bookmarkEnd w:id="0"/>
      <w:r>
        <w:rPr>
          <w:rFonts w:hint="eastAsia" w:asciiTheme="minorEastAsia" w:hAnsiTheme="minorEastAsia" w:eastAsiaTheme="minorEastAsia" w:cstheme="minorEastAsia"/>
          <w:color w:val="auto"/>
          <w:kern w:val="0"/>
          <w:sz w:val="21"/>
          <w:szCs w:val="21"/>
          <w:highlight w:val="none"/>
        </w:rPr>
        <w:t>采购需求</w:t>
      </w:r>
    </w:p>
    <w:p>
      <w:pPr>
        <w:adjustRightInd w:val="0"/>
        <w:spacing w:line="360" w:lineRule="atLeast"/>
        <w:jc w:val="left"/>
        <w:textAlignment w:val="baseline"/>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第一包：</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一、采购清单</w:t>
      </w:r>
    </w:p>
    <w:tbl>
      <w:tblPr>
        <w:tblStyle w:val="9"/>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477"/>
        <w:gridCol w:w="1789"/>
        <w:gridCol w:w="1545"/>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序号</w:t>
            </w:r>
          </w:p>
        </w:tc>
        <w:tc>
          <w:tcPr>
            <w:tcW w:w="2477"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货物或服务名称</w:t>
            </w:r>
          </w:p>
        </w:tc>
        <w:tc>
          <w:tcPr>
            <w:tcW w:w="1789"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数量</w:t>
            </w:r>
          </w:p>
        </w:tc>
        <w:tc>
          <w:tcPr>
            <w:tcW w:w="1545"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单位</w:t>
            </w:r>
          </w:p>
        </w:tc>
        <w:tc>
          <w:tcPr>
            <w:tcW w:w="2035"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备注（核心产品）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2477" w:type="dxa"/>
            <w:noWrap w:val="0"/>
            <w:vAlign w:val="top"/>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北京天坛医院卫生保洁服务一标段</w:t>
            </w:r>
          </w:p>
        </w:tc>
        <w:tc>
          <w:tcPr>
            <w:tcW w:w="1789" w:type="dxa"/>
            <w:noWrap w:val="0"/>
            <w:vAlign w:val="top"/>
          </w:tcPr>
          <w:p>
            <w:pPr>
              <w:rPr>
                <w:rFonts w:hint="eastAsia" w:asciiTheme="minorEastAsia" w:hAnsiTheme="minorEastAsia" w:eastAsiaTheme="minorEastAsia" w:cstheme="minorEastAsia"/>
                <w:color w:val="auto"/>
                <w:sz w:val="21"/>
                <w:szCs w:val="21"/>
                <w:highlight w:val="none"/>
              </w:rPr>
            </w:pPr>
          </w:p>
        </w:tc>
        <w:tc>
          <w:tcPr>
            <w:tcW w:w="1545" w:type="dxa"/>
            <w:noWrap w:val="0"/>
            <w:vAlign w:val="top"/>
          </w:tcPr>
          <w:p>
            <w:pPr>
              <w:rPr>
                <w:rFonts w:hint="eastAsia" w:asciiTheme="minorEastAsia" w:hAnsiTheme="minorEastAsia" w:eastAsiaTheme="minorEastAsia" w:cstheme="minorEastAsia"/>
                <w:color w:val="auto"/>
                <w:sz w:val="21"/>
                <w:szCs w:val="21"/>
                <w:highlight w:val="none"/>
              </w:rPr>
            </w:pPr>
          </w:p>
        </w:tc>
        <w:tc>
          <w:tcPr>
            <w:tcW w:w="2035" w:type="dxa"/>
            <w:noWrap w:val="0"/>
            <w:vAlign w:val="top"/>
          </w:tcPr>
          <w:p>
            <w:pPr>
              <w:rPr>
                <w:rFonts w:hint="eastAsia" w:asciiTheme="minorEastAsia" w:hAnsiTheme="minorEastAsia" w:eastAsiaTheme="minorEastAsia" w:cstheme="minorEastAsia"/>
                <w:color w:val="auto"/>
                <w:sz w:val="21"/>
                <w:szCs w:val="21"/>
                <w:highlight w:val="none"/>
              </w:rPr>
            </w:pPr>
          </w:p>
        </w:tc>
      </w:tr>
    </w:tbl>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二、项目背景或简况</w:t>
      </w:r>
    </w:p>
    <w:p>
      <w:pPr>
        <w:adjustRightInd w:val="0"/>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 xml:space="preserve"> </w:t>
      </w:r>
      <w:r>
        <w:rPr>
          <w:rFonts w:hint="eastAsia" w:asciiTheme="minorEastAsia" w:hAnsiTheme="minorEastAsia" w:eastAsiaTheme="minorEastAsia" w:cstheme="minorEastAsia"/>
          <w:b/>
          <w:bCs w:val="0"/>
          <w:color w:val="auto"/>
          <w:sz w:val="21"/>
          <w:szCs w:val="21"/>
          <w:highlight w:val="none"/>
        </w:rPr>
        <w:t xml:space="preserve">   一标段预算金额</w:t>
      </w:r>
      <w:r>
        <w:rPr>
          <w:rFonts w:hint="eastAsia" w:asciiTheme="minorEastAsia" w:hAnsiTheme="minorEastAsia" w:eastAsiaTheme="minorEastAsia" w:cstheme="minorEastAsia"/>
          <w:b/>
          <w:bCs w:val="0"/>
          <w:color w:val="auto"/>
          <w:sz w:val="21"/>
          <w:szCs w:val="21"/>
          <w:highlight w:val="none"/>
          <w:lang w:val="en-US" w:eastAsia="zh-CN"/>
        </w:rPr>
        <w:t>2020.7816</w:t>
      </w:r>
      <w:r>
        <w:rPr>
          <w:rFonts w:hint="eastAsia" w:asciiTheme="minorEastAsia" w:hAnsiTheme="minorEastAsia" w:eastAsiaTheme="minorEastAsia" w:cstheme="minorEastAsia"/>
          <w:b/>
          <w:bCs w:val="0"/>
          <w:color w:val="auto"/>
          <w:sz w:val="21"/>
          <w:szCs w:val="21"/>
          <w:highlight w:val="none"/>
        </w:rPr>
        <w:t>万元</w:t>
      </w:r>
      <w:r>
        <w:rPr>
          <w:rFonts w:hint="eastAsia" w:asciiTheme="minorEastAsia" w:hAnsiTheme="minorEastAsia" w:eastAsiaTheme="minorEastAsia" w:cstheme="minorEastAsia"/>
          <w:b/>
          <w:bCs w:val="0"/>
          <w:color w:val="auto"/>
          <w:sz w:val="21"/>
          <w:szCs w:val="21"/>
          <w:highlight w:val="none"/>
          <w:lang w:val="en-US" w:eastAsia="zh-CN"/>
        </w:rPr>
        <w:t>/年</w:t>
      </w:r>
      <w:r>
        <w:rPr>
          <w:rFonts w:hint="eastAsia" w:asciiTheme="minorEastAsia" w:hAnsiTheme="minorEastAsia" w:eastAsiaTheme="minorEastAsia" w:cstheme="minorEastAsia"/>
          <w:b/>
          <w:bCs w:val="0"/>
          <w:color w:val="auto"/>
          <w:sz w:val="21"/>
          <w:szCs w:val="21"/>
          <w:highlight w:val="none"/>
        </w:rPr>
        <w:t>，</w:t>
      </w:r>
      <w:r>
        <w:rPr>
          <w:rFonts w:hint="eastAsia" w:asciiTheme="minorEastAsia" w:hAnsiTheme="minorEastAsia" w:eastAsiaTheme="minorEastAsia" w:cstheme="minorEastAsia"/>
          <w:b/>
          <w:bCs w:val="0"/>
          <w:color w:val="auto"/>
          <w:sz w:val="21"/>
          <w:szCs w:val="21"/>
          <w:highlight w:val="none"/>
          <w:lang w:eastAsia="zh-CN"/>
        </w:rPr>
        <w:t>服务期限</w:t>
      </w:r>
      <w:r>
        <w:rPr>
          <w:rFonts w:hint="eastAsia" w:asciiTheme="minorEastAsia" w:hAnsiTheme="minorEastAsia" w:eastAsiaTheme="minorEastAsia" w:cstheme="minorEastAsia"/>
          <w:b/>
          <w:bCs w:val="0"/>
          <w:color w:val="auto"/>
          <w:sz w:val="21"/>
          <w:szCs w:val="21"/>
          <w:highlight w:val="none"/>
          <w:lang w:val="en-US" w:eastAsia="zh-CN"/>
        </w:rPr>
        <w:t>两年，合同一年一签，</w:t>
      </w:r>
      <w:r>
        <w:rPr>
          <w:rFonts w:hint="eastAsia" w:asciiTheme="minorEastAsia" w:hAnsiTheme="minorEastAsia" w:eastAsiaTheme="minorEastAsia" w:cstheme="minorEastAsia"/>
          <w:b/>
          <w:bCs w:val="0"/>
          <w:color w:val="auto"/>
          <w:sz w:val="21"/>
          <w:szCs w:val="21"/>
          <w:highlight w:val="none"/>
        </w:rPr>
        <w:t>服务范围为A区住院区、医技区和A区外围区域，清洁面积157649平方米，其中外围区域面积为59615平方米，传达室340平方米。</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三、技术参数要求、服务要求</w:t>
      </w:r>
    </w:p>
    <w:p>
      <w:pPr>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技术需求</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一、服务范围</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此包服务范围为A区住院区、医技区和A区外围区域，清洁面积157649平方米，其中外围区域面积为59615平方米，传达室340平方米。</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二、</w:t>
      </w:r>
      <w:r>
        <w:rPr>
          <w:rFonts w:hint="eastAsia" w:asciiTheme="minorEastAsia" w:hAnsiTheme="minorEastAsia" w:eastAsiaTheme="minorEastAsia" w:cstheme="minorEastAsia"/>
          <w:b/>
          <w:color w:val="auto"/>
          <w:sz w:val="21"/>
          <w:szCs w:val="21"/>
          <w:highlight w:val="none"/>
        </w:rPr>
        <w:t>服务内容</w:t>
      </w:r>
    </w:p>
    <w:p>
      <w:pPr>
        <w:autoSpaceDE w:val="0"/>
        <w:autoSpaceDN w:val="0"/>
        <w:adjustRightInd w:val="0"/>
        <w:snapToGrid w:val="0"/>
        <w:ind w:firstLine="420" w:firstLineChars="200"/>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1、负责服务范围内全部楼宇室内环境及物体表面清洁消毒工作，消毒应达到国家卫健委相关标准的要求，在医管中心等上级单位检查中达到合格标准。室外道路清扫及标示牌、台面等环境表面清洁，生活垃圾、医疗废物的分类、收集、清运工作。根据医院要求，做好服务范围内的生活垃圾分类、计量、引导等工作。</w:t>
      </w:r>
    </w:p>
    <w:p>
      <w:pPr>
        <w:autoSpaceDE w:val="0"/>
        <w:autoSpaceDN w:val="0"/>
        <w:adjustRightInd w:val="0"/>
        <w:snapToGrid w:val="0"/>
        <w:ind w:firstLine="420" w:firstLineChars="200"/>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2、负责服务范围内各种材质地面清洁养护，包括PVC地面清洗、抛光、打蜡，石材地面清洗、翻新、结晶养护，电梯地面及地面标识的打蜡、保养等。</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3、负责</w:t>
      </w:r>
      <w:r>
        <w:rPr>
          <w:rFonts w:hint="eastAsia" w:asciiTheme="minorEastAsia" w:hAnsiTheme="minorEastAsia" w:eastAsiaTheme="minorEastAsia" w:cstheme="minorEastAsia"/>
          <w:bCs/>
          <w:color w:val="auto"/>
          <w:kern w:val="0"/>
          <w:sz w:val="21"/>
          <w:szCs w:val="21"/>
          <w:highlight w:val="none"/>
        </w:rPr>
        <w:t>服务范围内</w:t>
      </w:r>
      <w:r>
        <w:rPr>
          <w:rFonts w:hint="eastAsia" w:asciiTheme="minorEastAsia" w:hAnsiTheme="minorEastAsia" w:eastAsiaTheme="minorEastAsia" w:cstheme="minorEastAsia"/>
          <w:color w:val="auto"/>
          <w:sz w:val="21"/>
          <w:szCs w:val="21"/>
          <w:highlight w:val="none"/>
        </w:rPr>
        <w:t>公区候诊椅、电梯、自助设备设施等表面的清洁与消毒（包括但不限于：共享售卖机、挂号机、导诊机、手机充电桩等）。消毒应满足医院院感管理要求。</w:t>
      </w:r>
    </w:p>
    <w:p>
      <w:pPr>
        <w:ind w:firstLine="420" w:firstLineChars="200"/>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4、负责</w:t>
      </w:r>
      <w:r>
        <w:rPr>
          <w:rFonts w:hint="eastAsia" w:asciiTheme="minorEastAsia" w:hAnsiTheme="minorEastAsia" w:eastAsiaTheme="minorEastAsia" w:cstheme="minorEastAsia"/>
          <w:bCs/>
          <w:color w:val="auto"/>
          <w:kern w:val="0"/>
          <w:sz w:val="21"/>
          <w:szCs w:val="21"/>
          <w:highlight w:val="none"/>
        </w:rPr>
        <w:t>服务范围</w:t>
      </w:r>
      <w:r>
        <w:rPr>
          <w:rFonts w:hint="eastAsia" w:asciiTheme="minorEastAsia" w:hAnsiTheme="minorEastAsia" w:eastAsiaTheme="minorEastAsia" w:cstheme="minorEastAsia"/>
          <w:color w:val="auto"/>
          <w:sz w:val="21"/>
          <w:szCs w:val="21"/>
          <w:highlight w:val="none"/>
        </w:rPr>
        <w:t>内所有雨搭、车库出入口玻璃表面、院内外围路灯进行定期清洁，必要时，可使用升降机，确保使用安全</w:t>
      </w:r>
      <w:r>
        <w:rPr>
          <w:rFonts w:hint="eastAsia" w:asciiTheme="minorEastAsia" w:hAnsiTheme="minorEastAsia" w:eastAsiaTheme="minorEastAsia" w:cstheme="minorEastAsia"/>
          <w:bCs/>
          <w:color w:val="auto"/>
          <w:kern w:val="0"/>
          <w:sz w:val="21"/>
          <w:szCs w:val="21"/>
          <w:highlight w:val="none"/>
        </w:rPr>
        <w:t>。</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kern w:val="0"/>
          <w:sz w:val="21"/>
          <w:szCs w:val="21"/>
          <w:highlight w:val="none"/>
        </w:rPr>
        <w:t>5、卫生保洁服务中各类设备、消耗品、客用品、防滑地垫、防撞条等由服务厂家提供，不另行计算费用。</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6、负责协助处理</w:t>
      </w:r>
      <w:r>
        <w:rPr>
          <w:rFonts w:hint="eastAsia" w:asciiTheme="minorEastAsia" w:hAnsiTheme="minorEastAsia" w:eastAsiaTheme="minorEastAsia" w:cstheme="minorEastAsia"/>
          <w:bCs/>
          <w:color w:val="auto"/>
          <w:kern w:val="0"/>
          <w:sz w:val="21"/>
          <w:szCs w:val="21"/>
          <w:highlight w:val="none"/>
        </w:rPr>
        <w:t>服务范围</w:t>
      </w:r>
      <w:r>
        <w:rPr>
          <w:rFonts w:hint="eastAsia" w:asciiTheme="minorEastAsia" w:hAnsiTheme="minorEastAsia" w:eastAsiaTheme="minorEastAsia" w:cstheme="minorEastAsia"/>
          <w:color w:val="auto"/>
          <w:sz w:val="21"/>
          <w:szCs w:val="21"/>
          <w:highlight w:val="none"/>
        </w:rPr>
        <w:t>内的应急突发事件处理及重大活动的保障。</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7、参与</w:t>
      </w:r>
      <w:r>
        <w:rPr>
          <w:rFonts w:hint="eastAsia" w:asciiTheme="minorEastAsia" w:hAnsiTheme="minorEastAsia" w:eastAsiaTheme="minorEastAsia" w:cstheme="minorEastAsia"/>
          <w:bCs/>
          <w:color w:val="auto"/>
          <w:kern w:val="0"/>
          <w:sz w:val="21"/>
          <w:szCs w:val="21"/>
          <w:highlight w:val="none"/>
        </w:rPr>
        <w:t>服务范围内</w:t>
      </w:r>
      <w:r>
        <w:rPr>
          <w:rFonts w:hint="eastAsia" w:asciiTheme="minorEastAsia" w:hAnsiTheme="minorEastAsia" w:eastAsiaTheme="minorEastAsia" w:cstheme="minorEastAsia"/>
          <w:color w:val="auto"/>
          <w:sz w:val="21"/>
          <w:szCs w:val="21"/>
          <w:highlight w:val="none"/>
        </w:rPr>
        <w:t>水、电、空调节能管理，工作中注重节约用水、节约用电、随手关窗等。</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8、协助医院开展后勤信息化建设，配合使用信息化软件，从而更好的提升服务质量。</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kern w:val="0"/>
          <w:sz w:val="21"/>
          <w:szCs w:val="21"/>
          <w:highlight w:val="none"/>
        </w:rPr>
        <w:t>9、负责全院区有害生物防治，即全院区楼宇室内、外围、重点场所、机房、地下空间等全区域的蟑螂、蚊蝇及老鼠等消杀工作。</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10、负责</w:t>
      </w:r>
      <w:r>
        <w:rPr>
          <w:rFonts w:hint="eastAsia" w:asciiTheme="minorEastAsia" w:hAnsiTheme="minorEastAsia" w:eastAsiaTheme="minorEastAsia" w:cstheme="minorEastAsia"/>
          <w:bCs/>
          <w:color w:val="auto"/>
          <w:kern w:val="0"/>
          <w:sz w:val="21"/>
          <w:szCs w:val="21"/>
          <w:highlight w:val="none"/>
        </w:rPr>
        <w:t>服务范围</w:t>
      </w:r>
      <w:r>
        <w:rPr>
          <w:rFonts w:hint="eastAsia" w:asciiTheme="minorEastAsia" w:hAnsiTheme="minorEastAsia" w:eastAsiaTheme="minorEastAsia" w:cstheme="minorEastAsia"/>
          <w:color w:val="auto"/>
          <w:sz w:val="21"/>
          <w:szCs w:val="21"/>
          <w:highlight w:val="none"/>
        </w:rPr>
        <w:t>内物品搬运工作。</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11、负责</w:t>
      </w:r>
      <w:r>
        <w:rPr>
          <w:rFonts w:hint="eastAsia" w:asciiTheme="minorEastAsia" w:hAnsiTheme="minorEastAsia" w:eastAsiaTheme="minorEastAsia" w:cstheme="minorEastAsia"/>
          <w:bCs/>
          <w:color w:val="auto"/>
          <w:kern w:val="0"/>
          <w:sz w:val="21"/>
          <w:szCs w:val="21"/>
          <w:highlight w:val="none"/>
        </w:rPr>
        <w:t>服务范围</w:t>
      </w:r>
      <w:r>
        <w:rPr>
          <w:rFonts w:hint="eastAsia" w:asciiTheme="minorEastAsia" w:hAnsiTheme="minorEastAsia" w:eastAsiaTheme="minorEastAsia" w:cstheme="minorEastAsia"/>
          <w:color w:val="auto"/>
          <w:sz w:val="21"/>
          <w:szCs w:val="21"/>
          <w:highlight w:val="none"/>
        </w:rPr>
        <w:t>内控烟宣传工作。</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12、负责</w:t>
      </w:r>
      <w:r>
        <w:rPr>
          <w:rFonts w:hint="eastAsia" w:asciiTheme="minorEastAsia" w:hAnsiTheme="minorEastAsia" w:eastAsiaTheme="minorEastAsia" w:cstheme="minorEastAsia"/>
          <w:bCs/>
          <w:color w:val="auto"/>
          <w:kern w:val="0"/>
          <w:sz w:val="21"/>
          <w:szCs w:val="21"/>
          <w:highlight w:val="none"/>
        </w:rPr>
        <w:t>服务范围</w:t>
      </w:r>
      <w:r>
        <w:rPr>
          <w:rFonts w:hint="eastAsia" w:asciiTheme="minorEastAsia" w:hAnsiTheme="minorEastAsia" w:eastAsiaTheme="minorEastAsia" w:cstheme="minorEastAsia"/>
          <w:color w:val="auto"/>
          <w:sz w:val="21"/>
          <w:szCs w:val="21"/>
          <w:highlight w:val="none"/>
        </w:rPr>
        <w:t>内特殊天气情况下如雨雪天的安全保障工作，及时清理院内地面水渍、路面积水、积雪，做好铲冰除雪等工作。同时需要做好地面防滑措施和地面湿滑的提示工作。</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w:t>
      </w:r>
      <w:r>
        <w:rPr>
          <w:rFonts w:hint="eastAsia" w:asciiTheme="minorEastAsia" w:hAnsiTheme="minorEastAsia" w:eastAsiaTheme="minorEastAsia" w:cstheme="minorEastAsia"/>
          <w:color w:val="auto"/>
          <w:sz w:val="21"/>
          <w:szCs w:val="21"/>
          <w:highlight w:val="none"/>
          <w:lang w:eastAsia="zh-CN"/>
        </w:rPr>
        <w:t>公共区域保洁员同时负责保洁区域的巡视，有设备设施损坏、丢失的，应及时打电话保修</w:t>
      </w:r>
      <w:r>
        <w:rPr>
          <w:rFonts w:hint="eastAsia" w:asciiTheme="minorEastAsia" w:hAnsiTheme="minorEastAsia" w:eastAsiaTheme="minorEastAsia" w:cstheme="minorEastAsia"/>
          <w:color w:val="auto"/>
          <w:sz w:val="21"/>
          <w:szCs w:val="21"/>
          <w:highlight w:val="none"/>
        </w:rPr>
        <w:t>。</w:t>
      </w:r>
    </w:p>
    <w:p>
      <w:pPr>
        <w:pStyle w:val="2"/>
        <w:ind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14、乙方如违反消防相关规定或因12345、医院8585投诉被定为有责任的，按照医院相关制度予以处罚，从服务费中扣除。</w:t>
      </w:r>
    </w:p>
    <w:p>
      <w:pPr>
        <w:pStyle w:val="2"/>
        <w:ind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15、针对公共卫生事件，应组建消毒大队，提供超雾化喷雾器等消毒设备和含氯消毒剂、二氧化氯消毒剂等，以完成终末消毒工作。</w:t>
      </w:r>
    </w:p>
    <w:p>
      <w:pP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三、</w:t>
      </w:r>
      <w:r>
        <w:rPr>
          <w:rFonts w:hint="eastAsia" w:asciiTheme="minorEastAsia" w:hAnsiTheme="minorEastAsia" w:eastAsiaTheme="minorEastAsia" w:cstheme="minorEastAsia"/>
          <w:b/>
          <w:color w:val="auto"/>
          <w:sz w:val="21"/>
          <w:szCs w:val="21"/>
          <w:highlight w:val="none"/>
        </w:rPr>
        <w:t>卫生保洁服务项目</w:t>
      </w:r>
      <w:r>
        <w:rPr>
          <w:rFonts w:hint="eastAsia" w:asciiTheme="minorEastAsia" w:hAnsiTheme="minorEastAsia" w:eastAsiaTheme="minorEastAsia" w:cstheme="minorEastAsia"/>
          <w:b/>
          <w:bCs/>
          <w:color w:val="auto"/>
          <w:kern w:val="0"/>
          <w:sz w:val="21"/>
          <w:szCs w:val="21"/>
          <w:highlight w:val="none"/>
        </w:rPr>
        <w:t>要求</w:t>
      </w:r>
    </w:p>
    <w:p>
      <w:pP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color w:val="auto"/>
          <w:sz w:val="21"/>
          <w:szCs w:val="21"/>
          <w:highlight w:val="none"/>
        </w:rPr>
        <w:t>（一）总体要求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1、乙方管理要求</w:t>
      </w:r>
      <w:r>
        <w:rPr>
          <w:rFonts w:hint="eastAsia" w:asciiTheme="minorEastAsia" w:hAnsiTheme="minorEastAsia" w:eastAsiaTheme="minorEastAsia" w:cstheme="minorEastAsia"/>
          <w:b/>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rPr>
        <w:t>需具备承担三级甲等综合医院保洁服务需求的能力，需能够执行甲方规定的保洁服务管理要求，根据功能区域需要，乙方应为员工配备基本的个人安全防护用品，如一次性外科和防护口罩、一次性手套、工作帽和一次性医用帽、一次性隔离衣、一次性防护服、一次性鞋套、一次性靴套、护目镜（屏）、围裙、胶鞋等。</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2、保洁用具用品使用要求：</w:t>
      </w:r>
    </w:p>
    <w:p>
      <w:pPr>
        <w:numPr>
          <w:ilvl w:val="0"/>
          <w:numId w:val="1"/>
        </w:numPr>
        <w:adjustRightInd w:val="0"/>
        <w:snapToGrid w:val="0"/>
        <w:ind w:firstLine="1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每个卫生间需配备喷香剂、卫生纸、洗手液、小便滤洁； </w:t>
      </w:r>
    </w:p>
    <w:p>
      <w:pPr>
        <w:numPr>
          <w:ilvl w:val="0"/>
          <w:numId w:val="1"/>
        </w:numPr>
        <w:adjustRightInd w:val="0"/>
        <w:snapToGrid w:val="0"/>
        <w:ind w:firstLine="1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保洁棉织品集中洗涤消毒，毛巾至少分5色，分类、分区使用；</w:t>
      </w:r>
    </w:p>
    <w:p>
      <w:pPr>
        <w:numPr>
          <w:ilvl w:val="0"/>
          <w:numId w:val="1"/>
        </w:numPr>
        <w:adjustRightInd w:val="0"/>
        <w:snapToGrid w:val="0"/>
        <w:ind w:firstLine="1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保洁服务使用的垃圾袋(黑色和黄色)、消毒剂、洗涤剂、机械保洁维护剂和客用品等消耗物品均包含在合同金额内；</w:t>
      </w:r>
    </w:p>
    <w:p>
      <w:pPr>
        <w:numPr>
          <w:ilvl w:val="0"/>
          <w:numId w:val="1"/>
        </w:numPr>
        <w:adjustRightInd w:val="0"/>
        <w:snapToGrid w:val="0"/>
        <w:ind w:firstLine="120"/>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上述物品应使用符合国家质量及环保标准认证，由正规厂家生产的品牌类产品，产品质量等同于金佰利品牌；</w:t>
      </w:r>
    </w:p>
    <w:p>
      <w:pPr>
        <w:numPr>
          <w:ilvl w:val="0"/>
          <w:numId w:val="1"/>
        </w:numPr>
        <w:adjustRightInd w:val="0"/>
        <w:snapToGrid w:val="0"/>
        <w:ind w:firstLine="1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垃圾桶由甲方提供</w:t>
      </w:r>
      <w:r>
        <w:rPr>
          <w:rFonts w:hint="eastAsia" w:asciiTheme="minorEastAsia" w:hAnsiTheme="minorEastAsia" w:eastAsiaTheme="minorEastAsia" w:cstheme="minorEastAsia"/>
          <w:b/>
          <w:bCs/>
          <w:color w:val="auto"/>
          <w:kern w:val="0"/>
          <w:sz w:val="21"/>
          <w:szCs w:val="21"/>
          <w:highlight w:val="none"/>
        </w:rPr>
        <w:t>。</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3、清洁设备要求</w:t>
      </w:r>
      <w:r>
        <w:rPr>
          <w:rFonts w:hint="eastAsia" w:asciiTheme="minorEastAsia" w:hAnsiTheme="minorEastAsia" w:eastAsiaTheme="minorEastAsia" w:cstheme="minorEastAsia"/>
          <w:color w:val="auto"/>
          <w:kern w:val="0"/>
          <w:sz w:val="21"/>
          <w:szCs w:val="21"/>
          <w:highlight w:val="none"/>
          <w:lang w:eastAsia="zh-CN"/>
        </w:rPr>
        <w:t>及清洁必要设备数量表</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清洁设备配备应包括但不限于吸水吸尘机、</w:t>
      </w:r>
      <w:r>
        <w:rPr>
          <w:rFonts w:hint="eastAsia" w:asciiTheme="minorEastAsia" w:hAnsiTheme="minorEastAsia" w:eastAsiaTheme="minorEastAsia" w:cstheme="minorEastAsia"/>
          <w:color w:val="auto"/>
          <w:kern w:val="0"/>
          <w:sz w:val="21"/>
          <w:szCs w:val="21"/>
          <w:highlight w:val="none"/>
          <w:lang w:val="en-US" w:eastAsia="zh-CN"/>
        </w:rPr>
        <w:t>鼓风机</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保洁车</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洗地机</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翻新机</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打磨晶面机</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多功能清洁车</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尘推车</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榨水车</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高压水枪、抛光机</w:t>
      </w:r>
      <w:r>
        <w:rPr>
          <w:rFonts w:hint="eastAsia" w:asciiTheme="minorEastAsia" w:hAnsiTheme="minorEastAsia" w:eastAsiaTheme="minorEastAsia" w:cstheme="minorEastAsia"/>
          <w:color w:val="auto"/>
          <w:kern w:val="0"/>
          <w:sz w:val="21"/>
          <w:szCs w:val="21"/>
          <w:highlight w:val="none"/>
        </w:rPr>
        <w:t>等，数量、型号、品质应适用于本项目，乙方建立设备台账，供甲方随时抽查。清洁设备由乙方自行配备、维护、维修、使用。</w:t>
      </w:r>
    </w:p>
    <w:tbl>
      <w:tblPr>
        <w:tblStyle w:val="9"/>
        <w:tblpPr w:leftFromText="180" w:rightFromText="180" w:vertAnchor="text" w:horzAnchor="page" w:tblpX="2107" w:tblpY="320"/>
        <w:tblOverlap w:val="never"/>
        <w:tblW w:w="7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50"/>
        <w:gridCol w:w="2115"/>
        <w:gridCol w:w="2070"/>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755" w:type="dxa"/>
            <w:gridSpan w:val="4"/>
            <w:tcBorders>
              <w:top w:val="single" w:color="auto" w:sz="4" w:space="0"/>
              <w:left w:val="single" w:color="auto" w:sz="4" w:space="0"/>
              <w:bottom w:val="nil"/>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1"/>
                <w:szCs w:val="21"/>
                <w:highlight w:val="none"/>
                <w:u w:val="none"/>
              </w:rPr>
            </w:pPr>
            <w:r>
              <w:rPr>
                <w:rFonts w:hint="eastAsia" w:asciiTheme="minorEastAsia" w:hAnsiTheme="minorEastAsia" w:eastAsiaTheme="minorEastAsia" w:cstheme="minorEastAsia"/>
                <w:color w:val="auto"/>
                <w:kern w:val="0"/>
                <w:sz w:val="21"/>
                <w:szCs w:val="21"/>
                <w:highlight w:val="none"/>
                <w:lang w:val="en-US" w:eastAsia="zh-CN"/>
              </w:rPr>
              <w:t>清洁必要设备数量表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350"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序号</w:t>
            </w:r>
          </w:p>
        </w:tc>
        <w:tc>
          <w:tcPr>
            <w:tcW w:w="211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设备名称</w:t>
            </w:r>
          </w:p>
        </w:tc>
        <w:tc>
          <w:tcPr>
            <w:tcW w:w="20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adjustRightInd w:val="0"/>
              <w:snapToGrid w:val="0"/>
              <w:ind w:firstLine="420" w:firstLineChars="200"/>
              <w:jc w:val="both"/>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设备数量/台（推荐数量）</w:t>
            </w:r>
          </w:p>
        </w:tc>
        <w:tc>
          <w:tcPr>
            <w:tcW w:w="2220"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设备年限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35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1</w:t>
            </w:r>
          </w:p>
        </w:tc>
        <w:tc>
          <w:tcPr>
            <w:tcW w:w="211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吸水吸尘机</w:t>
            </w:r>
          </w:p>
        </w:tc>
        <w:tc>
          <w:tcPr>
            <w:tcW w:w="20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8</w:t>
            </w:r>
          </w:p>
        </w:tc>
        <w:tc>
          <w:tcPr>
            <w:tcW w:w="222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2</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鼓风机</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7</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3</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保洁车</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60</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洗地机</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6</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5</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翻新机</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6</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打磨晶面机</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3</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7</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多功能清洁车</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20</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8</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尘推车</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6</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9</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榨水车</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53</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lang w:val="en-US"/>
              </w:rPr>
            </w:pPr>
            <w:r>
              <w:rPr>
                <w:rFonts w:hint="eastAsia" w:asciiTheme="minorEastAsia" w:hAnsiTheme="minorEastAsia" w:eastAsiaTheme="minorEastAsia" w:cstheme="minorEastAsia"/>
                <w:color w:val="auto"/>
                <w:kern w:val="0"/>
                <w:sz w:val="21"/>
                <w:szCs w:val="21"/>
                <w:highlight w:val="none"/>
                <w:lang w:val="en-US" w:eastAsia="zh-CN"/>
              </w:rPr>
              <w:t>10</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高压水枪</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1</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lang w:val="en-US"/>
              </w:rPr>
            </w:pPr>
            <w:r>
              <w:rPr>
                <w:rFonts w:hint="eastAsia" w:asciiTheme="minorEastAsia" w:hAnsiTheme="minorEastAsia" w:eastAsiaTheme="minorEastAsia" w:cstheme="minorEastAsia"/>
                <w:color w:val="auto"/>
                <w:kern w:val="0"/>
                <w:sz w:val="21"/>
                <w:szCs w:val="21"/>
                <w:highlight w:val="none"/>
                <w:lang w:val="en-US" w:eastAsia="zh-CN"/>
              </w:rPr>
              <w:t>11</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抛光机</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2</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bl>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4、保洁人员要求：</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现场服务含管理人员总人数不低于27</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人，</w:t>
      </w:r>
      <w:r>
        <w:rPr>
          <w:rFonts w:hint="eastAsia" w:asciiTheme="minorEastAsia" w:hAnsiTheme="minorEastAsia" w:eastAsiaTheme="minorEastAsia" w:cstheme="minorEastAsia"/>
          <w:color w:val="auto"/>
          <w:kern w:val="0"/>
          <w:sz w:val="21"/>
          <w:szCs w:val="21"/>
          <w:highlight w:val="none"/>
        </w:rPr>
        <w:t>必须具备初中以上文化程度，18－55岁之间，身体健康，</w:t>
      </w:r>
      <w:r>
        <w:rPr>
          <w:rFonts w:hint="eastAsia" w:asciiTheme="minorEastAsia" w:hAnsiTheme="minorEastAsia" w:eastAsiaTheme="minorEastAsia" w:cstheme="minorEastAsia"/>
          <w:color w:val="auto"/>
          <w:sz w:val="21"/>
          <w:szCs w:val="21"/>
          <w:highlight w:val="none"/>
        </w:rPr>
        <w:t>在院内工作所有保洁人员均需持有由当地疾病预防控制中心办理的“北京市公共卫生从业人员健康体检合格证”</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sz w:val="21"/>
          <w:szCs w:val="21"/>
          <w:highlight w:val="none"/>
        </w:rPr>
        <w:t>政审合格，本人及家庭或直系亲属无不良记录，一律经背景审查合格，采取实名制并签订国家规定的劳动合同、签订安全生产责任书等相关文件</w:t>
      </w:r>
      <w:r>
        <w:rPr>
          <w:rFonts w:hint="eastAsia" w:asciiTheme="minorEastAsia" w:hAnsiTheme="minorEastAsia" w:eastAsiaTheme="minorEastAsia" w:cstheme="minorEastAsia"/>
          <w:color w:val="auto"/>
          <w:kern w:val="0"/>
          <w:sz w:val="21"/>
          <w:szCs w:val="21"/>
          <w:highlight w:val="none"/>
        </w:rPr>
        <w:t>。</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管理人员有三甲医院工作经验及现场培训能力</w:t>
      </w:r>
      <w:r>
        <w:rPr>
          <w:rFonts w:hint="eastAsia" w:asciiTheme="minorEastAsia" w:hAnsiTheme="minorEastAsia" w:eastAsiaTheme="minorEastAsia" w:cstheme="minorEastAsia"/>
          <w:color w:val="auto"/>
          <w:kern w:val="0"/>
          <w:sz w:val="21"/>
          <w:szCs w:val="21"/>
          <w:highlight w:val="none"/>
          <w:lang w:eastAsia="zh-CN"/>
        </w:rPr>
        <w:t>，且</w:t>
      </w:r>
      <w:r>
        <w:rPr>
          <w:rFonts w:hint="eastAsia" w:asciiTheme="minorEastAsia" w:hAnsiTheme="minorEastAsia" w:eastAsiaTheme="minorEastAsia" w:cstheme="minorEastAsia"/>
          <w:color w:val="auto"/>
          <w:kern w:val="0"/>
          <w:sz w:val="21"/>
          <w:szCs w:val="21"/>
          <w:highlight w:val="none"/>
        </w:rPr>
        <w:t>至少一人应参加消毒员培训并获得培训证书</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服务人员对工作认真负责，服从管理，诚实、踏实、肯干、有连续工作一年以上的能力，挂胸牌着工装（乙方提供），应熟知保洁区域的功能划分，掌握工作操作规程和相关的消毒隔离基本知识并严格执行。所有服务人员均由乙方进行岗位知识培训后上岗。</w:t>
      </w:r>
    </w:p>
    <w:p>
      <w:pPr>
        <w:adjustRightInd w:val="0"/>
        <w:snapToGrid w:val="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 xml:space="preserve">    乙方配置的管理岗位应与保洁员日常管理相匹配，应保证保洁员配置充足，完成招标文件要求的各项服务内容。并且提供为本项目配备的管理岗（应包括项目经理和项目主管）人数和普通岗人数，管理岗人员的年龄、学历、业绩、资质等情况，普通岗人员的</w:t>
      </w:r>
      <w:r>
        <w:rPr>
          <w:rFonts w:hint="eastAsia" w:asciiTheme="minorEastAsia" w:hAnsiTheme="minorEastAsia" w:eastAsiaTheme="minorEastAsia" w:cstheme="minorEastAsia"/>
          <w:color w:val="auto"/>
          <w:kern w:val="0"/>
          <w:sz w:val="21"/>
          <w:szCs w:val="21"/>
          <w:highlight w:val="none"/>
        </w:rPr>
        <w:t>数量、年龄、身高、文化程度、工作经验</w:t>
      </w:r>
      <w:r>
        <w:rPr>
          <w:rFonts w:hint="eastAsia" w:asciiTheme="minorEastAsia" w:hAnsiTheme="minorEastAsia" w:eastAsiaTheme="minorEastAsia" w:cstheme="minorEastAsia"/>
          <w:color w:val="auto"/>
          <w:sz w:val="21"/>
          <w:szCs w:val="21"/>
          <w:highlight w:val="none"/>
        </w:rPr>
        <w:t>等情况。</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合理安排人员设置及工作时间，按照岗位设置定岗定编，每天工作开始时间不得晚于6：30，每天工作结束时间不得早于18：00，特殊岗位（手术室、导管手术室、ICU、隔离病房等）另有规定的，按规定执行；根据医院院感工作要求，各岗位保洁员应相对固定，特别是重点区域保洁员</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保洁员分级管理，可分为初、中、高三级，考核合格才能晋级</w:t>
      </w:r>
      <w:r>
        <w:rPr>
          <w:rFonts w:hint="eastAsia" w:asciiTheme="minorEastAsia" w:hAnsiTheme="minorEastAsia" w:eastAsiaTheme="minorEastAsia" w:cstheme="minorEastAsia"/>
          <w:color w:val="auto"/>
          <w:kern w:val="0"/>
          <w:sz w:val="21"/>
          <w:szCs w:val="21"/>
          <w:highlight w:val="none"/>
          <w:lang w:eastAsia="zh-CN"/>
        </w:rPr>
        <w:t>，重点区域（</w:t>
      </w:r>
      <w:r>
        <w:rPr>
          <w:rFonts w:hint="eastAsia" w:asciiTheme="minorEastAsia" w:hAnsiTheme="minorEastAsia" w:eastAsiaTheme="minorEastAsia" w:cstheme="minorEastAsia"/>
          <w:color w:val="auto"/>
          <w:kern w:val="0"/>
          <w:sz w:val="21"/>
          <w:szCs w:val="21"/>
          <w:highlight w:val="none"/>
        </w:rPr>
        <w:t>手术室、ICU、血透等</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应由高级保洁员承担或至少达到一定比例，在指导下完成环境清洁消毒工作</w:t>
      </w:r>
      <w:r>
        <w:rPr>
          <w:rFonts w:hint="eastAsia" w:asciiTheme="minorEastAsia" w:hAnsiTheme="minorEastAsia" w:eastAsiaTheme="minorEastAsia" w:cstheme="minorEastAsia"/>
          <w:color w:val="auto"/>
          <w:kern w:val="0"/>
          <w:sz w:val="21"/>
          <w:szCs w:val="21"/>
          <w:highlight w:val="none"/>
          <w:lang w:eastAsia="zh-CN"/>
        </w:rPr>
        <w:t>，新入职员工不得直接安排至重点区域工作</w:t>
      </w:r>
      <w:r>
        <w:rPr>
          <w:rFonts w:hint="eastAsia" w:asciiTheme="minorEastAsia" w:hAnsiTheme="minorEastAsia" w:eastAsiaTheme="minorEastAsia" w:cstheme="minorEastAsia"/>
          <w:color w:val="auto"/>
          <w:kern w:val="0"/>
          <w:sz w:val="21"/>
          <w:szCs w:val="21"/>
          <w:highlight w:val="none"/>
        </w:rPr>
        <w:t>。固定手术室保洁人员，其人员数量不应少于38人；人流量大的公共卫生间要做到有专人清洁（男卫生间由男保洁员打扫、女卫生间由女保洁员打扫），合理设置必要的机动人员及必要的人员储备，以满足甲方的应急保洁需求。根据实际工作需要，基本满足全周7天工作。</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6、管理人员应主动加强巡视（主管每周不得少于两次、经理每月不少于两次），增加巡视频次，善于发现问题并积极整改，同时对于甲方或监管方提出的问题能做到举一反三，不断提升服务质量。</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p>
    <w:tbl>
      <w:tblPr>
        <w:tblStyle w:val="9"/>
        <w:tblW w:w="83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80"/>
        <w:gridCol w:w="4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832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保洁服务项目一标段岗位配置表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5" w:hRule="atLeast"/>
        </w:trPr>
        <w:tc>
          <w:tcPr>
            <w:tcW w:w="4080" w:type="dxa"/>
            <w:tcBorders>
              <w:top w:val="single" w:color="auto" w:sz="4" w:space="0"/>
              <w:left w:val="single" w:color="auto" w:sz="4" w:space="0"/>
              <w:bottom w:val="single" w:color="auto" w:sz="4" w:space="0"/>
              <w:right w:val="single" w:color="000000" w:sz="4" w:space="0"/>
            </w:tcBorders>
            <w:shd w:val="clear" w:color="auto" w:fill="D9D9D9"/>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区  域</w:t>
            </w:r>
          </w:p>
        </w:tc>
        <w:tc>
          <w:tcPr>
            <w:tcW w:w="4245" w:type="dxa"/>
            <w:tcBorders>
              <w:top w:val="single" w:color="auto" w:sz="4" w:space="0"/>
              <w:left w:val="single" w:color="000000" w:sz="4" w:space="0"/>
              <w:bottom w:val="single" w:color="auto" w:sz="4" w:space="0"/>
              <w:right w:val="single" w:color="auto" w:sz="4" w:space="0"/>
            </w:tcBorders>
            <w:shd w:val="clear" w:color="auto" w:fill="D9D9D9"/>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建议人员配置总数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3" w:hRule="atLeast"/>
        </w:trPr>
        <w:tc>
          <w:tcPr>
            <w:tcW w:w="408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A-2      住院一部</w:t>
            </w:r>
          </w:p>
        </w:tc>
        <w:tc>
          <w:tcPr>
            <w:tcW w:w="424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9" w:hRule="atLeast"/>
        </w:trPr>
        <w:tc>
          <w:tcPr>
            <w:tcW w:w="4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A-3       住院二部</w:t>
            </w:r>
          </w:p>
        </w:tc>
        <w:tc>
          <w:tcPr>
            <w:tcW w:w="4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7" w:hRule="atLeast"/>
        </w:trPr>
        <w:tc>
          <w:tcPr>
            <w:tcW w:w="4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A-4       住院三部</w:t>
            </w:r>
          </w:p>
        </w:tc>
        <w:tc>
          <w:tcPr>
            <w:tcW w:w="4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4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A-5       医技楼</w:t>
            </w:r>
          </w:p>
        </w:tc>
        <w:tc>
          <w:tcPr>
            <w:tcW w:w="4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rPr>
        <w:tc>
          <w:tcPr>
            <w:tcW w:w="4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外围、机动、专项、搬运工、管理人员</w:t>
            </w:r>
          </w:p>
        </w:tc>
        <w:tc>
          <w:tcPr>
            <w:tcW w:w="4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4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会服人员</w:t>
            </w:r>
          </w:p>
        </w:tc>
        <w:tc>
          <w:tcPr>
            <w:tcW w:w="4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 xml:space="preserve">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4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合计</w:t>
            </w:r>
          </w:p>
        </w:tc>
        <w:tc>
          <w:tcPr>
            <w:tcW w:w="4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277</w:t>
            </w:r>
          </w:p>
        </w:tc>
      </w:tr>
    </w:tbl>
    <w:p>
      <w:pPr>
        <w:adjustRightInd w:val="0"/>
        <w:snapToGrid w:val="0"/>
        <w:rPr>
          <w:rFonts w:hint="eastAsia" w:asciiTheme="minorEastAsia" w:hAnsiTheme="minorEastAsia" w:eastAsiaTheme="minorEastAsia" w:cstheme="minorEastAsia"/>
          <w:color w:val="auto"/>
          <w:kern w:val="0"/>
          <w:sz w:val="21"/>
          <w:szCs w:val="21"/>
          <w:highlight w:val="none"/>
        </w:rPr>
      </w:pPr>
    </w:p>
    <w:p>
      <w:pPr>
        <w:pStyle w:val="4"/>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sz w:val="21"/>
          <w:szCs w:val="21"/>
          <w:highlight w:val="none"/>
        </w:rPr>
        <w:t xml:space="preserve"> </w:t>
      </w:r>
      <w:r>
        <w:rPr>
          <w:rFonts w:hint="eastAsia" w:asciiTheme="minorEastAsia" w:hAnsiTheme="minorEastAsia" w:eastAsiaTheme="minorEastAsia" w:cstheme="minorEastAsia"/>
          <w:b/>
          <w:color w:val="auto"/>
          <w:kern w:val="0"/>
          <w:sz w:val="21"/>
          <w:szCs w:val="21"/>
          <w:highlight w:val="none"/>
        </w:rPr>
        <w:t>（二）员工基本素质要求</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1、仪容仪表：统一着工装、工鞋（乙方提供），穿着整洁，仪表端庄。</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2、行为举止：精神饱满、诚实稳重、言谈举止文明、不大声喧哗。</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3、文明礼貌，尊重他人、态度和蔼、保护病人隐私、使用文明用语。</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4、遵纪守法、遵守操作规程、遵守劳动纪律、遵守医院规章制度。</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5、具备医院保洁基本知识，岗前培训考核合格后上岗，保障病人及医疗环境安全，做好个人防护。</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6、工装要求</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（1）保洁服装由甲方核定服装样式及颜色，乙方支付服装费用；</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（2）保洁服装由乙方负责清洗，清洁费用由乙方自付，每周至少清洗2次。</w:t>
      </w:r>
    </w:p>
    <w:p>
      <w:pPr>
        <w:adjustRightInd w:val="0"/>
        <w:snapToGrid w:val="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b/>
          <w:color w:val="auto"/>
          <w:kern w:val="0"/>
          <w:sz w:val="21"/>
          <w:szCs w:val="21"/>
          <w:highlight w:val="none"/>
        </w:rPr>
        <w:t>（三）卫生保洁标准</w:t>
      </w:r>
      <w:r>
        <w:rPr>
          <w:rFonts w:hint="eastAsia" w:asciiTheme="minorEastAsia" w:hAnsiTheme="minorEastAsia" w:eastAsiaTheme="minorEastAsia" w:cstheme="minorEastAsia"/>
          <w:b/>
          <w:color w:val="auto"/>
          <w:sz w:val="21"/>
          <w:szCs w:val="21"/>
          <w:highlight w:val="none"/>
        </w:rPr>
        <w:t xml:space="preserve">          </w:t>
      </w:r>
    </w:p>
    <w:p>
      <w:pPr>
        <w:autoSpaceDE w:val="0"/>
        <w:autoSpaceDN w:val="0"/>
        <w:adjustRightInd w:val="0"/>
        <w:snapToGrid w:val="0"/>
        <w:ind w:firstLine="422" w:firstLineChars="200"/>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1、楼内大厅、走廊保洁标准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(1)地面：表面洁净、无尘土、污迹、烟头、纸屑、油渍及垃圾。</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(2)墙面，踢脚线：无尘土、污迹。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(3)照明灯具：无尘土。</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10"/>
          <w:sz w:val="21"/>
          <w:szCs w:val="21"/>
          <w:highlight w:val="none"/>
        </w:rPr>
        <w:t>(4)</w:t>
      </w:r>
      <w:r>
        <w:rPr>
          <w:rFonts w:hint="eastAsia" w:asciiTheme="minorEastAsia" w:hAnsiTheme="minorEastAsia" w:eastAsiaTheme="minorEastAsia" w:cstheme="minorEastAsia"/>
          <w:color w:val="auto"/>
          <w:kern w:val="0"/>
          <w:sz w:val="21"/>
          <w:szCs w:val="21"/>
          <w:highlight w:val="none"/>
        </w:rPr>
        <w:t>各房间门，通道门：无尘土、污迹。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10"/>
          <w:sz w:val="21"/>
          <w:szCs w:val="21"/>
          <w:highlight w:val="none"/>
        </w:rPr>
        <w:t>(5)</w:t>
      </w:r>
      <w:r>
        <w:rPr>
          <w:rFonts w:hint="eastAsia" w:asciiTheme="minorEastAsia" w:hAnsiTheme="minorEastAsia" w:eastAsiaTheme="minorEastAsia" w:cstheme="minorEastAsia"/>
          <w:color w:val="auto"/>
          <w:kern w:val="0"/>
          <w:sz w:val="21"/>
          <w:szCs w:val="21"/>
          <w:highlight w:val="none"/>
        </w:rPr>
        <w:t>不锈钢面：污点、污渍。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(6)装饰物：盆、座、框表洁净无尘土，墙饰物等表面无尘土。</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(7)垃圾桶：桶内垃圾不超过容积的2/3，内外表面洁净。</w:t>
      </w:r>
    </w:p>
    <w:p>
      <w:pPr>
        <w:tabs>
          <w:tab w:val="center" w:pos="4153"/>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(8)候诊椅、护士站：摆放整齐，表面洁净、无尘土、污迹、烟头、纸屑、油渍及垃圾。</w:t>
      </w:r>
    </w:p>
    <w:p>
      <w:pPr>
        <w:tabs>
          <w:tab w:val="center" w:pos="4153"/>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(9)院内自助挂号机、ATM机等辅助就诊设施及便民服务设施：无尘土、污迹、油渍及垃圾。</w:t>
      </w:r>
    </w:p>
    <w:p>
      <w:pPr>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18"/>
          <w:sz w:val="21"/>
          <w:szCs w:val="21"/>
          <w:highlight w:val="none"/>
        </w:rPr>
        <w:t>(10)公共区域消火栓：定期清洁、无尘土、污迹</w:t>
      </w:r>
      <w:r>
        <w:rPr>
          <w:rFonts w:hint="eastAsia" w:asciiTheme="minorEastAsia" w:hAnsiTheme="minorEastAsia" w:eastAsiaTheme="minorEastAsia" w:cstheme="minorEastAsia"/>
          <w:color w:val="auto"/>
          <w:kern w:val="0"/>
          <w:sz w:val="21"/>
          <w:szCs w:val="21"/>
          <w:highlight w:val="none"/>
        </w:rPr>
        <w:t>。</w:t>
      </w:r>
    </w:p>
    <w:p>
      <w:pPr>
        <w:autoSpaceDE w:val="0"/>
        <w:autoSpaceDN w:val="0"/>
        <w:adjustRightInd w:val="0"/>
        <w:snapToGrid w:val="0"/>
        <w:ind w:firstLine="422" w:firstLineChars="200"/>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2、公共区域及病房卫生间保洁标准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(1)卫生间：无异味、蚊蝇。</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(2)地面：无尘土、碎纸、垃圾、烟头、积水、尿迹、污迹。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(3)洗手池：池壁无污垢、痰迹及头发等不洁物。</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(4)水龙头：无印迹、尘土、污物。</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(5)洗手池台面：无水迹、尘土、污渍。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(6)镜面：无水点、水迹、尘土、污迹。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(7)小便器：无尿碱、水锈、印迹（黄渍）、污渍、喷水嘴洁净流畅。</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(8)大便器：内外洁净、无大便痕迹、污垢黄迹。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(9)手纸架：无印迹、污渍、光亮洁净。</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(10)纸篓：污物量不超过桶体２／３，内外表面洁净。</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(11)墙面，踢脚线：无尘土、污迹。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(12)顶板：无尘土、污迹</w:t>
      </w:r>
      <w:r>
        <w:rPr>
          <w:rFonts w:hint="eastAsia" w:asciiTheme="minorEastAsia" w:hAnsiTheme="minorEastAsia" w:eastAsiaTheme="minorEastAsia" w:cstheme="minorEastAsia"/>
          <w:color w:val="auto"/>
          <w:kern w:val="0"/>
          <w:sz w:val="21"/>
          <w:szCs w:val="21"/>
          <w:highlight w:val="none"/>
        </w:rPr>
        <w:t>。</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(13)隔板：无尘土、污迹、手印、笔迹、小广告</w:t>
      </w:r>
      <w:r>
        <w:rPr>
          <w:rFonts w:hint="eastAsia" w:asciiTheme="minorEastAsia" w:hAnsiTheme="minorEastAsia" w:eastAsiaTheme="minorEastAsia" w:cstheme="minorEastAsia"/>
          <w:color w:val="auto"/>
          <w:kern w:val="0"/>
          <w:sz w:val="21"/>
          <w:szCs w:val="21"/>
          <w:highlight w:val="none"/>
        </w:rPr>
        <w:t>。</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(14)门板，把手：无尘土、污迹、手印、笔迹</w:t>
      </w:r>
      <w:r>
        <w:rPr>
          <w:rFonts w:hint="eastAsia" w:asciiTheme="minorEastAsia" w:hAnsiTheme="minorEastAsia" w:eastAsiaTheme="minorEastAsia" w:cstheme="minorEastAsia"/>
          <w:color w:val="auto"/>
          <w:kern w:val="0"/>
          <w:sz w:val="21"/>
          <w:szCs w:val="21"/>
          <w:highlight w:val="none"/>
        </w:rPr>
        <w:t>。</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(15)皂液盒：无水迹、尘土、污物，按时清洗消毒</w:t>
      </w:r>
      <w:r>
        <w:rPr>
          <w:rFonts w:hint="eastAsia" w:asciiTheme="minorEastAsia" w:hAnsiTheme="minorEastAsia" w:eastAsiaTheme="minorEastAsia" w:cstheme="minorEastAsia"/>
          <w:color w:val="auto"/>
          <w:kern w:val="0"/>
          <w:sz w:val="21"/>
          <w:szCs w:val="21"/>
          <w:highlight w:val="none"/>
        </w:rPr>
        <w:t>。</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(16)烘手器：无水迹、尘土、污渍</w:t>
      </w:r>
      <w:r>
        <w:rPr>
          <w:rFonts w:hint="eastAsia" w:asciiTheme="minorEastAsia" w:hAnsiTheme="minorEastAsia" w:eastAsiaTheme="minorEastAsia" w:cstheme="minorEastAsia"/>
          <w:color w:val="auto"/>
          <w:kern w:val="0"/>
          <w:sz w:val="21"/>
          <w:szCs w:val="21"/>
          <w:highlight w:val="none"/>
        </w:rPr>
        <w:t>。</w:t>
      </w:r>
    </w:p>
    <w:p>
      <w:pPr>
        <w:ind w:firstLine="420" w:firstLineChars="200"/>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(17)通风口定期保洁、无灰尘</w:t>
      </w:r>
      <w:r>
        <w:rPr>
          <w:rFonts w:hint="eastAsia" w:asciiTheme="minorEastAsia" w:hAnsiTheme="minorEastAsia" w:eastAsiaTheme="minorEastAsia" w:cstheme="minorEastAsia"/>
          <w:color w:val="auto"/>
          <w:kern w:val="0"/>
          <w:sz w:val="21"/>
          <w:szCs w:val="21"/>
          <w:highlight w:val="none"/>
        </w:rPr>
        <w:t>。</w:t>
      </w:r>
    </w:p>
    <w:p>
      <w:pPr>
        <w:ind w:firstLine="420" w:firstLineChars="200"/>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(18)洗手液、滤洁、卫生纸及时补充，定期更换喷香罐</w:t>
      </w:r>
      <w:r>
        <w:rPr>
          <w:rFonts w:hint="eastAsia" w:asciiTheme="minorEastAsia" w:hAnsiTheme="minorEastAsia" w:eastAsiaTheme="minorEastAsia" w:cstheme="minorEastAsia"/>
          <w:color w:val="auto"/>
          <w:kern w:val="0"/>
          <w:sz w:val="21"/>
          <w:szCs w:val="21"/>
          <w:highlight w:val="none"/>
        </w:rPr>
        <w:t>。</w:t>
      </w:r>
    </w:p>
    <w:p>
      <w:pPr>
        <w:ind w:firstLine="420" w:firstLineChars="200"/>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(19)保洁工具干净、摆放整齐，用完归位</w:t>
      </w:r>
      <w:r>
        <w:rPr>
          <w:rFonts w:hint="eastAsia" w:asciiTheme="minorEastAsia" w:hAnsiTheme="minorEastAsia" w:eastAsiaTheme="minorEastAsia" w:cstheme="minorEastAsia"/>
          <w:color w:val="auto"/>
          <w:kern w:val="0"/>
          <w:sz w:val="21"/>
          <w:szCs w:val="21"/>
          <w:highlight w:val="none"/>
        </w:rPr>
        <w:t>。</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(20)设施损坏及时登记、报修</w:t>
      </w:r>
      <w:r>
        <w:rPr>
          <w:rFonts w:hint="eastAsia" w:asciiTheme="minorEastAsia" w:hAnsiTheme="minorEastAsia" w:eastAsiaTheme="minorEastAsia" w:cstheme="minorEastAsia"/>
          <w:color w:val="auto"/>
          <w:kern w:val="0"/>
          <w:sz w:val="21"/>
          <w:szCs w:val="21"/>
          <w:highlight w:val="none"/>
        </w:rPr>
        <w:t>。</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(21)门急诊卫生间专人进行值守，保持清洁无异味。</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18"/>
          <w:sz w:val="21"/>
          <w:szCs w:val="21"/>
          <w:highlight w:val="none"/>
        </w:rPr>
        <w:t>(2</w:t>
      </w:r>
      <w:r>
        <w:rPr>
          <w:rFonts w:hint="eastAsia" w:asciiTheme="minorEastAsia" w:hAnsiTheme="minorEastAsia" w:eastAsiaTheme="minorEastAsia" w:cstheme="minorEastAsia"/>
          <w:color w:val="auto"/>
          <w:kern w:val="18"/>
          <w:sz w:val="21"/>
          <w:szCs w:val="21"/>
          <w:highlight w:val="none"/>
          <w:lang w:val="en-US" w:eastAsia="zh-CN"/>
        </w:rPr>
        <w:t>2</w:t>
      </w:r>
      <w:r>
        <w:rPr>
          <w:rFonts w:hint="eastAsia" w:asciiTheme="minorEastAsia" w:hAnsiTheme="minorEastAsia" w:eastAsiaTheme="minorEastAsia" w:cstheme="minorEastAsia"/>
          <w:color w:val="auto"/>
          <w:kern w:val="18"/>
          <w:sz w:val="21"/>
          <w:szCs w:val="21"/>
          <w:highlight w:val="none"/>
        </w:rPr>
        <w:t>)</w:t>
      </w:r>
      <w:r>
        <w:rPr>
          <w:rFonts w:hint="eastAsia" w:asciiTheme="minorEastAsia" w:hAnsiTheme="minorEastAsia" w:eastAsiaTheme="minorEastAsia" w:cstheme="minorEastAsia"/>
          <w:color w:val="auto"/>
          <w:kern w:val="18"/>
          <w:sz w:val="21"/>
          <w:szCs w:val="21"/>
          <w:highlight w:val="none"/>
          <w:lang w:eastAsia="zh-CN"/>
        </w:rPr>
        <w:t>售卖机、挂号机等设备的日常清洁消毒</w:t>
      </w:r>
      <w:r>
        <w:rPr>
          <w:rFonts w:hint="eastAsia" w:asciiTheme="minorEastAsia" w:hAnsiTheme="minorEastAsia" w:eastAsiaTheme="minorEastAsia" w:cstheme="minorEastAsia"/>
          <w:color w:val="auto"/>
          <w:kern w:val="18"/>
          <w:sz w:val="21"/>
          <w:szCs w:val="21"/>
          <w:highlight w:val="none"/>
        </w:rPr>
        <w:t>。</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3、步行梯保洁标准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(1)地面：无尘土、痰迹、碎纸、烟头及垃圾杂物。</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(2)墙面，踢脚线：无污迹、小广告。</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(3)消防设备：表面无尘土、整洁。</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(4)楼梯，电梯间，窗框，坡道：地面无尘土、烟头、痰迹、垃圾及杂物，扶手和窗框无尘土、污渍、小广告。</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4、病区保洁标准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(1)地面：洁净、光亮、无尘土、烟头、痰迹、碎纸、烟头及垃圾杂物。</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(2)墙面，踢脚线：无尘土、污迹。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(3)窗户：明亮、无积灰。</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(4)天花板：无蜘蛛网、无积灰。</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(5)病床，床头柜，床架：无尘土、积灰、污渍</w:t>
      </w:r>
      <w:r>
        <w:rPr>
          <w:rFonts w:hint="eastAsia" w:asciiTheme="minorEastAsia" w:hAnsiTheme="minorEastAsia" w:eastAsiaTheme="minorEastAsia" w:cstheme="minorEastAsia"/>
          <w:color w:val="auto"/>
          <w:kern w:val="0"/>
          <w:sz w:val="21"/>
          <w:szCs w:val="21"/>
          <w:highlight w:val="none"/>
          <w:lang w:eastAsia="zh-CN"/>
        </w:rPr>
        <w:t>。</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(6)壁柜：无积灰、污渍。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(7)灯具：无厚积尘土。</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(8)患者出院后</w:t>
      </w:r>
      <w:r>
        <w:rPr>
          <w:rFonts w:hint="eastAsia" w:asciiTheme="minorEastAsia" w:hAnsiTheme="minorEastAsia" w:eastAsiaTheme="minorEastAsia" w:cstheme="minorEastAsia"/>
          <w:color w:val="auto"/>
          <w:kern w:val="0"/>
          <w:sz w:val="21"/>
          <w:szCs w:val="21"/>
          <w:highlight w:val="none"/>
          <w:lang w:eastAsia="zh-CN"/>
        </w:rPr>
        <w:t>，床具一床一巾应进行终末消毒流程（需对保洁人员开展培训，按照要求完成）</w:t>
      </w:r>
      <w:r>
        <w:rPr>
          <w:rFonts w:hint="eastAsia" w:asciiTheme="minorEastAsia" w:hAnsiTheme="minorEastAsia" w:eastAsiaTheme="minorEastAsia" w:cstheme="minorEastAsia"/>
          <w:color w:val="auto"/>
          <w:kern w:val="0"/>
          <w:sz w:val="21"/>
          <w:szCs w:val="21"/>
          <w:highlight w:val="none"/>
        </w:rPr>
        <w:t>。不得私自处理病人遗留的物品。</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(9)及时清理杂物和垃圾，待处理的杂物及垃圾堆放不得超过30分钟。</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(10)污物间：无异味、垃圾，室内物品摆放整洁，保洁用具分类洗消、规范悬挂晾晒、有序放置。</w:t>
      </w:r>
    </w:p>
    <w:p>
      <w:pPr>
        <w:autoSpaceDE w:val="0"/>
        <w:autoSpaceDN w:val="0"/>
        <w:adjustRightInd w:val="0"/>
        <w:snapToGrid w:val="0"/>
        <w:ind w:firstLine="413" w:firstLineChars="196"/>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5、生活区、浴室、示教室及行政办公区（含护士站）保洁标准：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(1)桌椅面、窗台：无尘土、污渍。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(2)地面、地毯：无污迹、异味、碎屑、渣土，云石地面清抹干净。</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(3)墙面、踢脚线：无污渍、锈斑、积土。</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(4)画框等饰物（手可触及）：无尘土、污渍。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(5)洗手池、水龙头：无污迹、水印、锈斑。</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(6)垃圾桶、碎纸机：量不超过桶体２／３，并保持桶体表面洁净。</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6、手术室、ICU保洁标准：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（1）地面、墙面：光亮、无污渍。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（2）门把手、桌面、窗台、治疗袋（消毒擦拭）、墙体附属物：清洁、无污渍。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（3）电话机、洗手池：清洁、无污渍。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（4）垃圾桶（清理、换污物袋）：无堆积、无遗漏。</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（5）手术间（擦拭消毒）地面、无影灯、手术床、台面、墙面：符合消毒隔离要求清洁，手术完毕立即清理。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（6）辅助间（擦拭消毒）:符合消毒隔离要求清洁。</w:t>
      </w:r>
    </w:p>
    <w:p>
      <w:pPr>
        <w:autoSpaceDE w:val="0"/>
        <w:autoSpaceDN w:val="0"/>
        <w:adjustRightInd w:val="0"/>
        <w:snapToGrid w:val="0"/>
        <w:ind w:firstLine="420" w:firstLineChars="200"/>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（7）更衣室、洗澡间、办公区（擦拭消毒）:符合消毒隔离要求清洁。</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7、玻璃清洁标准：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(1)对医院内所有房间、公共区域内侧玻璃进行清洁，无尘土、无水印、无污迹。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(2)对医院内所有房间、公共区域外侧玻璃（只限于一层）进行清洁，无尘土、无水印、无污迹。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(3)对辖区内所有雨搭、车库出入口玻璃表面进行清洁，无尘土、无水印、无污迹。</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8、庭院内外环境卫生标准：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(1)院内及门前三包地段无纸屑、塑料袋、小广告、烟头、痰迹。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(2)院内及门前三包地段雨天及时清扫疏通，无积水，主要交通要道要有防滑措施。</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(3)院内及门前三包地段雪天及时清理，无积雪、积冰，主要交通要道要有防滑融冰措施。</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(4)院内垃圾桶每日擦拭保持桶体表面洁净无污垢、痰渍，垃圾每日清理两次，量不超过桶体2/3，桶内垃圾袋及时更换。</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(5)院内地面雨篦子每日清理，不发生封堵、阻塞现象。</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(6)院内绿地花园内无烟头、垃圾。</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(7)院内楼群阳光走廊顶、露台面洁净，无烟头、垃圾。</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9、专项工作要求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专项清洁保洁工作：负责各楼层PVC地面清洁，石材日常清洗、高空管道</w:t>
      </w:r>
      <w:r>
        <w:rPr>
          <w:rFonts w:hint="eastAsia" w:asciiTheme="minorEastAsia" w:hAnsiTheme="minorEastAsia" w:eastAsiaTheme="minorEastAsia" w:cstheme="minorEastAsia"/>
          <w:color w:val="auto"/>
          <w:kern w:val="0"/>
          <w:sz w:val="21"/>
          <w:szCs w:val="21"/>
          <w:highlight w:val="none"/>
          <w:lang w:eastAsia="zh-CN"/>
        </w:rPr>
        <w:t>、紫外线灯</w:t>
      </w:r>
      <w:r>
        <w:rPr>
          <w:rFonts w:hint="eastAsia" w:asciiTheme="minorEastAsia" w:hAnsiTheme="minorEastAsia" w:eastAsiaTheme="minorEastAsia" w:cstheme="minorEastAsia"/>
          <w:color w:val="auto"/>
          <w:kern w:val="0"/>
          <w:sz w:val="21"/>
          <w:szCs w:val="21"/>
          <w:highlight w:val="none"/>
        </w:rPr>
        <w:t>及天花板、室内玻璃幕墙、雨搭、院区外围地面和围墙清洗，负责部分车库环形坡道的清洁；</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(1)凡在施工过程中产生噪音、粉尘、异味等对医患造成影响的工作，需安排在夜间进行；</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(2)石材整体清洗要求每年不低于两次，局部污染需立即处理，待周末或节假日时进行整体清洗，如遇重大接待、参观等事宜可适时增加清洁频次；</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(3)专项工作前需做好相应的成品保护，施工后需对施工区域做好卫生清洁和设备、设施的恢复；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(4)重点工程机房进行计划性清洁，详情见重点工程机房清洁计划；</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(5)依据甲方实际情况随时调整工作内容，乙方应无条件满足甲方要求，并及时有效的完成</w:t>
      </w:r>
    </w:p>
    <w:p>
      <w:pPr>
        <w:adjustRightInd w:val="0"/>
        <w:snapToGrid w:val="0"/>
        <w:ind w:firstLine="422" w:firstLineChars="20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b/>
          <w:color w:val="auto"/>
          <w:kern w:val="0"/>
          <w:sz w:val="21"/>
          <w:szCs w:val="21"/>
          <w:highlight w:val="none"/>
        </w:rPr>
        <w:t>（</w:t>
      </w:r>
      <w:r>
        <w:rPr>
          <w:rFonts w:hint="eastAsia" w:asciiTheme="minorEastAsia" w:hAnsiTheme="minorEastAsia" w:eastAsiaTheme="minorEastAsia" w:cstheme="minorEastAsia"/>
          <w:b/>
          <w:color w:val="auto"/>
          <w:kern w:val="0"/>
          <w:sz w:val="21"/>
          <w:szCs w:val="21"/>
          <w:highlight w:val="none"/>
          <w:lang w:eastAsia="zh-CN"/>
        </w:rPr>
        <w:t>四</w:t>
      </w:r>
      <w:r>
        <w:rPr>
          <w:rFonts w:hint="eastAsia" w:asciiTheme="minorEastAsia" w:hAnsiTheme="minorEastAsia" w:eastAsiaTheme="minorEastAsia" w:cstheme="minorEastAsia"/>
          <w:b/>
          <w:color w:val="auto"/>
          <w:kern w:val="0"/>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如发现3次以上同一问题或同一类型问题，将扣除本付款周期应付款的1%作为违约金。</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sectPr>
          <w:footerReference r:id="rId3" w:type="default"/>
          <w:pgSz w:w="11906" w:h="16838"/>
          <w:pgMar w:top="1474" w:right="1701" w:bottom="1134" w:left="1701" w:header="851" w:footer="992" w:gutter="0"/>
          <w:cols w:space="720" w:num="1"/>
          <w:docGrid w:type="lines" w:linePitch="312" w:charSpace="0"/>
        </w:sectPr>
      </w:pPr>
    </w:p>
    <w:p>
      <w:pPr>
        <w:spacing w:before="120" w:line="360"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清洁计划包含但不限于以下所列内容（请根据区域划分，详细安排计划，以A5医技楼部分区域为例）：</w:t>
      </w:r>
    </w:p>
    <w:p>
      <w:pPr>
        <w:spacing w:before="120" w:line="360" w:lineRule="auto"/>
        <w:ind w:left="359" w:leftChars="171" w:firstLine="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区域：地下</w:t>
      </w:r>
    </w:p>
    <w:tbl>
      <w:tblPr>
        <w:tblStyle w:val="9"/>
        <w:tblW w:w="12958" w:type="dxa"/>
        <w:tblInd w:w="0" w:type="dxa"/>
        <w:tblLayout w:type="fixed"/>
        <w:tblCellMar>
          <w:top w:w="0" w:type="dxa"/>
          <w:left w:w="108" w:type="dxa"/>
          <w:bottom w:w="0" w:type="dxa"/>
          <w:right w:w="108" w:type="dxa"/>
        </w:tblCellMar>
      </w:tblPr>
      <w:tblGrid>
        <w:gridCol w:w="2635"/>
        <w:gridCol w:w="1136"/>
        <w:gridCol w:w="1420"/>
        <w:gridCol w:w="1260"/>
        <w:gridCol w:w="1260"/>
        <w:gridCol w:w="1440"/>
        <w:gridCol w:w="1260"/>
        <w:gridCol w:w="1260"/>
        <w:gridCol w:w="1287"/>
      </w:tblGrid>
      <w:tr>
        <w:tblPrEx>
          <w:tblLayout w:type="fixed"/>
          <w:tblCellMar>
            <w:top w:w="0" w:type="dxa"/>
            <w:left w:w="108" w:type="dxa"/>
            <w:bottom w:w="0" w:type="dxa"/>
            <w:right w:w="108" w:type="dxa"/>
          </w:tblCellMar>
        </w:tblPrEx>
        <w:trPr>
          <w:trHeight w:val="285" w:hRule="atLeast"/>
        </w:trPr>
        <w:tc>
          <w:tcPr>
            <w:tcW w:w="2635" w:type="dxa"/>
            <w:tcBorders>
              <w:top w:val="single" w:color="auto" w:sz="8" w:space="0"/>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1136" w:type="dxa"/>
            <w:tcBorders>
              <w:top w:val="single" w:color="auto" w:sz="8" w:space="0"/>
              <w:left w:val="nil"/>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142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1260" w:type="dxa"/>
            <w:tcBorders>
              <w:top w:val="single" w:color="auto" w:sz="8"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1260" w:type="dxa"/>
            <w:tcBorders>
              <w:top w:val="single" w:color="auto" w:sz="8"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1440" w:type="dxa"/>
            <w:tcBorders>
              <w:top w:val="single" w:color="auto" w:sz="8"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1260" w:type="dxa"/>
            <w:tcBorders>
              <w:top w:val="single" w:color="auto" w:sz="8" w:space="0"/>
              <w:left w:val="nil"/>
              <w:bottom w:val="single" w:color="auto" w:sz="4" w:space="0"/>
              <w:right w:val="nil"/>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1260" w:type="dxa"/>
            <w:tcBorders>
              <w:top w:val="single" w:color="auto" w:sz="8"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287" w:type="dxa"/>
            <w:tcBorders>
              <w:top w:val="single" w:color="auto" w:sz="8" w:space="0"/>
              <w:left w:val="nil"/>
              <w:bottom w:val="nil"/>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人防楼梯</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消防楼梯</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踢脚线</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货梯间墙壁及天花</w:t>
            </w:r>
          </w:p>
        </w:tc>
        <w:tc>
          <w:tcPr>
            <w:tcW w:w="1136"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single" w:color="auto" w:sz="4" w:space="0"/>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single" w:color="auto" w:sz="4" w:space="0"/>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20" w:hRule="atLeast"/>
        </w:trPr>
        <w:tc>
          <w:tcPr>
            <w:tcW w:w="2635" w:type="dxa"/>
            <w:tcBorders>
              <w:top w:val="nil"/>
              <w:left w:val="single" w:color="auto" w:sz="8" w:space="0"/>
              <w:bottom w:val="single" w:color="auto" w:sz="8"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卫生间及浴室大清</w:t>
            </w:r>
          </w:p>
        </w:tc>
        <w:tc>
          <w:tcPr>
            <w:tcW w:w="1136" w:type="dxa"/>
            <w:tcBorders>
              <w:top w:val="single" w:color="auto" w:sz="4" w:space="0"/>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20"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260"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260"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40"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260" w:type="dxa"/>
            <w:tcBorders>
              <w:top w:val="nil"/>
              <w:left w:val="nil"/>
              <w:bottom w:val="single" w:color="auto" w:sz="8"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260" w:type="dxa"/>
            <w:tcBorders>
              <w:top w:val="nil"/>
              <w:left w:val="single" w:color="auto" w:sz="4" w:space="0"/>
              <w:bottom w:val="single" w:color="auto" w:sz="8"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287" w:type="dxa"/>
            <w:tcBorders>
              <w:top w:val="nil"/>
              <w:left w:val="single" w:color="auto" w:sz="4"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635"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安全门及闭门器</w:t>
            </w:r>
          </w:p>
        </w:tc>
        <w:tc>
          <w:tcPr>
            <w:tcW w:w="113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bl>
    <w:p>
      <w:pPr>
        <w:spacing w:before="120" w:line="360" w:lineRule="auto"/>
        <w:ind w:left="359" w:leftChars="171" w:firstLine="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区域：院区外围</w:t>
      </w:r>
    </w:p>
    <w:tbl>
      <w:tblPr>
        <w:tblStyle w:val="9"/>
        <w:tblW w:w="12153" w:type="dxa"/>
        <w:tblInd w:w="0" w:type="dxa"/>
        <w:tblLayout w:type="fixed"/>
        <w:tblCellMar>
          <w:top w:w="0" w:type="dxa"/>
          <w:left w:w="108" w:type="dxa"/>
          <w:bottom w:w="0" w:type="dxa"/>
          <w:right w:w="108" w:type="dxa"/>
        </w:tblCellMar>
      </w:tblPr>
      <w:tblGrid>
        <w:gridCol w:w="2635"/>
        <w:gridCol w:w="1136"/>
        <w:gridCol w:w="1146"/>
        <w:gridCol w:w="1260"/>
        <w:gridCol w:w="1213"/>
        <w:gridCol w:w="1386"/>
        <w:gridCol w:w="1113"/>
        <w:gridCol w:w="977"/>
        <w:gridCol w:w="1287"/>
      </w:tblGrid>
      <w:tr>
        <w:tblPrEx>
          <w:tblLayout w:type="fixed"/>
          <w:tblCellMar>
            <w:top w:w="0" w:type="dxa"/>
            <w:left w:w="108" w:type="dxa"/>
            <w:bottom w:w="0" w:type="dxa"/>
            <w:right w:w="108" w:type="dxa"/>
          </w:tblCellMar>
        </w:tblPrEx>
        <w:trPr>
          <w:trHeight w:val="285" w:hRule="atLeast"/>
        </w:trPr>
        <w:tc>
          <w:tcPr>
            <w:tcW w:w="2635"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1136"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1146"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126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1213"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1386"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1113"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977"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287" w:type="dxa"/>
            <w:tcBorders>
              <w:top w:val="single" w:color="auto" w:sz="8" w:space="0"/>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所有外围墙面</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4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260" w:type="dxa"/>
            <w:tcBorders>
              <w:top w:val="nil"/>
              <w:left w:val="nil"/>
              <w:bottom w:val="single" w:color="auto" w:sz="4" w:space="0"/>
              <w:right w:val="single" w:color="auto" w:sz="4" w:space="0"/>
            </w:tcBorders>
            <w:shd w:val="clear" w:color="000000" w:fill="FFFFFF"/>
            <w:noWrap w:val="0"/>
            <w:vAlign w:val="center"/>
          </w:tcPr>
          <w:p>
            <w:pPr>
              <w:ind w:left="-416" w:leftChars="-198" w:firstLine="363" w:firstLineChars="173"/>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13"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8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13"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7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草坪灯及地灯</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4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13"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8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13"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7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绿坡道冲洗</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4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13"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8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13"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7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伸缩门</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4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13"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8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13"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bl>
    <w:p>
      <w:pPr>
        <w:spacing w:before="120" w:line="360" w:lineRule="auto"/>
        <w:ind w:left="359" w:leftChars="171" w:firstLine="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区域：大厅</w:t>
      </w:r>
    </w:p>
    <w:tbl>
      <w:tblPr>
        <w:tblStyle w:val="9"/>
        <w:tblW w:w="12522" w:type="dxa"/>
        <w:tblInd w:w="0" w:type="dxa"/>
        <w:tblLayout w:type="fixed"/>
        <w:tblCellMar>
          <w:top w:w="0" w:type="dxa"/>
          <w:left w:w="108" w:type="dxa"/>
          <w:bottom w:w="0" w:type="dxa"/>
          <w:right w:w="108" w:type="dxa"/>
        </w:tblCellMar>
      </w:tblPr>
      <w:tblGrid>
        <w:gridCol w:w="2635"/>
        <w:gridCol w:w="1136"/>
        <w:gridCol w:w="1240"/>
        <w:gridCol w:w="1281"/>
        <w:gridCol w:w="1410"/>
        <w:gridCol w:w="1114"/>
        <w:gridCol w:w="1137"/>
        <w:gridCol w:w="999"/>
        <w:gridCol w:w="1570"/>
      </w:tblGrid>
      <w:tr>
        <w:tblPrEx>
          <w:tblLayout w:type="fixed"/>
          <w:tblCellMar>
            <w:top w:w="0" w:type="dxa"/>
            <w:left w:w="108" w:type="dxa"/>
            <w:bottom w:w="0" w:type="dxa"/>
            <w:right w:w="108" w:type="dxa"/>
          </w:tblCellMar>
        </w:tblPrEx>
        <w:trPr>
          <w:trHeight w:val="285" w:hRule="atLeast"/>
        </w:trPr>
        <w:tc>
          <w:tcPr>
            <w:tcW w:w="2635"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1136"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1240" w:type="dxa"/>
            <w:tcBorders>
              <w:top w:val="single" w:color="auto" w:sz="8"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1281" w:type="dxa"/>
            <w:tcBorders>
              <w:top w:val="single" w:color="auto" w:sz="8"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141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1114"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1137"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999"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570" w:type="dxa"/>
            <w:tcBorders>
              <w:top w:val="single" w:color="auto" w:sz="8" w:space="0"/>
              <w:left w:val="nil"/>
              <w:bottom w:val="nil"/>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85" w:hRule="atLeast"/>
        </w:trPr>
        <w:tc>
          <w:tcPr>
            <w:tcW w:w="2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大厅玻璃墙幕</w:t>
            </w:r>
          </w:p>
        </w:tc>
        <w:tc>
          <w:tcPr>
            <w:tcW w:w="113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40"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1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1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99"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70" w:type="dxa"/>
            <w:tcBorders>
              <w:top w:val="single" w:color="auto" w:sz="4" w:space="0"/>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干净明亮</w:t>
            </w:r>
          </w:p>
        </w:tc>
      </w:tr>
      <w:tr>
        <w:tblPrEx>
          <w:tblLayout w:type="fixed"/>
          <w:tblCellMar>
            <w:top w:w="0" w:type="dxa"/>
            <w:left w:w="108" w:type="dxa"/>
            <w:bottom w:w="0" w:type="dxa"/>
            <w:right w:w="108" w:type="dxa"/>
          </w:tblCellMar>
        </w:tblPrEx>
        <w:trPr>
          <w:trHeight w:val="285" w:hRule="atLeast"/>
        </w:trPr>
        <w:tc>
          <w:tcPr>
            <w:tcW w:w="2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卫生间大清</w:t>
            </w:r>
          </w:p>
        </w:tc>
        <w:tc>
          <w:tcPr>
            <w:tcW w:w="113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4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1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1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7"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99" w:type="dxa"/>
            <w:tcBorders>
              <w:top w:val="single" w:color="auto" w:sz="4" w:space="0"/>
              <w:left w:val="single" w:color="auto" w:sz="4" w:space="0"/>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70"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货梯间墙壁及天花</w:t>
            </w:r>
          </w:p>
        </w:tc>
        <w:tc>
          <w:tcPr>
            <w:tcW w:w="1136"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1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1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7"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99" w:type="dxa"/>
            <w:tcBorders>
              <w:top w:val="single" w:color="auto" w:sz="4" w:space="0"/>
              <w:left w:val="single" w:color="auto" w:sz="4" w:space="0"/>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70"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安全门及闭门器</w:t>
            </w:r>
          </w:p>
        </w:tc>
        <w:tc>
          <w:tcPr>
            <w:tcW w:w="113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40"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1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1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99"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70"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走廊顶部</w:t>
            </w:r>
          </w:p>
        </w:tc>
        <w:tc>
          <w:tcPr>
            <w:tcW w:w="113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40" w:type="dxa"/>
            <w:tcBorders>
              <w:top w:val="single" w:color="auto" w:sz="4" w:space="0"/>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10"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14" w:type="dxa"/>
            <w:tcBorders>
              <w:top w:val="single" w:color="auto" w:sz="4" w:space="0"/>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99"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bl>
    <w:p>
      <w:pPr>
        <w:spacing w:before="120" w:line="360" w:lineRule="auto"/>
        <w:ind w:left="359" w:leftChars="171" w:firstLine="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区域：B1层—3层</w:t>
      </w:r>
    </w:p>
    <w:tbl>
      <w:tblPr>
        <w:tblStyle w:val="9"/>
        <w:tblW w:w="12753" w:type="dxa"/>
        <w:tblInd w:w="0" w:type="dxa"/>
        <w:tblLayout w:type="fixed"/>
        <w:tblCellMar>
          <w:top w:w="0" w:type="dxa"/>
          <w:left w:w="108" w:type="dxa"/>
          <w:bottom w:w="0" w:type="dxa"/>
          <w:right w:w="108" w:type="dxa"/>
        </w:tblCellMar>
      </w:tblPr>
      <w:tblGrid>
        <w:gridCol w:w="2988"/>
        <w:gridCol w:w="1275"/>
        <w:gridCol w:w="1099"/>
        <w:gridCol w:w="1226"/>
        <w:gridCol w:w="1080"/>
        <w:gridCol w:w="1136"/>
        <w:gridCol w:w="1440"/>
        <w:gridCol w:w="1080"/>
        <w:gridCol w:w="1429"/>
      </w:tblGrid>
      <w:tr>
        <w:tblPrEx>
          <w:tblLayout w:type="fixed"/>
          <w:tblCellMar>
            <w:top w:w="0" w:type="dxa"/>
            <w:left w:w="108" w:type="dxa"/>
            <w:bottom w:w="0" w:type="dxa"/>
            <w:right w:w="108" w:type="dxa"/>
          </w:tblCellMar>
        </w:tblPrEx>
        <w:trPr>
          <w:trHeight w:val="285" w:hRule="atLeast"/>
        </w:trPr>
        <w:tc>
          <w:tcPr>
            <w:tcW w:w="2988"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1275"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1099"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1226"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108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1136"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1440" w:type="dxa"/>
            <w:tcBorders>
              <w:top w:val="single" w:color="auto" w:sz="8"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1080" w:type="dxa"/>
            <w:tcBorders>
              <w:top w:val="single" w:color="auto" w:sz="8"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429" w:type="dxa"/>
            <w:tcBorders>
              <w:top w:val="single" w:color="auto" w:sz="8" w:space="0"/>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85" w:hRule="atLeast"/>
        </w:trPr>
        <w:tc>
          <w:tcPr>
            <w:tcW w:w="2988"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会议室门外侧</w:t>
            </w:r>
          </w:p>
        </w:tc>
        <w:tc>
          <w:tcPr>
            <w:tcW w:w="1275" w:type="dxa"/>
            <w:tcBorders>
              <w:top w:val="nil"/>
              <w:left w:val="nil"/>
              <w:bottom w:val="nil"/>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2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single" w:color="auto" w:sz="4" w:space="0"/>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988"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安全门及闭门器</w:t>
            </w:r>
          </w:p>
        </w:tc>
        <w:tc>
          <w:tcPr>
            <w:tcW w:w="1275"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2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988"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走廊墙面</w:t>
            </w:r>
          </w:p>
        </w:tc>
        <w:tc>
          <w:tcPr>
            <w:tcW w:w="1275"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2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988" w:type="dxa"/>
            <w:tcBorders>
              <w:top w:val="nil"/>
              <w:left w:val="single" w:color="auto" w:sz="8" w:space="0"/>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机房</w:t>
            </w:r>
          </w:p>
        </w:tc>
        <w:tc>
          <w:tcPr>
            <w:tcW w:w="1275"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26"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8"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8"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988"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卫生间大清</w:t>
            </w:r>
          </w:p>
        </w:tc>
        <w:tc>
          <w:tcPr>
            <w:tcW w:w="1275"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2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425" w:hRule="atLeast"/>
        </w:trPr>
        <w:tc>
          <w:tcPr>
            <w:tcW w:w="2988"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客梯厅墙壁及天花</w:t>
            </w:r>
          </w:p>
        </w:tc>
        <w:tc>
          <w:tcPr>
            <w:tcW w:w="1275" w:type="dxa"/>
            <w:tcBorders>
              <w:top w:val="nil"/>
              <w:left w:val="nil"/>
              <w:bottom w:val="nil"/>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single" w:color="auto" w:sz="4" w:space="0"/>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2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72" w:hRule="atLeast"/>
        </w:trPr>
        <w:tc>
          <w:tcPr>
            <w:tcW w:w="2988" w:type="dxa"/>
            <w:tcBorders>
              <w:top w:val="nil"/>
              <w:left w:val="single" w:color="auto" w:sz="8" w:space="0"/>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公区墙面</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26"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nil"/>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389" w:hRule="atLeast"/>
        </w:trPr>
        <w:tc>
          <w:tcPr>
            <w:tcW w:w="2988"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茶水间热水器底部及托盘</w:t>
            </w:r>
          </w:p>
        </w:tc>
        <w:tc>
          <w:tcPr>
            <w:tcW w:w="1275"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26"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nil"/>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single" w:color="auto" w:sz="4" w:space="0"/>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413" w:hRule="atLeast"/>
        </w:trPr>
        <w:tc>
          <w:tcPr>
            <w:tcW w:w="2988" w:type="dxa"/>
            <w:tcBorders>
              <w:top w:val="nil"/>
              <w:left w:val="single" w:color="auto" w:sz="8" w:space="0"/>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诊室内、外区玻璃</w:t>
            </w:r>
          </w:p>
        </w:tc>
        <w:tc>
          <w:tcPr>
            <w:tcW w:w="1275"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nil"/>
              <w:bottom w:val="nil"/>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26"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single" w:color="auto" w:sz="4" w:space="0"/>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nil"/>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干净明亮</w:t>
            </w:r>
          </w:p>
        </w:tc>
      </w:tr>
      <w:tr>
        <w:tblPrEx>
          <w:tblLayout w:type="fixed"/>
          <w:tblCellMar>
            <w:top w:w="0" w:type="dxa"/>
            <w:left w:w="108" w:type="dxa"/>
            <w:bottom w:w="0" w:type="dxa"/>
            <w:right w:w="108" w:type="dxa"/>
          </w:tblCellMar>
        </w:tblPrEx>
        <w:trPr>
          <w:trHeight w:val="375" w:hRule="atLeast"/>
        </w:trPr>
        <w:tc>
          <w:tcPr>
            <w:tcW w:w="2988"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楼道风口</w:t>
            </w:r>
          </w:p>
        </w:tc>
        <w:tc>
          <w:tcPr>
            <w:tcW w:w="1275"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2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bl>
    <w:p>
      <w:pPr>
        <w:spacing w:before="120" w:line="360" w:lineRule="auto"/>
        <w:ind w:left="359" w:leftChars="171" w:firstLine="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专项保洁：</w:t>
      </w:r>
    </w:p>
    <w:tbl>
      <w:tblPr>
        <w:tblStyle w:val="10"/>
        <w:tblW w:w="13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260"/>
        <w:gridCol w:w="1260"/>
        <w:gridCol w:w="1260"/>
        <w:gridCol w:w="1080"/>
        <w:gridCol w:w="1080"/>
        <w:gridCol w:w="1260"/>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1260"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1260"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1080"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1080"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1260"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地面PVC清洁</w:t>
            </w: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石材日常清洁及维护</w:t>
            </w: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高空管道及天花板</w:t>
            </w: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室内玻璃幕墙</w:t>
            </w: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雨搭</w:t>
            </w: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外围地面和围墙</w:t>
            </w: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电梯、扶梯清洁</w:t>
            </w: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bl>
    <w:p>
      <w:pPr>
        <w:autoSpaceDE w:val="0"/>
        <w:autoSpaceDN w:val="0"/>
        <w:adjustRightInd w:val="0"/>
        <w:snapToGrid w:val="0"/>
        <w:spacing w:line="360" w:lineRule="auto"/>
        <w:jc w:val="left"/>
        <w:rPr>
          <w:rFonts w:hint="eastAsia" w:asciiTheme="minorEastAsia" w:hAnsiTheme="minorEastAsia" w:eastAsiaTheme="minorEastAsia" w:cstheme="minorEastAsia"/>
          <w:color w:val="auto"/>
          <w:kern w:val="0"/>
          <w:sz w:val="21"/>
          <w:szCs w:val="21"/>
          <w:highlight w:val="none"/>
        </w:rPr>
      </w:pPr>
    </w:p>
    <w:p>
      <w:pPr>
        <w:rPr>
          <w:rFonts w:hint="eastAsia" w:asciiTheme="minorEastAsia" w:hAnsiTheme="minorEastAsia" w:eastAsiaTheme="minorEastAsia" w:cstheme="minorEastAsia"/>
          <w:color w:val="auto"/>
          <w:sz w:val="21"/>
          <w:szCs w:val="21"/>
          <w:highlight w:val="none"/>
        </w:rPr>
        <w:sectPr>
          <w:pgSz w:w="16838" w:h="11906" w:orient="landscape"/>
          <w:pgMar w:top="1800" w:right="1440" w:bottom="1800" w:left="1440" w:header="851" w:footer="992" w:gutter="0"/>
          <w:cols w:space="720" w:num="1"/>
          <w:docGrid w:type="lines" w:linePitch="312" w:charSpace="0"/>
        </w:sectPr>
      </w:pPr>
    </w:p>
    <w:p>
      <w:pPr>
        <w:autoSpaceDE w:val="0"/>
        <w:autoSpaceDN w:val="0"/>
        <w:adjustRightInd w:val="0"/>
        <w:snapToGrid w:val="0"/>
        <w:spacing w:line="360" w:lineRule="auto"/>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A区重点机房清洁计划：</w:t>
      </w:r>
    </w:p>
    <w:tbl>
      <w:tblPr>
        <w:tblStyle w:val="9"/>
        <w:tblpPr w:leftFromText="180" w:rightFromText="180" w:vertAnchor="page" w:horzAnchor="margin" w:tblpXSpec="center" w:tblpY="2079"/>
        <w:tblW w:w="8688" w:type="dxa"/>
        <w:tblInd w:w="0" w:type="dxa"/>
        <w:tblLayout w:type="fixed"/>
        <w:tblCellMar>
          <w:top w:w="15" w:type="dxa"/>
          <w:left w:w="108" w:type="dxa"/>
          <w:bottom w:w="15" w:type="dxa"/>
          <w:right w:w="108" w:type="dxa"/>
        </w:tblCellMar>
      </w:tblPr>
      <w:tblGrid>
        <w:gridCol w:w="725"/>
        <w:gridCol w:w="2563"/>
        <w:gridCol w:w="1713"/>
        <w:gridCol w:w="1262"/>
        <w:gridCol w:w="1312"/>
        <w:gridCol w:w="1113"/>
      </w:tblGrid>
      <w:tr>
        <w:tblPrEx>
          <w:tblLayout w:type="fixed"/>
          <w:tblCellMar>
            <w:top w:w="15" w:type="dxa"/>
            <w:left w:w="108" w:type="dxa"/>
            <w:bottom w:w="15" w:type="dxa"/>
            <w:right w:w="108" w:type="dxa"/>
          </w:tblCellMar>
        </w:tblPrEx>
        <w:trPr>
          <w:trHeight w:val="32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序号</w:t>
            </w:r>
          </w:p>
        </w:tc>
        <w:tc>
          <w:tcPr>
            <w:tcW w:w="2563"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项  目</w:t>
            </w:r>
          </w:p>
        </w:tc>
        <w:tc>
          <w:tcPr>
            <w:tcW w:w="1713"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位置</w:t>
            </w:r>
          </w:p>
        </w:tc>
        <w:tc>
          <w:tcPr>
            <w:tcW w:w="1262"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面积㎡</w:t>
            </w:r>
          </w:p>
        </w:tc>
        <w:tc>
          <w:tcPr>
            <w:tcW w:w="1312"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清洁周期</w:t>
            </w:r>
          </w:p>
        </w:tc>
        <w:tc>
          <w:tcPr>
            <w:tcW w:w="1113"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备注</w:t>
            </w: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麻醉废气真空机房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A3四层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真空吸引机房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A3四层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r>
        <w:tblPrEx>
          <w:tblLayout w:type="fixed"/>
          <w:tblCellMar>
            <w:top w:w="15" w:type="dxa"/>
            <w:left w:w="108" w:type="dxa"/>
            <w:bottom w:w="15" w:type="dxa"/>
            <w:right w:w="108" w:type="dxa"/>
          </w:tblCellMar>
        </w:tblPrEx>
        <w:trPr>
          <w:trHeight w:val="278"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压缩空气机房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A3四层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气体机房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A4地下一层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空压机房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A4地下一层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真空吸引机房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A4地下一层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物流传输机房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A4楼四层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中水机房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A5地下一层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给水机房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A5地下一层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bl>
    <w:p>
      <w:pPr>
        <w:autoSpaceDE w:val="0"/>
        <w:autoSpaceDN w:val="0"/>
        <w:adjustRightInd w:val="0"/>
        <w:snapToGrid w:val="0"/>
        <w:spacing w:line="360" w:lineRule="auto"/>
        <w:jc w:val="left"/>
        <w:rPr>
          <w:rFonts w:hint="eastAsia" w:asciiTheme="minorEastAsia" w:hAnsiTheme="minorEastAsia" w:eastAsiaTheme="minorEastAsia" w:cstheme="minorEastAsia"/>
          <w:b/>
          <w:color w:val="auto"/>
          <w:kern w:val="0"/>
          <w:sz w:val="21"/>
          <w:szCs w:val="21"/>
          <w:highlight w:val="none"/>
        </w:rPr>
        <w:sectPr>
          <w:pgSz w:w="11906" w:h="16838"/>
          <w:pgMar w:top="1440" w:right="1800" w:bottom="1440" w:left="1800" w:header="851" w:footer="992" w:gutter="0"/>
          <w:cols w:space="720" w:num="1"/>
          <w:docGrid w:type="lines" w:linePitch="312" w:charSpace="0"/>
        </w:sectPr>
      </w:pP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kern w:val="0"/>
          <w:sz w:val="21"/>
          <w:szCs w:val="21"/>
          <w:highlight w:val="none"/>
        </w:rPr>
        <w:t>（四）地面清洁养护要求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1、对医院楼区内各种材质地面（石材、瓷砖、PVC等、石材地面、PVC地面）进行相应的清洁、维护、保养，地面打蜡每季度一次；石材地面翻新、结晶每年各一次。</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2、对于地面护理和服务所使用的各类清洁剂、蜡、光亮剂等质量均应符合国家有关卫生及环保标准，不得使用任何有害人体健康的清洗用品及原料。上述物料要求具为庄臣品牌或具有同等质量。</w:t>
      </w:r>
    </w:p>
    <w:p>
      <w:pPr>
        <w:widowControl/>
        <w:ind w:left="540" w:leftChars="257"/>
        <w:jc w:val="left"/>
        <w:rPr>
          <w:rStyle w:val="19"/>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color w:val="auto"/>
          <w:sz w:val="21"/>
          <w:szCs w:val="21"/>
          <w:highlight w:val="none"/>
        </w:rPr>
        <w:t>石材翻新及研磨技术要求：</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b/>
          <w:bCs/>
          <w:color w:val="auto"/>
          <w:sz w:val="21"/>
          <w:szCs w:val="21"/>
          <w:highlight w:val="none"/>
        </w:rPr>
        <w:t>室内地面石材</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①</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石材表面亮度以未研磨石材亮度为准。</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②</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表面平整无划痕。</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③</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石材相接部位无高低差，高低差为零。</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④</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施工后的石材表面防滑效果达到国家相关要求。</w:t>
      </w:r>
    </w:p>
    <w:p>
      <w:pPr>
        <w:pStyle w:val="20"/>
        <w:spacing w:before="0" w:beforeAutospacing="0" w:after="0" w:afterAutospacing="0"/>
        <w:ind w:left="540" w:leftChars="257"/>
        <w:jc w:val="both"/>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b/>
          <w:bCs/>
          <w:color w:val="auto"/>
          <w:sz w:val="21"/>
          <w:szCs w:val="21"/>
          <w:highlight w:val="none"/>
        </w:rPr>
        <w:t>室外石材清洗</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⑤</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石材表面油斑清除率80%。</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⑥</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石材表面车轮印迹清除率100%。</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⑦</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其它污染物清除干净。</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⑧</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石材表面锈斑清除干净。</w:t>
      </w:r>
    </w:p>
    <w:p>
      <w:pPr>
        <w:ind w:left="540" w:leftChars="257"/>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技术要求：</w:t>
      </w:r>
    </w:p>
    <w:p>
      <w:pPr>
        <w:ind w:left="540" w:leftChars="2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研磨要求</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1、大理石地面研磨材料采用符合国家质量标准的金刚石磨片，石材研磨剂—KP92、结晶粉、云石胶，石材保护剂K2—K3。</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2、工具采用符合国家强制标准的电动工具：大理石研磨机、切割机、调速机。</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3、大理石地面研磨采用第一遍50—100号金刚石磨片研磨，第二遍采用200号—600号金刚石磨片研磨，第三遍采用800—3000号金刚石磨片研磨。</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4、对大理石地面平整度偏差限值的要求为</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①表面平整度1㎜      ②缝格平直2㎜</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③接缝高低差0.5㎜    ④板块间隙宽度1㎜</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5、进入施工现场后，用保护膜对需要打磨的石材周边物体进行遮挡保护，以防施工过程中对周边物体及装饰成品收到污染和损坏。</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6、大理石地面的拼缝要清除彻底，以保证石材的整体效果，不让污物从缝隙中渗入石材中。</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7、根据石材颜色，采用石材颜色相近的云石胶调色填补缝隙及裂纹，使其整体效果一体化。</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8、精磨处理工序，待云石胶凝固后，适用翻新机配以最粗号磨头进行打磨，历经十遍以上不同磨号翻新、抛光处理，以保证石材的光泽持久。</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9、石材防护工序：经抛光处理后对版面做一层防水保护层，以确保适用时污物不再渗入。</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10、工程施工工序应严格按照从粗到细，补缝牢固，颜色一致，剪口研磨，平整与大理石面水平。</w:t>
      </w:r>
    </w:p>
    <w:p>
      <w:pPr>
        <w:ind w:firstLine="413"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结晶要求</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1、大理石地面结晶面采用符合国家质量检验标准合格产品的结晶粉K2—K3。</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2、大理石地面结晶面应清澈，致密、坚硬形成保护层，起到为石材表面加光、加硬的作用，能达到防滑、防水、防油的功效</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3、结晶加硬工序：板面干燥后才可做水晶加硬处理，反复多遍才能达到石材水晶加硬的最佳效果，而且起到防滑工程。经过处理后的石材一般光度基本能达到80度以上。</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4、工程施工结晶工序，应使用专用石材养护剂，使其充分渗透到石材内部并形成保护层（阻水层），从而达到、防污、防腐要求，以提高石材抗风化能力</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5、石材结晶完成面表面洁净、平整、坚实，光亮光滑，透明色泽一致，洁晶面层无裂纹，凹凸不平等现象。</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6、石材完成面结晶处理均匀，尤其是靠在建筑物和装饰物的地面边缘必须处理到位。</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7、石材表面结晶处理所使用的材料符合设计要求，材料必须有产品合格证及检验报告。</w:t>
      </w:r>
    </w:p>
    <w:tbl>
      <w:tblPr>
        <w:tblStyle w:val="9"/>
        <w:tblW w:w="8865" w:type="dxa"/>
        <w:tblInd w:w="0" w:type="dxa"/>
        <w:tblLayout w:type="fixed"/>
        <w:tblCellMar>
          <w:top w:w="15" w:type="dxa"/>
          <w:left w:w="15" w:type="dxa"/>
          <w:bottom w:w="15" w:type="dxa"/>
          <w:right w:w="15" w:type="dxa"/>
        </w:tblCellMar>
      </w:tblPr>
      <w:tblGrid>
        <w:gridCol w:w="4365"/>
        <w:gridCol w:w="1608"/>
        <w:gridCol w:w="1608"/>
        <w:gridCol w:w="1284"/>
      </w:tblGrid>
      <w:tr>
        <w:tblPrEx>
          <w:tblLayout w:type="fixed"/>
          <w:tblCellMar>
            <w:top w:w="15" w:type="dxa"/>
            <w:left w:w="15" w:type="dxa"/>
            <w:bottom w:w="15" w:type="dxa"/>
            <w:right w:w="15" w:type="dxa"/>
          </w:tblCellMar>
        </w:tblPrEx>
        <w:tc>
          <w:tcPr>
            <w:tcW w:w="436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4500" w:type="dxa"/>
            <w:gridSpan w:val="3"/>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翻新完成后标准值</w:t>
            </w:r>
          </w:p>
        </w:tc>
      </w:tr>
      <w:tr>
        <w:tblPrEx>
          <w:tblLayout w:type="fixed"/>
          <w:tblCellMar>
            <w:top w:w="15" w:type="dxa"/>
            <w:left w:w="15" w:type="dxa"/>
            <w:bottom w:w="15" w:type="dxa"/>
            <w:right w:w="15" w:type="dxa"/>
          </w:tblCellMar>
        </w:tblPrEx>
        <w:tc>
          <w:tcPr>
            <w:tcW w:w="4365" w:type="dxa"/>
            <w:vMerge w:val="restart"/>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1、石材表面光泽度</w:t>
            </w: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石材种类</w:t>
            </w: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石材硬度</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光泽度</w:t>
            </w:r>
          </w:p>
        </w:tc>
      </w:tr>
      <w:tr>
        <w:tblPrEx>
          <w:tblLayout w:type="fixed"/>
          <w:tblCellMar>
            <w:top w:w="15" w:type="dxa"/>
            <w:left w:w="15" w:type="dxa"/>
            <w:bottom w:w="15" w:type="dxa"/>
            <w:right w:w="15" w:type="dxa"/>
          </w:tblCellMar>
        </w:tblPrEx>
        <w:tc>
          <w:tcPr>
            <w:tcW w:w="436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大理石</w:t>
            </w: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软质</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≥80°</w:t>
            </w:r>
          </w:p>
        </w:tc>
      </w:tr>
      <w:tr>
        <w:tblPrEx>
          <w:tblLayout w:type="fixed"/>
          <w:tblCellMar>
            <w:top w:w="15" w:type="dxa"/>
            <w:left w:w="15" w:type="dxa"/>
            <w:bottom w:w="15" w:type="dxa"/>
            <w:right w:w="15" w:type="dxa"/>
          </w:tblCellMar>
        </w:tblPrEx>
        <w:tc>
          <w:tcPr>
            <w:tcW w:w="436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硬质</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≥95°</w:t>
            </w:r>
          </w:p>
        </w:tc>
      </w:tr>
      <w:tr>
        <w:tblPrEx>
          <w:tblLayout w:type="fixed"/>
          <w:tblCellMar>
            <w:top w:w="15" w:type="dxa"/>
            <w:left w:w="15" w:type="dxa"/>
            <w:bottom w:w="15" w:type="dxa"/>
            <w:right w:w="15" w:type="dxa"/>
          </w:tblCellMar>
        </w:tblPrEx>
        <w:tc>
          <w:tcPr>
            <w:tcW w:w="436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花岗石</w:t>
            </w: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软质</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≥75°</w:t>
            </w:r>
          </w:p>
        </w:tc>
      </w:tr>
      <w:tr>
        <w:tblPrEx>
          <w:tblLayout w:type="fixed"/>
          <w:tblCellMar>
            <w:top w:w="15" w:type="dxa"/>
            <w:left w:w="15" w:type="dxa"/>
            <w:bottom w:w="15" w:type="dxa"/>
            <w:right w:w="15" w:type="dxa"/>
          </w:tblCellMar>
        </w:tblPrEx>
        <w:tc>
          <w:tcPr>
            <w:tcW w:w="436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硬质</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≥80°</w:t>
            </w:r>
          </w:p>
        </w:tc>
      </w:tr>
      <w:tr>
        <w:tblPrEx>
          <w:tblLayout w:type="fixed"/>
          <w:tblCellMar>
            <w:top w:w="15" w:type="dxa"/>
            <w:left w:w="15" w:type="dxa"/>
            <w:bottom w:w="15" w:type="dxa"/>
            <w:right w:w="15" w:type="dxa"/>
          </w:tblCellMar>
        </w:tblPrEx>
        <w:trPr>
          <w:trHeight w:val="60" w:hRule="atLeast"/>
        </w:trPr>
        <w:tc>
          <w:tcPr>
            <w:tcW w:w="436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致密质</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≥80°</w:t>
            </w:r>
          </w:p>
        </w:tc>
      </w:tr>
      <w:tr>
        <w:tblPrEx>
          <w:tblLayout w:type="fixed"/>
          <w:tblCellMar>
            <w:top w:w="15" w:type="dxa"/>
            <w:left w:w="15" w:type="dxa"/>
            <w:bottom w:w="15" w:type="dxa"/>
            <w:right w:w="15" w:type="dxa"/>
          </w:tblCellMar>
        </w:tblPrEx>
        <w:tc>
          <w:tcPr>
            <w:tcW w:w="4365" w:type="dxa"/>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2、石材表面平整度</w:t>
            </w:r>
          </w:p>
        </w:tc>
        <w:tc>
          <w:tcPr>
            <w:tcW w:w="4500" w:type="dxa"/>
            <w:gridSpan w:val="3"/>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目视佳</w:t>
            </w:r>
          </w:p>
        </w:tc>
      </w:tr>
      <w:tr>
        <w:tblPrEx>
          <w:tblLayout w:type="fixed"/>
          <w:tblCellMar>
            <w:top w:w="15" w:type="dxa"/>
            <w:left w:w="15" w:type="dxa"/>
            <w:bottom w:w="15" w:type="dxa"/>
            <w:right w:w="15" w:type="dxa"/>
          </w:tblCellMar>
        </w:tblPrEx>
        <w:tc>
          <w:tcPr>
            <w:tcW w:w="4365" w:type="dxa"/>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3、石材表面研磨刮线</w:t>
            </w:r>
          </w:p>
        </w:tc>
        <w:tc>
          <w:tcPr>
            <w:tcW w:w="4500" w:type="dxa"/>
            <w:gridSpan w:val="3"/>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无刮线</w:t>
            </w:r>
          </w:p>
        </w:tc>
      </w:tr>
      <w:tr>
        <w:tblPrEx>
          <w:tblLayout w:type="fixed"/>
          <w:tblCellMar>
            <w:top w:w="15" w:type="dxa"/>
            <w:left w:w="15" w:type="dxa"/>
            <w:bottom w:w="15" w:type="dxa"/>
            <w:right w:w="15" w:type="dxa"/>
          </w:tblCellMar>
        </w:tblPrEx>
        <w:trPr>
          <w:trHeight w:val="405" w:hRule="atLeast"/>
        </w:trPr>
        <w:tc>
          <w:tcPr>
            <w:tcW w:w="4365" w:type="dxa"/>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4、研磨翻新后石材色泽变化</w:t>
            </w:r>
          </w:p>
        </w:tc>
        <w:tc>
          <w:tcPr>
            <w:tcW w:w="4500" w:type="dxa"/>
            <w:gridSpan w:val="3"/>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色泽亮丽、无烧伤变色</w:t>
            </w:r>
          </w:p>
        </w:tc>
      </w:tr>
    </w:tbl>
    <w:p>
      <w:pPr>
        <w:rPr>
          <w:rFonts w:hint="eastAsia" w:asciiTheme="minorEastAsia" w:hAnsiTheme="minorEastAsia" w:eastAsiaTheme="minorEastAsia" w:cstheme="minorEastAsia"/>
          <w:b/>
          <w:bCs/>
          <w:color w:val="auto"/>
          <w:sz w:val="21"/>
          <w:szCs w:val="21"/>
          <w:highlight w:val="none"/>
        </w:rPr>
      </w:pPr>
    </w:p>
    <w:p>
      <w:pP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PVC打蜡要求</w:t>
      </w:r>
      <w:r>
        <w:rPr>
          <w:rFonts w:hint="eastAsia" w:asciiTheme="minorEastAsia" w:hAnsiTheme="minorEastAsia" w:eastAsiaTheme="minorEastAsia" w:cstheme="minorEastAsia"/>
          <w:bCs/>
          <w:color w:val="auto"/>
          <w:sz w:val="21"/>
          <w:szCs w:val="21"/>
          <w:highlight w:val="none"/>
        </w:rPr>
        <w:t xml:space="preserve">  </w:t>
      </w:r>
    </w:p>
    <w:p>
      <w:pPr>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频次要求：为了保持塑胶地板的光洁，首次打蜡至少1底3面共铺4层蜡，保养期可根据情况打蜡2-3层面蜡。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首先用推尘或吸尘器吸尘，清除表面垃圾。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用起蜡水按1∶10稀释后均匀涂在地面上，等5—10分钟，用擦地机加黑色强力起蜡垫去蜡，及时用吸水机将污水吸干。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用清水过洗、吸干，视情况可反复清洗，直到地面不留任何残余蜡液和清洁剂。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pvc地板上3-5层高强面蜡二合一硬光蜡。    </w:t>
      </w:r>
    </w:p>
    <w:p>
      <w:pP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特殊污垢的处理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油污：局部油污，将强力除油剂原液直接倒在毛巾上擦拭;大面积油污，将除油剂按1：10稀释后，用擦地机加红色洗地垫低速清洁。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黑胶印：用喷洁保养蜡配合高速抛光机加白色抛光垫抛光处理。对于时间比较长的黑胶印，可以将强力胶印去除剂直接倒在毛巾上擦拭处理。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胶或口香糖：用专业的强力除胶剂直接倒在毛巾上檫拭去除。万能清洁剂:强力除油剂喷洁保养蜡强力胶印去除剂强力除胶剂。</w:t>
      </w:r>
    </w:p>
    <w:p>
      <w:pPr>
        <w:pStyle w:val="21"/>
        <w:ind w:firstLine="413" w:firstLineChars="19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石材日常清洁养护及翻新研磨计划表</w:t>
      </w:r>
    </w:p>
    <w:tbl>
      <w:tblPr>
        <w:tblStyle w:val="9"/>
        <w:tblW w:w="8643" w:type="dxa"/>
        <w:jc w:val="center"/>
        <w:tblInd w:w="0" w:type="dxa"/>
        <w:tblLayout w:type="fixed"/>
        <w:tblCellMar>
          <w:top w:w="0" w:type="dxa"/>
          <w:left w:w="108" w:type="dxa"/>
          <w:bottom w:w="0" w:type="dxa"/>
          <w:right w:w="108" w:type="dxa"/>
        </w:tblCellMar>
      </w:tblPr>
      <w:tblGrid>
        <w:gridCol w:w="1683"/>
        <w:gridCol w:w="699"/>
        <w:gridCol w:w="843"/>
        <w:gridCol w:w="886"/>
        <w:gridCol w:w="720"/>
        <w:gridCol w:w="720"/>
        <w:gridCol w:w="696"/>
        <w:gridCol w:w="1011"/>
        <w:gridCol w:w="1385"/>
      </w:tblGrid>
      <w:tr>
        <w:tblPrEx>
          <w:tblLayout w:type="fixed"/>
          <w:tblCellMar>
            <w:top w:w="0" w:type="dxa"/>
            <w:left w:w="108" w:type="dxa"/>
            <w:bottom w:w="0" w:type="dxa"/>
            <w:right w:w="108" w:type="dxa"/>
          </w:tblCellMar>
        </w:tblPrEx>
        <w:trPr>
          <w:trHeight w:val="288" w:hRule="atLeast"/>
          <w:jc w:val="center"/>
        </w:trPr>
        <w:tc>
          <w:tcPr>
            <w:tcW w:w="1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84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88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69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101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38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88" w:hRule="atLeast"/>
          <w:jc w:val="center"/>
        </w:trPr>
        <w:tc>
          <w:tcPr>
            <w:tcW w:w="1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大堂地面石材</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4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8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69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85" w:type="dxa"/>
            <w:vMerge w:val="restart"/>
            <w:tcBorders>
              <w:top w:val="nil"/>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干净整洁，具体详见技术要求</w:t>
            </w:r>
          </w:p>
        </w:tc>
      </w:tr>
      <w:tr>
        <w:tblPrEx>
          <w:tblLayout w:type="fixed"/>
          <w:tblCellMar>
            <w:top w:w="0" w:type="dxa"/>
            <w:left w:w="108" w:type="dxa"/>
            <w:bottom w:w="0" w:type="dxa"/>
            <w:right w:w="108" w:type="dxa"/>
          </w:tblCellMar>
        </w:tblPrEx>
        <w:trPr>
          <w:trHeight w:val="288" w:hRule="atLeast"/>
          <w:jc w:val="center"/>
        </w:trPr>
        <w:tc>
          <w:tcPr>
            <w:tcW w:w="1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大堂墙面石材</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4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8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69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85" w:type="dxa"/>
            <w:vMerge w:val="continue"/>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rPr>
            </w:pPr>
          </w:p>
        </w:tc>
      </w:tr>
      <w:tr>
        <w:tblPrEx>
          <w:tblLayout w:type="fixed"/>
          <w:tblCellMar>
            <w:top w:w="0" w:type="dxa"/>
            <w:left w:w="108" w:type="dxa"/>
            <w:bottom w:w="0" w:type="dxa"/>
            <w:right w:w="108" w:type="dxa"/>
          </w:tblCellMar>
        </w:tblPrEx>
        <w:trPr>
          <w:trHeight w:val="288" w:hRule="atLeast"/>
          <w:jc w:val="center"/>
        </w:trPr>
        <w:tc>
          <w:tcPr>
            <w:tcW w:w="1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公区通道地面</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4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8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69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85" w:type="dxa"/>
            <w:vMerge w:val="continue"/>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rPr>
            </w:pPr>
          </w:p>
        </w:tc>
      </w:tr>
      <w:tr>
        <w:tblPrEx>
          <w:tblLayout w:type="fixed"/>
          <w:tblCellMar>
            <w:top w:w="0" w:type="dxa"/>
            <w:left w:w="108" w:type="dxa"/>
            <w:bottom w:w="0" w:type="dxa"/>
            <w:right w:w="108" w:type="dxa"/>
          </w:tblCellMar>
        </w:tblPrEx>
        <w:trPr>
          <w:trHeight w:val="288" w:hRule="atLeast"/>
          <w:jc w:val="center"/>
        </w:trPr>
        <w:tc>
          <w:tcPr>
            <w:tcW w:w="1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公区通道墙面</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4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8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69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8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p>
        </w:tc>
      </w:tr>
    </w:tbl>
    <w:p>
      <w:pPr>
        <w:pStyle w:val="21"/>
        <w:ind w:left="-420" w:leftChars="-200" w:firstLine="413" w:firstLineChars="19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PVC地面日常清洁养护及翻新研磨计划表</w:t>
      </w:r>
    </w:p>
    <w:tbl>
      <w:tblPr>
        <w:tblStyle w:val="9"/>
        <w:tblW w:w="9298" w:type="dxa"/>
        <w:jc w:val="center"/>
        <w:tblInd w:w="0" w:type="dxa"/>
        <w:tblLayout w:type="fixed"/>
        <w:tblCellMar>
          <w:top w:w="0" w:type="dxa"/>
          <w:left w:w="108" w:type="dxa"/>
          <w:bottom w:w="0" w:type="dxa"/>
          <w:right w:w="108" w:type="dxa"/>
        </w:tblCellMar>
      </w:tblPr>
      <w:tblGrid>
        <w:gridCol w:w="1956"/>
        <w:gridCol w:w="771"/>
        <w:gridCol w:w="895"/>
        <w:gridCol w:w="867"/>
        <w:gridCol w:w="798"/>
        <w:gridCol w:w="900"/>
        <w:gridCol w:w="862"/>
        <w:gridCol w:w="876"/>
        <w:gridCol w:w="1373"/>
      </w:tblGrid>
      <w:tr>
        <w:tblPrEx>
          <w:tblLayout w:type="fixed"/>
          <w:tblCellMar>
            <w:top w:w="0" w:type="dxa"/>
            <w:left w:w="108" w:type="dxa"/>
            <w:bottom w:w="0" w:type="dxa"/>
            <w:right w:w="108" w:type="dxa"/>
          </w:tblCellMar>
        </w:tblPrEx>
        <w:trPr>
          <w:trHeight w:val="288" w:hRule="atLeast"/>
          <w:jc w:val="center"/>
        </w:trPr>
        <w:tc>
          <w:tcPr>
            <w:tcW w:w="19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77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89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867"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798"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90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862"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87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37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88" w:hRule="atLeast"/>
          <w:jc w:val="center"/>
        </w:trPr>
        <w:tc>
          <w:tcPr>
            <w:tcW w:w="19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诊室内PVC地面</w:t>
            </w:r>
          </w:p>
        </w:tc>
        <w:tc>
          <w:tcPr>
            <w:tcW w:w="77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9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7"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98"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0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2"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7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73" w:type="dxa"/>
            <w:vMerge w:val="restart"/>
            <w:tcBorders>
              <w:top w:val="nil"/>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干净整洁，具体详见技术要求</w:t>
            </w:r>
          </w:p>
        </w:tc>
      </w:tr>
      <w:tr>
        <w:tblPrEx>
          <w:tblLayout w:type="fixed"/>
          <w:tblCellMar>
            <w:top w:w="0" w:type="dxa"/>
            <w:left w:w="108" w:type="dxa"/>
            <w:bottom w:w="0" w:type="dxa"/>
            <w:right w:w="108" w:type="dxa"/>
          </w:tblCellMar>
        </w:tblPrEx>
        <w:trPr>
          <w:trHeight w:val="288" w:hRule="atLeast"/>
          <w:jc w:val="center"/>
        </w:trPr>
        <w:tc>
          <w:tcPr>
            <w:tcW w:w="19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通道内PVC地面</w:t>
            </w:r>
          </w:p>
        </w:tc>
        <w:tc>
          <w:tcPr>
            <w:tcW w:w="77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9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7"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98"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0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2"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7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73" w:type="dxa"/>
            <w:vMerge w:val="continue"/>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rPr>
            </w:pPr>
          </w:p>
        </w:tc>
      </w:tr>
      <w:tr>
        <w:tblPrEx>
          <w:tblLayout w:type="fixed"/>
          <w:tblCellMar>
            <w:top w:w="0" w:type="dxa"/>
            <w:left w:w="108" w:type="dxa"/>
            <w:bottom w:w="0" w:type="dxa"/>
            <w:right w:w="108" w:type="dxa"/>
          </w:tblCellMar>
        </w:tblPrEx>
        <w:trPr>
          <w:trHeight w:val="288" w:hRule="atLeast"/>
          <w:jc w:val="center"/>
        </w:trPr>
        <w:tc>
          <w:tcPr>
            <w:tcW w:w="19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公区PVC地面</w:t>
            </w:r>
          </w:p>
        </w:tc>
        <w:tc>
          <w:tcPr>
            <w:tcW w:w="77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9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7"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98"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0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2"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7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73" w:type="dxa"/>
            <w:vMerge w:val="continue"/>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rPr>
            </w:pPr>
          </w:p>
        </w:tc>
      </w:tr>
    </w:tbl>
    <w:p>
      <w:pPr>
        <w:rPr>
          <w:rFonts w:hint="eastAsia" w:asciiTheme="minorEastAsia" w:hAnsiTheme="minorEastAsia" w:eastAsiaTheme="minorEastAsia" w:cstheme="minorEastAsia"/>
          <w:bCs/>
          <w:color w:val="auto"/>
          <w:sz w:val="21"/>
          <w:szCs w:val="21"/>
          <w:highlight w:val="none"/>
        </w:rPr>
      </w:pPr>
    </w:p>
    <w:p>
      <w:pPr>
        <w:autoSpaceDE w:val="0"/>
        <w:autoSpaceDN w:val="0"/>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（五）有害生物防治内容和标准</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1、有害生物防治内容</w:t>
      </w:r>
    </w:p>
    <w:p>
      <w:pPr>
        <w:autoSpaceDE w:val="0"/>
        <w:autoSpaceDN w:val="0"/>
        <w:adjustRightInd w:val="0"/>
        <w:snapToGrid w:val="0"/>
        <w:ind w:firstLine="315" w:firstLineChars="1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（1）有害生物防治对象：蟑螂、老鼠、蚊蝇等。</w:t>
      </w:r>
    </w:p>
    <w:p>
      <w:pPr>
        <w:ind w:firstLine="315" w:firstLineChars="1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（2）有害生物防治实施范围：</w:t>
      </w:r>
    </w:p>
    <w:p>
      <w:pPr>
        <w:ind w:firstLine="465"/>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医院内的所有建筑、绿地、停车场、设备层等，总防治面积约442817</w:t>
      </w:r>
      <w:r>
        <w:rPr>
          <w:rFonts w:hint="eastAsia" w:asciiTheme="minorEastAsia" w:hAnsiTheme="minorEastAsia" w:eastAsiaTheme="minorEastAsia" w:cstheme="minorEastAsia"/>
          <w:color w:val="auto"/>
          <w:spacing w:val="15"/>
          <w:sz w:val="21"/>
          <w:szCs w:val="21"/>
          <w:highlight w:val="none"/>
        </w:rPr>
        <w:t>平方米</w:t>
      </w:r>
      <w:r>
        <w:rPr>
          <w:rFonts w:hint="eastAsia" w:asciiTheme="minorEastAsia" w:hAnsiTheme="minorEastAsia" w:eastAsiaTheme="minorEastAsia" w:cstheme="minorEastAsia"/>
          <w:color w:val="auto"/>
          <w:sz w:val="21"/>
          <w:szCs w:val="21"/>
          <w:highlight w:val="none"/>
        </w:rPr>
        <w:t>。</w:t>
      </w:r>
    </w:p>
    <w:p>
      <w:pPr>
        <w:ind w:firstLine="315" w:firstLineChars="15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（3）乙方负责提供有害生物防治所需要的药品、设备。</w:t>
      </w:r>
    </w:p>
    <w:p>
      <w:pPr>
        <w:ind w:firstLine="413" w:firstLineChars="196"/>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2、有害生物防治标准</w:t>
      </w:r>
    </w:p>
    <w:p>
      <w:pPr>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（1）服务时间安排：</w:t>
      </w:r>
    </w:p>
    <w:p>
      <w:pPr>
        <w:ind w:left="540" w:leftChars="257"/>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A.大规模灭蟑施工每季度一次，全年四次。局部消杀随时进行；</w:t>
      </w:r>
    </w:p>
    <w:p>
      <w:pPr>
        <w:ind w:left="540" w:leftChars="257"/>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B.全院性灭鼠施工每季度一次，全年四次，局部捕杀随时进行；</w:t>
      </w:r>
    </w:p>
    <w:p>
      <w:pPr>
        <w:ind w:left="540" w:leftChars="257"/>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C.大规模灭蚊蝇每月一次，盛夏季节相应增加；</w:t>
      </w:r>
    </w:p>
    <w:p>
      <w:pPr>
        <w:ind w:left="540" w:leftChars="257"/>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D.营养食堂、职工食堂、大库等重点部门每周1-2次综合施工；</w:t>
      </w:r>
    </w:p>
    <w:p>
      <w:pPr>
        <w:ind w:left="540" w:leftChars="257"/>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E.每季度进行一次有害生物防治质量和施工满意度回访，及时调整作业方案；</w:t>
      </w:r>
    </w:p>
    <w:p>
      <w:pPr>
        <w:ind w:left="540" w:leftChars="257"/>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F.积极进行蜱、螨、蚤、虱、臭虫等有害生物的预防和相关咨询。</w:t>
      </w:r>
    </w:p>
    <w:p>
      <w:pPr>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（2）服务要求：</w:t>
      </w:r>
    </w:p>
    <w:p>
      <w:pPr>
        <w:ind w:firstLine="48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对重点部位进行重点控制，其中对暖气沟、地下室、垃圾站、厕所等主要监控点及时施药重点灭杀。</w:t>
      </w:r>
    </w:p>
    <w:p>
      <w:pPr>
        <w:ind w:firstLine="48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按照北京市疾控中心及市爱卫会要求，对新院院区进行鼠药布点，不同区域配备不同鼠药，要求有标识、有警示，并提供布点后的平面图。</w:t>
      </w:r>
    </w:p>
    <w:p>
      <w:pPr>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（3）质量标准：</w:t>
      </w:r>
    </w:p>
    <w:p>
      <w:pPr>
        <w:ind w:firstLine="48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根据北京市疾控中心，市爱卫会的指示和精神，完成有害生物防治作业。并确保各项有害生物防治施工作业和指标全面达到各级主管部门的要求。</w:t>
      </w:r>
    </w:p>
    <w:p>
      <w:pPr>
        <w:ind w:firstLine="422" w:firstLineChars="200"/>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灭蟑、鼠、蚊蝇的检测标准： </w:t>
      </w:r>
    </w:p>
    <w:p>
      <w:pPr>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A.灭鼠标准  </w:t>
      </w:r>
    </w:p>
    <w:p>
      <w:pPr>
        <w:numPr>
          <w:ilvl w:val="0"/>
          <w:numId w:val="3"/>
        </w:numPr>
        <w:ind w:left="540" w:leftChars="257" w:firstLine="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1.15平方米标准房间   </w:t>
      </w:r>
    </w:p>
    <w:p>
      <w:pPr>
        <w:ind w:left="540" w:leftChars="257"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布放20*20厘米滑石粉块两块，一夜后阳性粉块不超过3％；有鼠洞、鼠粪、鼠咬等痕迹的房间不超过2％；防鼠设施不合格处不超过5％。不同类型的外环境，累计2000米，鼠迹不超过5处。  </w:t>
      </w:r>
    </w:p>
    <w:p>
      <w:pPr>
        <w:ind w:left="540" w:leftChars="257"/>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B.灭蟑螂标准   </w:t>
      </w:r>
    </w:p>
    <w:p>
      <w:pPr>
        <w:numPr>
          <w:ilvl w:val="0"/>
          <w:numId w:val="4"/>
        </w:numPr>
        <w:ind w:left="0" w:firstLine="472" w:firstLineChars="225"/>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室内有蟑螂成虫或若虫阳性房间不超过3％，平均每间房大蠊不超5只，小蠊不超过10只。    </w:t>
      </w:r>
    </w:p>
    <w:p>
      <w:pPr>
        <w:numPr>
          <w:ilvl w:val="0"/>
          <w:numId w:val="4"/>
        </w:numPr>
        <w:ind w:left="540" w:leftChars="257" w:firstLine="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有活蟑螂卵鞘房间不超过2％，平均每间房不超过4只。   </w:t>
      </w:r>
    </w:p>
    <w:p>
      <w:pPr>
        <w:numPr>
          <w:ilvl w:val="0"/>
          <w:numId w:val="4"/>
        </w:numPr>
        <w:ind w:left="540" w:leftChars="257" w:firstLine="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有蟑螂粪便蜕皮等蟑迹的房间不超过5％。</w:t>
      </w:r>
    </w:p>
    <w:p>
      <w:pPr>
        <w:ind w:left="540" w:leftChars="257"/>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C.灭蚊标准   </w:t>
      </w:r>
    </w:p>
    <w:p>
      <w:pPr>
        <w:numPr>
          <w:ilvl w:val="0"/>
          <w:numId w:val="5"/>
        </w:numPr>
        <w:ind w:left="540" w:leftChars="257" w:firstLine="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院区内外环境各种存水容器和积水中，蚊幼虫 及蛹的阳性率不超过3％。  </w:t>
      </w:r>
    </w:p>
    <w:p>
      <w:pPr>
        <w:numPr>
          <w:ilvl w:val="0"/>
          <w:numId w:val="5"/>
        </w:numPr>
        <w:ind w:left="0" w:firstLine="472" w:firstLineChars="225"/>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用500ml收集勺采集城区内大中型水体中的蚊幼虫或蛹阳性率不超3％，阳性勺内幼虫或蛹的平均数不超过5只。    </w:t>
      </w:r>
    </w:p>
    <w:p>
      <w:pPr>
        <w:numPr>
          <w:ilvl w:val="0"/>
          <w:numId w:val="5"/>
        </w:numPr>
        <w:ind w:left="540" w:leftChars="257" w:firstLine="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特殊场所白天人诱蚊30分钟，平均每人次诱获成蚊数不超过1只。     </w:t>
      </w:r>
    </w:p>
    <w:p>
      <w:pPr>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D.灭蝇标准   </w:t>
      </w:r>
    </w:p>
    <w:p>
      <w:pPr>
        <w:numPr>
          <w:ilvl w:val="0"/>
          <w:numId w:val="6"/>
        </w:numPr>
        <w:ind w:left="0" w:firstLine="472" w:firstLineChars="225"/>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重点区域有蝇房间不超过1％，其它单位不超过3％，平均每阳面房间不超过3只；防蝇设施不合格房间不超过5％；加工、销售直接入口食品的场所不得有蝇。   </w:t>
      </w:r>
    </w:p>
    <w:p>
      <w:pPr>
        <w:numPr>
          <w:ilvl w:val="0"/>
          <w:numId w:val="6"/>
        </w:numPr>
        <w:ind w:left="540" w:leftChars="257" w:firstLine="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蝇类孳生地得到有效治理，幼虫和蛹的检出率不超过3％。 </w:t>
      </w:r>
    </w:p>
    <w:p>
      <w:pPr>
        <w:ind w:firstLine="413" w:firstLineChars="19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消杀工作计划：</w:t>
      </w:r>
    </w:p>
    <w:tbl>
      <w:tblPr>
        <w:tblStyle w:val="9"/>
        <w:tblW w:w="8788" w:type="dxa"/>
        <w:jc w:val="center"/>
        <w:tblInd w:w="-252" w:type="dxa"/>
        <w:tblLayout w:type="fixed"/>
        <w:tblCellMar>
          <w:top w:w="0" w:type="dxa"/>
          <w:left w:w="108" w:type="dxa"/>
          <w:bottom w:w="0" w:type="dxa"/>
          <w:right w:w="108" w:type="dxa"/>
        </w:tblCellMar>
      </w:tblPr>
      <w:tblGrid>
        <w:gridCol w:w="900"/>
        <w:gridCol w:w="878"/>
        <w:gridCol w:w="3050"/>
        <w:gridCol w:w="3960"/>
      </w:tblGrid>
      <w:tr>
        <w:tblPrEx>
          <w:tblLayout w:type="fixed"/>
          <w:tblCellMar>
            <w:top w:w="0" w:type="dxa"/>
            <w:left w:w="108" w:type="dxa"/>
            <w:bottom w:w="0" w:type="dxa"/>
            <w:right w:w="108" w:type="dxa"/>
          </w:tblCellMar>
        </w:tblPrEx>
        <w:trPr>
          <w:trHeight w:val="614"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项目</w:t>
            </w:r>
          </w:p>
          <w:p>
            <w:pP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月份</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虫害</w:t>
            </w:r>
          </w:p>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类型</w:t>
            </w:r>
          </w:p>
        </w:tc>
        <w:tc>
          <w:tcPr>
            <w:tcW w:w="3050"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作业区域</w:t>
            </w:r>
          </w:p>
        </w:tc>
        <w:tc>
          <w:tcPr>
            <w:tcW w:w="3960"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使用药剂</w:t>
            </w:r>
          </w:p>
        </w:tc>
      </w:tr>
      <w:tr>
        <w:tblPrEx>
          <w:tblLayout w:type="fixed"/>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1月</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蟑螂</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洁园灭蟑饵剂、凯素灵、除敌 </w:t>
            </w:r>
          </w:p>
        </w:tc>
      </w:tr>
      <w:tr>
        <w:tblPrEx>
          <w:tblLayout w:type="fixed"/>
          <w:tblCellMar>
            <w:top w:w="0" w:type="dxa"/>
            <w:left w:w="108" w:type="dxa"/>
            <w:bottom w:w="0" w:type="dxa"/>
            <w:right w:w="108" w:type="dxa"/>
          </w:tblCellMar>
        </w:tblPrEx>
        <w:trPr>
          <w:trHeight w:val="657" w:hRule="atLeast"/>
          <w:jc w:val="center"/>
        </w:trPr>
        <w:tc>
          <w:tcPr>
            <w:tcW w:w="90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2月</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蟑螂</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洁园灭蟑饵剂、凯素灵 、除敌、悬浮剂1号、克抗等</w:t>
            </w:r>
          </w:p>
        </w:tc>
      </w:tr>
      <w:tr>
        <w:tblPrEx>
          <w:tblLayout w:type="fixed"/>
          <w:tblCellMar>
            <w:top w:w="0" w:type="dxa"/>
            <w:left w:w="108" w:type="dxa"/>
            <w:bottom w:w="0" w:type="dxa"/>
            <w:right w:w="108" w:type="dxa"/>
          </w:tblCellMar>
        </w:tblPrEx>
        <w:trPr>
          <w:trHeight w:val="355" w:hRule="atLeast"/>
          <w:jc w:val="center"/>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 w:val="21"/>
                <w:szCs w:val="21"/>
                <w:highlight w:val="none"/>
              </w:rPr>
            </w:pP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鼠</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鼠盒、溴敌隆、立克命</w:t>
            </w:r>
          </w:p>
        </w:tc>
      </w:tr>
      <w:tr>
        <w:tblPrEx>
          <w:tblLayout w:type="fixed"/>
          <w:tblCellMar>
            <w:top w:w="0" w:type="dxa"/>
            <w:left w:w="108" w:type="dxa"/>
            <w:bottom w:w="0" w:type="dxa"/>
            <w:right w:w="108" w:type="dxa"/>
          </w:tblCellMar>
        </w:tblPrEx>
        <w:trPr>
          <w:trHeight w:val="402"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3月</w:t>
            </w:r>
          </w:p>
        </w:tc>
        <w:tc>
          <w:tcPr>
            <w:tcW w:w="878" w:type="dxa"/>
            <w:tcBorders>
              <w:top w:val="single" w:color="auto" w:sz="4" w:space="0"/>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蚊蝇</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洁园灭蟑饵剂、凯素灵、除敌</w:t>
            </w:r>
          </w:p>
        </w:tc>
      </w:tr>
      <w:tr>
        <w:tblPrEx>
          <w:tblLayout w:type="fixed"/>
          <w:tblCellMar>
            <w:top w:w="0" w:type="dxa"/>
            <w:left w:w="108" w:type="dxa"/>
            <w:bottom w:w="0" w:type="dxa"/>
            <w:right w:w="108" w:type="dxa"/>
          </w:tblCellMar>
        </w:tblPrEx>
        <w:trPr>
          <w:trHeight w:val="713" w:hRule="atLeast"/>
          <w:jc w:val="center"/>
        </w:trPr>
        <w:tc>
          <w:tcPr>
            <w:tcW w:w="900" w:type="dxa"/>
            <w:vMerge w:val="restart"/>
            <w:tcBorders>
              <w:top w:val="nil"/>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4月</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蚊蝇</w:t>
            </w:r>
          </w:p>
          <w:p>
            <w:pPr>
              <w:jc w:val="center"/>
              <w:rPr>
                <w:rFonts w:hint="eastAsia" w:asciiTheme="minorEastAsia" w:hAnsiTheme="minorEastAsia" w:eastAsiaTheme="minorEastAsia" w:cstheme="minorEastAsia"/>
                <w:color w:val="auto"/>
                <w:sz w:val="21"/>
                <w:szCs w:val="21"/>
                <w:highlight w:val="none"/>
              </w:rPr>
            </w:pP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凯素灵、除敌、灭蚁饵剂、绿百灵可溶液剂等</w:t>
            </w:r>
          </w:p>
        </w:tc>
      </w:tr>
      <w:tr>
        <w:tblPrEx>
          <w:tblLayout w:type="fixed"/>
          <w:tblCellMar>
            <w:top w:w="0" w:type="dxa"/>
            <w:left w:w="108" w:type="dxa"/>
            <w:bottom w:w="0" w:type="dxa"/>
            <w:right w:w="108" w:type="dxa"/>
          </w:tblCellMar>
        </w:tblPrEx>
        <w:trPr>
          <w:trHeight w:val="412" w:hRule="atLeast"/>
          <w:jc w:val="center"/>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 w:val="21"/>
                <w:szCs w:val="21"/>
                <w:highlight w:val="none"/>
              </w:rPr>
            </w:pP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蟑螂</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洁园灭蟑饵剂、凯素灵、除敌</w:t>
            </w:r>
          </w:p>
        </w:tc>
      </w:tr>
      <w:tr>
        <w:tblPrEx>
          <w:tblLayout w:type="fixed"/>
          <w:tblCellMar>
            <w:top w:w="0" w:type="dxa"/>
            <w:left w:w="108" w:type="dxa"/>
            <w:bottom w:w="0" w:type="dxa"/>
            <w:right w:w="108" w:type="dxa"/>
          </w:tblCellMar>
        </w:tblPrEx>
        <w:trPr>
          <w:trHeight w:val="412" w:hRule="atLeast"/>
          <w:jc w:val="center"/>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 w:val="21"/>
                <w:szCs w:val="21"/>
                <w:highlight w:val="none"/>
              </w:rPr>
            </w:pP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鼠</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鼠盒、溴敌隆、立克命</w:t>
            </w:r>
          </w:p>
        </w:tc>
      </w:tr>
      <w:tr>
        <w:tblPrEx>
          <w:tblLayout w:type="fixed"/>
          <w:tblCellMar>
            <w:top w:w="0" w:type="dxa"/>
            <w:left w:w="108" w:type="dxa"/>
            <w:bottom w:w="0" w:type="dxa"/>
            <w:right w:w="108" w:type="dxa"/>
          </w:tblCellMar>
        </w:tblPrEx>
        <w:trPr>
          <w:trHeight w:val="686"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5月</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蚊蝇</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凯素灵、除敌、灭蚁饵剂、绿百灵可溶液剂等</w:t>
            </w:r>
          </w:p>
        </w:tc>
      </w:tr>
      <w:tr>
        <w:tblPrEx>
          <w:tblLayout w:type="fixed"/>
          <w:tblCellMar>
            <w:top w:w="0" w:type="dxa"/>
            <w:left w:w="108" w:type="dxa"/>
            <w:bottom w:w="0" w:type="dxa"/>
            <w:right w:w="108" w:type="dxa"/>
          </w:tblCellMar>
        </w:tblPrEx>
        <w:trPr>
          <w:jc w:val="center"/>
        </w:trPr>
        <w:tc>
          <w:tcPr>
            <w:tcW w:w="90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6月</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蚊蝇</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凯素灵 、除敌、悬浮剂1号等</w:t>
            </w:r>
          </w:p>
        </w:tc>
      </w:tr>
      <w:tr>
        <w:tblPrEx>
          <w:tblLayout w:type="fixed"/>
          <w:tblCellMar>
            <w:top w:w="0" w:type="dxa"/>
            <w:left w:w="108" w:type="dxa"/>
            <w:bottom w:w="0" w:type="dxa"/>
            <w:right w:w="108" w:type="dxa"/>
          </w:tblCellMar>
        </w:tblPrEx>
        <w:trPr>
          <w:trHeight w:val="651" w:hRule="atLeast"/>
          <w:jc w:val="center"/>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 w:val="21"/>
                <w:szCs w:val="21"/>
                <w:highlight w:val="none"/>
              </w:rPr>
            </w:pP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蟑螂</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洁园灭蟑饵剂、凯素灵 、除敌、悬浮剂1号等</w:t>
            </w:r>
          </w:p>
        </w:tc>
      </w:tr>
      <w:tr>
        <w:tblPrEx>
          <w:tblLayout w:type="fixed"/>
          <w:tblCellMar>
            <w:top w:w="0" w:type="dxa"/>
            <w:left w:w="108" w:type="dxa"/>
            <w:bottom w:w="0" w:type="dxa"/>
            <w:right w:w="108" w:type="dxa"/>
          </w:tblCellMar>
        </w:tblPrEx>
        <w:trPr>
          <w:trHeight w:val="408" w:hRule="atLeast"/>
          <w:jc w:val="center"/>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 w:val="21"/>
                <w:szCs w:val="21"/>
                <w:highlight w:val="none"/>
              </w:rPr>
            </w:pP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鼠</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鼠盒、溴敌隆、立克命</w:t>
            </w:r>
          </w:p>
        </w:tc>
      </w:tr>
      <w:tr>
        <w:tblPrEx>
          <w:tblLayout w:type="fixed"/>
          <w:tblCellMar>
            <w:top w:w="0" w:type="dxa"/>
            <w:left w:w="108" w:type="dxa"/>
            <w:bottom w:w="0" w:type="dxa"/>
            <w:right w:w="108" w:type="dxa"/>
          </w:tblCellMar>
        </w:tblPrEx>
        <w:trPr>
          <w:trHeight w:val="415" w:hRule="atLeast"/>
          <w:jc w:val="center"/>
        </w:trPr>
        <w:tc>
          <w:tcPr>
            <w:tcW w:w="90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7月</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蚊蝇</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凯素灵 、除敌、悬浮剂1号</w:t>
            </w:r>
          </w:p>
        </w:tc>
      </w:tr>
      <w:tr>
        <w:tblPrEx>
          <w:tblLayout w:type="fixed"/>
          <w:tblCellMar>
            <w:top w:w="0" w:type="dxa"/>
            <w:left w:w="108" w:type="dxa"/>
            <w:bottom w:w="0" w:type="dxa"/>
            <w:right w:w="108" w:type="dxa"/>
          </w:tblCellMar>
        </w:tblPrEx>
        <w:trPr>
          <w:trHeight w:val="421" w:hRule="atLeast"/>
          <w:jc w:val="center"/>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 w:val="21"/>
                <w:szCs w:val="21"/>
                <w:highlight w:val="none"/>
              </w:rPr>
            </w:pP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鼠</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鼠盒、溴敌隆、立克命</w:t>
            </w:r>
          </w:p>
        </w:tc>
      </w:tr>
      <w:tr>
        <w:tblPrEx>
          <w:tblLayout w:type="fixed"/>
          <w:tblCellMar>
            <w:top w:w="0" w:type="dxa"/>
            <w:left w:w="108" w:type="dxa"/>
            <w:bottom w:w="0" w:type="dxa"/>
            <w:right w:w="108" w:type="dxa"/>
          </w:tblCellMar>
        </w:tblPrEx>
        <w:trPr>
          <w:trHeight w:val="554" w:hRule="atLeast"/>
          <w:jc w:val="center"/>
        </w:trPr>
        <w:tc>
          <w:tcPr>
            <w:tcW w:w="90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8月</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蟑螂</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洁园灭蟑饵剂、凯素灵 、除敌、悬浮剂1号等</w:t>
            </w:r>
          </w:p>
        </w:tc>
      </w:tr>
      <w:tr>
        <w:tblPrEx>
          <w:tblLayout w:type="fixed"/>
          <w:tblCellMar>
            <w:top w:w="0" w:type="dxa"/>
            <w:left w:w="108" w:type="dxa"/>
            <w:bottom w:w="0" w:type="dxa"/>
            <w:right w:w="108" w:type="dxa"/>
          </w:tblCellMar>
        </w:tblPrEx>
        <w:trPr>
          <w:trHeight w:val="476" w:hRule="atLeast"/>
          <w:jc w:val="center"/>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 w:val="21"/>
                <w:szCs w:val="21"/>
                <w:highlight w:val="none"/>
              </w:rPr>
            </w:pP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蚊蝇</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凯素灵、除敌、绿百灵可溶液剂等</w:t>
            </w:r>
          </w:p>
        </w:tc>
      </w:tr>
      <w:tr>
        <w:tblPrEx>
          <w:tblLayout w:type="fixed"/>
          <w:tblCellMar>
            <w:top w:w="0" w:type="dxa"/>
            <w:left w:w="108" w:type="dxa"/>
            <w:bottom w:w="0" w:type="dxa"/>
            <w:right w:w="108" w:type="dxa"/>
          </w:tblCellMar>
        </w:tblPrEx>
        <w:trPr>
          <w:trHeight w:val="377" w:hRule="atLeast"/>
          <w:jc w:val="center"/>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 w:val="21"/>
                <w:szCs w:val="21"/>
                <w:highlight w:val="none"/>
              </w:rPr>
            </w:pP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鼠</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鼠盒、溴敌隆、立克命</w:t>
            </w:r>
          </w:p>
        </w:tc>
      </w:tr>
      <w:tr>
        <w:tblPrEx>
          <w:tblLayout w:type="fixed"/>
          <w:tblCellMar>
            <w:top w:w="0" w:type="dxa"/>
            <w:left w:w="108" w:type="dxa"/>
            <w:bottom w:w="0" w:type="dxa"/>
            <w:right w:w="108" w:type="dxa"/>
          </w:tblCellMar>
        </w:tblPrEx>
        <w:trPr>
          <w:trHeight w:val="425" w:hRule="atLeast"/>
          <w:jc w:val="center"/>
        </w:trPr>
        <w:tc>
          <w:tcPr>
            <w:tcW w:w="90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9月</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鼠</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鼠盒、溴敌隆、立克命</w:t>
            </w:r>
          </w:p>
        </w:tc>
      </w:tr>
      <w:tr>
        <w:tblPrEx>
          <w:tblLayout w:type="fixed"/>
          <w:tblCellMar>
            <w:top w:w="0" w:type="dxa"/>
            <w:left w:w="108" w:type="dxa"/>
            <w:bottom w:w="0" w:type="dxa"/>
            <w:right w:w="108" w:type="dxa"/>
          </w:tblCellMar>
        </w:tblPrEx>
        <w:trPr>
          <w:trHeight w:val="439" w:hRule="atLeast"/>
          <w:jc w:val="center"/>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 w:val="21"/>
                <w:szCs w:val="21"/>
                <w:highlight w:val="none"/>
              </w:rPr>
            </w:pP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蚊蝇</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凯素灵、除敌、绿百灵可溶液剂等</w:t>
            </w:r>
          </w:p>
        </w:tc>
      </w:tr>
      <w:tr>
        <w:tblPrEx>
          <w:tblLayout w:type="fixed"/>
          <w:tblCellMar>
            <w:top w:w="0" w:type="dxa"/>
            <w:left w:w="108" w:type="dxa"/>
            <w:bottom w:w="0" w:type="dxa"/>
            <w:right w:w="108" w:type="dxa"/>
          </w:tblCellMar>
        </w:tblPrEx>
        <w:trPr>
          <w:trHeight w:val="668" w:hRule="atLeast"/>
          <w:jc w:val="center"/>
        </w:trPr>
        <w:tc>
          <w:tcPr>
            <w:tcW w:w="90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10月</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蟑螂</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洁园灭蟑饵剂、凯素灵 、除敌、悬浮剂1号等</w:t>
            </w:r>
          </w:p>
        </w:tc>
      </w:tr>
      <w:tr>
        <w:tblPrEx>
          <w:tblLayout w:type="fixed"/>
          <w:tblCellMar>
            <w:top w:w="0" w:type="dxa"/>
            <w:left w:w="108" w:type="dxa"/>
            <w:bottom w:w="0" w:type="dxa"/>
            <w:right w:w="108" w:type="dxa"/>
          </w:tblCellMar>
        </w:tblPrEx>
        <w:trPr>
          <w:trHeight w:val="381" w:hRule="atLeast"/>
          <w:jc w:val="center"/>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 w:val="21"/>
                <w:szCs w:val="21"/>
                <w:highlight w:val="none"/>
              </w:rPr>
            </w:pP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鼠</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鼠盒、溴敌隆、立克命</w:t>
            </w:r>
          </w:p>
        </w:tc>
      </w:tr>
      <w:tr>
        <w:tblPrEx>
          <w:tblLayout w:type="fixed"/>
          <w:tblCellMar>
            <w:top w:w="0" w:type="dxa"/>
            <w:left w:w="108" w:type="dxa"/>
            <w:bottom w:w="0" w:type="dxa"/>
            <w:right w:w="108" w:type="dxa"/>
          </w:tblCellMar>
        </w:tblPrEx>
        <w:trPr>
          <w:trHeight w:val="624"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11月</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蟑螂</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洁园灭蟑饵剂、凯素灵 、除敌、悬浮剂1号等</w:t>
            </w:r>
          </w:p>
        </w:tc>
      </w:tr>
      <w:tr>
        <w:tblPrEx>
          <w:tblLayout w:type="fixed"/>
          <w:tblCellMar>
            <w:top w:w="0" w:type="dxa"/>
            <w:left w:w="108" w:type="dxa"/>
            <w:bottom w:w="0" w:type="dxa"/>
            <w:right w:w="108" w:type="dxa"/>
          </w:tblCellMar>
        </w:tblPrEx>
        <w:trPr>
          <w:trHeight w:val="416" w:hRule="atLeast"/>
          <w:jc w:val="center"/>
        </w:trPr>
        <w:tc>
          <w:tcPr>
            <w:tcW w:w="90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12月</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鼠</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鼠盒、溴敌隆、立克命</w:t>
            </w:r>
          </w:p>
        </w:tc>
      </w:tr>
      <w:tr>
        <w:tblPrEx>
          <w:tblLayout w:type="fixed"/>
          <w:tblCellMar>
            <w:top w:w="0" w:type="dxa"/>
            <w:left w:w="108" w:type="dxa"/>
            <w:bottom w:w="0" w:type="dxa"/>
            <w:right w:w="108" w:type="dxa"/>
          </w:tblCellMar>
        </w:tblPrEx>
        <w:trPr>
          <w:trHeight w:val="799" w:hRule="atLeast"/>
          <w:jc w:val="center"/>
        </w:trPr>
        <w:tc>
          <w:tcPr>
            <w:tcW w:w="9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 w:val="21"/>
                <w:szCs w:val="21"/>
                <w:highlight w:val="none"/>
              </w:rPr>
            </w:pP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蟑螂</w:t>
            </w:r>
          </w:p>
        </w:tc>
        <w:tc>
          <w:tcPr>
            <w:tcW w:w="305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3960" w:type="dxa"/>
            <w:tcBorders>
              <w:top w:val="single" w:color="auto" w:sz="4" w:space="0"/>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洁园灭蟑饵剂、凯素灵 、除敌、悬浮剂1号等</w:t>
            </w:r>
          </w:p>
        </w:tc>
      </w:tr>
    </w:tbl>
    <w:p>
      <w:pPr>
        <w:jc w:val="left"/>
        <w:rPr>
          <w:rFonts w:hint="eastAsia" w:asciiTheme="minorEastAsia" w:hAnsiTheme="minorEastAsia" w:eastAsiaTheme="minorEastAsia" w:cstheme="minorEastAsia"/>
          <w:color w:val="auto"/>
          <w:sz w:val="21"/>
          <w:szCs w:val="21"/>
          <w:highlight w:val="none"/>
        </w:rPr>
      </w:pPr>
    </w:p>
    <w:p>
      <w:pPr>
        <w:autoSpaceDE w:val="0"/>
        <w:autoSpaceDN w:val="0"/>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（六）其他要求</w:t>
      </w:r>
    </w:p>
    <w:p>
      <w:pPr>
        <w:autoSpaceDE w:val="0"/>
        <w:autoSpaceDN w:val="0"/>
        <w:adjustRightInd w:val="0"/>
        <w:snapToGrid w:val="0"/>
        <w:ind w:firstLine="413" w:firstLineChars="196"/>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1、医疗废物运送要求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(1)医疗废物的清运必须指定专人，做好专业防护，佩戴专用手套、帽子、隔离衣，按照甲方规定的时间、路线及操作规程。</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(2)运送人员在运送医疗废物前，应检查包装袋或容器的标识，标签及封口是否符合要求，不得将不符合要求的医疗废物运送至暂时储存地点。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(3)运送医疗废物应当使用防渗漏、防遗撒、无锐利边角、易于装卸和清洁的专用运送工具。</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(4)每日运送工作结束后，应当对运送工具进行清洁和消毒。</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(5)隔离的传染病人产生的感染性废物应当使用双层包装物，并及时封存。</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(6)包装袋内的废物不应超过袋子的3/4，并做到包扎完好，每个包装袋或容器上应标明废物产生单位、产生日期、主要内容物、运送目的地及特别说明。</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(7)运送涉疫情医废，应符合医院院感管理要求。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(8)运送医废人员应固定，不得随意更换，乙方应为其定期体检并留存体检报告。</w:t>
      </w:r>
    </w:p>
    <w:p>
      <w:pPr>
        <w:autoSpaceDE w:val="0"/>
        <w:autoSpaceDN w:val="0"/>
        <w:adjustRightInd w:val="0"/>
        <w:snapToGrid w:val="0"/>
        <w:ind w:firstLine="413" w:firstLineChars="196"/>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2、保洁应急能力及医院感染控制的专业管理知识要求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(1)当发生医疗垃圾泄漏事件时，能启动相关应急预案做好泄漏区域的消毒处置，同时报告院总务与规划建设处和院感染管理办公室并填写登记表。</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(2)当清运医疗垃圾发生锐器意外刺伤时，能启动相关应急预案进行初步处理，同时报告院总务与规划建设处和院感染管理办公室并填写登记表。</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(3)当发生重大事件时能及时向院总务与规划建设处报告，并及时协调应对本部门工作，有序保障医疗环境。</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(4)对医院废弃物的处置按照院感规定的标准执行，执行消毒隔离规定，并有制度、有标准，由措施。</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3、夜班具体要求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（1）病区应安排足够的夜班人员，以确保达到医院质量要求，工作时间为18:00至次日6:30。</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A.地面：表面洁净、无尘土、污迹、烟头、纸屑、血迹及垃圾。</w:t>
      </w:r>
      <w:r>
        <w:rPr>
          <w:rFonts w:hint="eastAsia" w:asciiTheme="minorEastAsia" w:hAnsiTheme="minorEastAsia" w:eastAsiaTheme="minorEastAsia" w:cstheme="minorEastAsia"/>
          <w:bCs/>
          <w:color w:val="auto"/>
          <w:kern w:val="0"/>
          <w:sz w:val="21"/>
          <w:szCs w:val="21"/>
          <w:highlight w:val="none"/>
        </w:rPr>
        <w:t>擦拭地面要用8·4消毒液按比例进行擦拭。</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B.纸篓、不锈钢垃圾桶：不能超越2/3，垃圾袋不能二次使用。</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C.定期清洁卫生地面、卫生死角，包括输液室座椅、床下。</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D.核磁卫生间晚间，彻底清刷一次，并</w:t>
      </w:r>
      <w:r>
        <w:rPr>
          <w:rFonts w:hint="eastAsia" w:asciiTheme="minorEastAsia" w:hAnsiTheme="minorEastAsia" w:eastAsiaTheme="minorEastAsia" w:cstheme="minorEastAsia"/>
          <w:bCs/>
          <w:color w:val="auto"/>
          <w:kern w:val="0"/>
          <w:sz w:val="21"/>
          <w:szCs w:val="21"/>
          <w:highlight w:val="none"/>
        </w:rPr>
        <w:t>使用8·4消毒液，按照使用比例正确使用。</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E.夜班保洁员不能离开工作岗位，有应急工作，随叫随到。</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 病房晚间工作</w:t>
      </w:r>
    </w:p>
    <w:p>
      <w:pPr>
        <w:tabs>
          <w:tab w:val="left" w:pos="1138"/>
          <w:tab w:val="left" w:pos="1696"/>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A.地面：表面洁净、无尘土、污迹、烟头、纸屑、垃圾。</w:t>
      </w:r>
    </w:p>
    <w:p>
      <w:pPr>
        <w:tabs>
          <w:tab w:val="left" w:pos="1138"/>
          <w:tab w:val="left" w:pos="1696"/>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B.纸篓：倾倒纸篓垃圾、周边保持清洁、垃圾袋不能二次使用。</w:t>
      </w:r>
    </w:p>
    <w:p>
      <w:pPr>
        <w:tabs>
          <w:tab w:val="left" w:pos="1138"/>
          <w:tab w:val="left" w:pos="1696"/>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C.盥洗区域：台面、镜面要保持清洁、不垃圾杂物。</w:t>
      </w:r>
    </w:p>
    <w:p>
      <w:pPr>
        <w:tabs>
          <w:tab w:val="left" w:pos="1138"/>
          <w:tab w:val="left" w:pos="1696"/>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D.便器：清洁、无污渍、无异味。</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 外围、垃圾工晚间工作</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A.巡视清扫医技、病房楼门口，烟头、垃圾。</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B.清运病房生活、医疗垃圾。</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4、其它：</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（1）告示牌正确使用，在进行湿拖、洗地机作业、雨天时要在作业区醒目位置放置告示牌，防止病人滑倒或绊倒。</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乙方要为甲方提供不间断保洁管理服务，对ICU、手术室提供24小时保洁服务；对病区安排中班及夜班保洁服务、对医院遇特殊事件安排应急保洁服务对特殊区域；特殊地面进行专项机械保洁（机械设备由保洁公司配备）。</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乙方对检验科、病理科、微生物中心实验室、临床检验室、教学实验室、门诊手术室、治疗室、处置换药室等所有检验室、实验室等医疗操作室只负责保洁工作，不负责器械、试管、玻片、导管、操作台面的清洗消毒工作。</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（4）乙方负责建筑内部手可够及处的清洁工作，负责清洁擦拭手及手持工具可够及处玻璃的清洁，频次依具体情况酌情而定；负责清洁擦拭高处灯具、通风口、内墙、拆装窗帘和隔帘（1次/季度）。</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（5）乙方负责生活垃圾、可回收和医疗废物的收集、运送至院内暂存处，提供消耗品和垃圾袋。</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（6）乙方负责提供保洁员工和管理人员的服装和工作服的洗涤；提供保洁用的桌巾、尘推、拖布及洗涤消毒剂等服务用品。</w:t>
      </w:r>
    </w:p>
    <w:p>
      <w:pPr>
        <w:autoSpaceDE w:val="0"/>
        <w:autoSpaceDN w:val="0"/>
        <w:adjustRightInd w:val="0"/>
        <w:snapToGrid w:val="0"/>
        <w:ind w:firstLine="420" w:firstLineChars="200"/>
        <w:jc w:val="left"/>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（7）乙方负责出院病人床具床头桌清洁消毒，不负责铺床工作。床具消毒要做到一床一巾。</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（8）乙方使用的所有消毒液产品、浓度，均按院感染办公室规定执行。</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（9）医疗垃圾和生活垃圾的清运必须封闭式运输，并执行保洁管理办公室规定的时间、线路及操作规程。</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（10）乙方员工要挂牌上岗，服从院保洁管理办公室工作安排，遵守医院各项规章制度。</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（11）保洁范围还包括所有区域中央、集中空调的出风口和回风口。科室内的杂物搬运等。</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（12）洗地、打蜡、石材养护等专项工作，需安排在节假日及夜间进行，做到零打扰式清洁模式。</w:t>
      </w:r>
    </w:p>
    <w:p>
      <w:pPr>
        <w:widowControl/>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四、卫生保洁考核标准</w:t>
      </w:r>
    </w:p>
    <w:p>
      <w:pPr>
        <w:widowControl/>
        <w:ind w:firstLine="413" w:firstLineChars="196"/>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1、管理要求：</w:t>
      </w:r>
    </w:p>
    <w:p>
      <w:pPr>
        <w:pStyle w:val="21"/>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乙方应按医院规定严格考勤纪律，要求所有保洁人员按要求刷指纹卡记录考勤，保洁经理因故外出，需提前告知甲方管理人员，做好工作安排和考勤记录。每月月底最后一天保洁经理与甲方管理人员应对保洁人员全月考勤签字确认。</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乙方须按合同内人员编制提供综合素质符合甲方要求的保洁服务人员。如因人员缺编造成保洁服务质量下降，保洁公司应承担全部责任；保洁公司招聘的保洁员，按要求提供相关资料（身份证复印件、健康证、无犯罪记录证明）后，方可办理进入医院工作。</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乙方应对保洁管理人员做好岗位职责、管理等方面的培训；应对保洁人员做好入职和岗前培训，确保新入职员工尽快熟悉工作流程、操作标准、礼节礼貌规范、岗位职责、劳动安全、消防安全等内容，培训合格方可上岗，若因个人原因（如未按操作流程或未按甲方要求操作）在工作中发生意外，由乙方承担全部责任。</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（4）保洁人员应遵守甲方《员工守则》内的规章制度，统一着装、统一管理，要操作规范，会使用礼貌用语。</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（5）乙方管理人员及所有保洁员工应签署《安全责任书》。</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（6）对于甲方检查出的问题，乙方应在甲方规定期限内进行整改，提交整改方案，并按要求提交书面材料报甲乙双方领导。</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（7）乙方应严格服从甲方管理，每日给员工召开班前班后会（通知环境组人员参加 ）并布置当日的工作内容做到及时沟通信息；每周与甲方共同对本周工作进行总结并提交问题整改措施。</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乙方项目管理需进行每日巡视，并做好巡视记录，对发现的问题及时进行整改及复查工作，随时起到指导和监督的作用，做到日清日毕。按照岗位职责，完成本职工作，不拖沓、不推诿、配合甲方做好对客服务。</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（9）保洁项目经理需提前一周做好每周、每月、每季度、半年度、年度工作计划及专项工作（内容全面，可操作性强），并上交环境部，对出现的相关问题进行研讨和解决。</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保洁人员应服从上级领导、团结同事、互相帮助、爱护公物、爱岗敬业，在规定时间内保质保量完成任务。保洁人员在工作时间不脱岗、不串岗、不大声喧哗，不做有损公司形象的事，不私自拿取或收受客户财物；对故意损坏、遗失工具或甲方设备设施者需按原价赔偿，所有违纪行为一经发现或被检举，视情节轻重给予相应处分直至辞退；</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（11）合理、妥善处理辞退员工事宜，避免发生劳动纠纷，甲方不承担任何责任。</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（12）乙方以季度付款为节点，对提出的问题、建议进行分析和总结，提出有效的解决措施，及时完善到服务方案及工作计划内，并上交甲方和监管方。</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四、售后服务及培训要求</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 xml:space="preserve">    </w:t>
      </w:r>
      <w:r>
        <w:rPr>
          <w:rFonts w:hint="eastAsia" w:asciiTheme="minorEastAsia" w:hAnsiTheme="minorEastAsia" w:eastAsiaTheme="minorEastAsia" w:cstheme="minorEastAsia"/>
          <w:bCs/>
          <w:color w:val="auto"/>
          <w:sz w:val="21"/>
          <w:szCs w:val="21"/>
          <w:highlight w:val="none"/>
        </w:rPr>
        <w:t>无</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五、交货时间及地点</w:t>
      </w:r>
    </w:p>
    <w:p>
      <w:pPr>
        <w:adjustRightInd w:val="0"/>
        <w:spacing w:line="360" w:lineRule="atLeast"/>
        <w:ind w:firstLine="480"/>
        <w:jc w:val="left"/>
        <w:textAlignment w:val="baseline"/>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服务期限：2年</w:t>
      </w:r>
    </w:p>
    <w:p>
      <w:pPr>
        <w:pStyle w:val="2"/>
        <w:ind w:firstLine="48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服务地点：北京市丰台区南四环西路 119 号</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六、验收服务要求</w:t>
      </w:r>
    </w:p>
    <w:p>
      <w:pPr>
        <w:widowControl/>
        <w:spacing w:line="360" w:lineRule="auto"/>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考核表</w:t>
      </w:r>
    </w:p>
    <w:tbl>
      <w:tblPr>
        <w:tblStyle w:val="9"/>
        <w:tblW w:w="9526"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218"/>
        <w:gridCol w:w="959"/>
        <w:gridCol w:w="2205"/>
        <w:gridCol w:w="1575"/>
        <w:gridCol w:w="705"/>
        <w:gridCol w:w="795"/>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9526" w:type="dxa"/>
            <w:gridSpan w:val="8"/>
            <w:shd w:val="clear" w:color="auto" w:fill="BEBEBE"/>
            <w:noWrap w:val="0"/>
            <w:vAlign w:val="center"/>
          </w:tcPr>
          <w:p>
            <w:pPr>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一．人员考核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824" w:type="dxa"/>
            <w:gridSpan w:val="2"/>
            <w:shd w:val="clear" w:color="auto" w:fill="FFFFFF"/>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出勤人数</w:t>
            </w:r>
          </w:p>
        </w:tc>
        <w:tc>
          <w:tcPr>
            <w:tcW w:w="3164" w:type="dxa"/>
            <w:gridSpan w:val="2"/>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575" w:type="dxa"/>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出勤率</w:t>
            </w:r>
          </w:p>
        </w:tc>
        <w:tc>
          <w:tcPr>
            <w:tcW w:w="2963" w:type="dxa"/>
            <w:gridSpan w:val="3"/>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526" w:type="dxa"/>
            <w:gridSpan w:val="8"/>
            <w:shd w:val="clear" w:color="auto" w:fill="BEBEBE"/>
            <w:noWrap w:val="0"/>
            <w:vAlign w:val="center"/>
          </w:tcPr>
          <w:p>
            <w:pPr>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二．服务质量考核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序号</w:t>
            </w:r>
          </w:p>
        </w:tc>
        <w:tc>
          <w:tcPr>
            <w:tcW w:w="1218"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考核项目</w:t>
            </w:r>
          </w:p>
        </w:tc>
        <w:tc>
          <w:tcPr>
            <w:tcW w:w="959"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分值</w:t>
            </w:r>
          </w:p>
        </w:tc>
        <w:tc>
          <w:tcPr>
            <w:tcW w:w="4485" w:type="dxa"/>
            <w:gridSpan w:val="3"/>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标准</w:t>
            </w:r>
          </w:p>
        </w:tc>
        <w:tc>
          <w:tcPr>
            <w:tcW w:w="795"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得分</w:t>
            </w:r>
          </w:p>
        </w:tc>
        <w:tc>
          <w:tcPr>
            <w:tcW w:w="1463"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vMerge w:val="restart"/>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p>
        </w:tc>
        <w:tc>
          <w:tcPr>
            <w:tcW w:w="1218" w:type="dxa"/>
            <w:vMerge w:val="restart"/>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 日常清洁</w:t>
            </w:r>
          </w:p>
        </w:tc>
        <w:tc>
          <w:tcPr>
            <w:tcW w:w="959" w:type="dxa"/>
            <w:vMerge w:val="restart"/>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30分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楼内公共区域、外围及地库：</w:t>
            </w:r>
            <w:r>
              <w:rPr>
                <w:rFonts w:hint="eastAsia" w:asciiTheme="minorEastAsia" w:hAnsiTheme="minorEastAsia" w:eastAsiaTheme="minorEastAsia" w:cstheme="minorEastAsia"/>
                <w:color w:val="auto"/>
                <w:sz w:val="21"/>
                <w:szCs w:val="21"/>
                <w:highlight w:val="none"/>
              </w:rPr>
              <w:t>地面光亮、无污渍、无杂物、无异味，垃圾无堆积、无遗漏、垃圾桶定制摆放、外表光亮，雨搭及玻璃（室内及地库出入口）光亮、无手印、无积尘，墙壁、顶棚、出风口、灯具、楼顶定期清洁、无杂物、无灰尘，标识及公共设施（挂号机、售卖机、花盆等）清洁、无积尘，分诊台及候诊椅摆放整齐，表面擦拭干净，定期做彻底清洁等。  不符合要求，每人次扣0.5分</w:t>
            </w:r>
          </w:p>
        </w:tc>
        <w:tc>
          <w:tcPr>
            <w:tcW w:w="795" w:type="dxa"/>
            <w:vMerge w:val="restart"/>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63" w:type="dxa"/>
            <w:vMerge w:val="restart"/>
            <w:noWrap w:val="0"/>
            <w:vAlign w:val="center"/>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1218"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959"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治疗室、药疗室、医生办公室、行政办公室、其他功能性房：</w:t>
            </w:r>
            <w:r>
              <w:rPr>
                <w:rFonts w:hint="eastAsia" w:asciiTheme="minorEastAsia" w:hAnsiTheme="minorEastAsia" w:eastAsiaTheme="minorEastAsia" w:cstheme="minorEastAsia"/>
                <w:color w:val="auto"/>
                <w:sz w:val="21"/>
                <w:szCs w:val="21"/>
                <w:highlight w:val="none"/>
              </w:rPr>
              <w:t>遵守院规、清洁后保证地面无污渍，无杂物、无卫生死角，家具、壁架等无尘土，对清洁项目进行消毒，清洁、无污渍、垃圾无堆积、医疗垃圾按院感染办规定处理。  不符合要求，每人次扣0.5分</w:t>
            </w:r>
          </w:p>
        </w:tc>
        <w:tc>
          <w:tcPr>
            <w:tcW w:w="795"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1463"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1218"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959"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楼梯、电梯：</w:t>
            </w:r>
            <w:r>
              <w:rPr>
                <w:rFonts w:hint="eastAsia" w:asciiTheme="minorEastAsia" w:hAnsiTheme="minorEastAsia" w:eastAsiaTheme="minorEastAsia" w:cstheme="minorEastAsia"/>
                <w:color w:val="auto"/>
                <w:sz w:val="21"/>
                <w:szCs w:val="21"/>
                <w:highlight w:val="none"/>
              </w:rPr>
              <w:t>清洁、楼梯扶手光亮、无污渍、无垃圾堆放，电梯轿厢内清洁、顶面定期打蜡、无污渍、无卫生死角。   不符合要求，每人次扣0.5分</w:t>
            </w:r>
          </w:p>
        </w:tc>
        <w:tc>
          <w:tcPr>
            <w:tcW w:w="795"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1463"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1218"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959"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诊室：</w:t>
            </w:r>
            <w:r>
              <w:rPr>
                <w:rFonts w:hint="eastAsia" w:asciiTheme="minorEastAsia" w:hAnsiTheme="minorEastAsia" w:eastAsiaTheme="minorEastAsia" w:cstheme="minorEastAsia"/>
                <w:color w:val="auto"/>
                <w:sz w:val="21"/>
                <w:szCs w:val="21"/>
                <w:highlight w:val="none"/>
              </w:rPr>
              <w:t>清洁、无污渍、医疗垃圾无遗漏、堆放、诊桌，椅（“一桌一巾”消毒擦拭）。不符合要求，每人次扣0.5分</w:t>
            </w:r>
          </w:p>
        </w:tc>
        <w:tc>
          <w:tcPr>
            <w:tcW w:w="795"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1463"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1218"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959"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病房及医技检查科室：</w:t>
            </w:r>
            <w:r>
              <w:rPr>
                <w:rFonts w:hint="eastAsia" w:asciiTheme="minorEastAsia" w:hAnsiTheme="minorEastAsia" w:eastAsiaTheme="minorEastAsia" w:cstheme="minorEastAsia"/>
                <w:color w:val="auto"/>
                <w:sz w:val="21"/>
                <w:szCs w:val="21"/>
                <w:highlight w:val="none"/>
              </w:rPr>
              <w:t>“一桌一巾”消毒擦拭，清洁、地面光亮，无污渍、终末消毒严格按照院感要求、擦拭及收到垃圾顺序遵循科室的要求，定期更换毛巾、地巾。不符合要求，每人次扣0.5分</w:t>
            </w:r>
          </w:p>
        </w:tc>
        <w:tc>
          <w:tcPr>
            <w:tcW w:w="795"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1463"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1218"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959"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手术室、ICU：</w:t>
            </w:r>
            <w:r>
              <w:rPr>
                <w:rFonts w:hint="eastAsia" w:asciiTheme="minorEastAsia" w:hAnsiTheme="minorEastAsia" w:eastAsiaTheme="minorEastAsia" w:cstheme="minorEastAsia"/>
                <w:color w:val="auto"/>
                <w:sz w:val="21"/>
                <w:szCs w:val="21"/>
                <w:highlight w:val="none"/>
              </w:rPr>
              <w:t>符合消毒隔离要求清洁，无死角、无污渍。不符合要求，每人次扣0.5分</w:t>
            </w:r>
          </w:p>
        </w:tc>
        <w:tc>
          <w:tcPr>
            <w:tcW w:w="795"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1463"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vMerge w:val="restart"/>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w:t>
            </w:r>
          </w:p>
        </w:tc>
        <w:tc>
          <w:tcPr>
            <w:tcW w:w="1218" w:type="dxa"/>
            <w:vMerge w:val="restart"/>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卫生间清洁</w:t>
            </w: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卫生间无异味、无蚊蝇、无积水、清洁记录按要求填写、耗材供应充足、卫生洁具每日全面清洁消毒、无投诉。不符合要求，每人次扣0.5分</w:t>
            </w:r>
          </w:p>
        </w:tc>
        <w:tc>
          <w:tcPr>
            <w:tcW w:w="795"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63" w:type="dxa"/>
            <w:noWrap w:val="0"/>
            <w:vAlign w:val="center"/>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1218"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专人负责清洁维护，保持墙面瓷砖、门窗无明显灰尘、无小广告，天花板、灯具目视无明显灰尘，地面无水渍、无尿液、无纸屑、无烟头，镜面明亮，面台、洗手池、水龙头无水渍、无痰渍，大、小便器无尿碱、内外洁净、喷水嘴洁净流畅，烘手器、皂液盒、隔板、顶板、手纸架无印迹、污渍、光亮洁净，纸篓内污物量不超过桶体三分之二。不符合要求，每人次扣0.5分</w:t>
            </w:r>
          </w:p>
        </w:tc>
        <w:tc>
          <w:tcPr>
            <w:tcW w:w="795"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63" w:type="dxa"/>
            <w:noWrap w:val="0"/>
            <w:vAlign w:val="center"/>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w:t>
            </w:r>
          </w:p>
        </w:tc>
        <w:tc>
          <w:tcPr>
            <w:tcW w:w="1218"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环境专项</w:t>
            </w: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PVC打蜡、石材养护、地毯清洗、消杀等按照合同要求执行。不符合要求，每人次扣0.5分</w:t>
            </w:r>
          </w:p>
        </w:tc>
        <w:tc>
          <w:tcPr>
            <w:tcW w:w="795" w:type="dxa"/>
            <w:noWrap w:val="0"/>
            <w:vAlign w:val="center"/>
          </w:tcPr>
          <w:p>
            <w:pPr>
              <w:jc w:val="left"/>
              <w:rPr>
                <w:rFonts w:hint="eastAsia" w:asciiTheme="minorEastAsia" w:hAnsiTheme="minorEastAsia" w:eastAsiaTheme="minorEastAsia" w:cstheme="minorEastAsia"/>
                <w:b/>
                <w:color w:val="auto"/>
                <w:sz w:val="21"/>
                <w:szCs w:val="21"/>
                <w:highlight w:val="none"/>
              </w:rPr>
            </w:pPr>
          </w:p>
        </w:tc>
        <w:tc>
          <w:tcPr>
            <w:tcW w:w="1463" w:type="dxa"/>
            <w:noWrap w:val="0"/>
            <w:vAlign w:val="center"/>
          </w:tcPr>
          <w:p>
            <w:pPr>
              <w:jc w:val="left"/>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4</w:t>
            </w:r>
          </w:p>
        </w:tc>
        <w:tc>
          <w:tcPr>
            <w:tcW w:w="1218"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员工管理</w:t>
            </w: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10分</w:t>
            </w:r>
          </w:p>
        </w:tc>
        <w:tc>
          <w:tcPr>
            <w:tcW w:w="4485" w:type="dxa"/>
            <w:gridSpan w:val="3"/>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执行员工岗位纪律、按时打卡、准时到岗、见到医护人员主动避让、问好，出勤率良好。仪容仪表、行为举止、语言规范符合要求。不得做与工作无关的事：上岗不得吸烟、吃零食、嚼口香糖。吹口哨、听收录机、玩手机、接（打）私人电话，与人闲聊、大声喧哗或与人争吵、打瞌睡等。接受医院及上级管理部门监督、检查。遵纪守法、遵守操作规程、遵守劳动纪律、遵守医院规章制度，不得扰乱医院正常工作秩序，按工作规程操作对投诉及时整改。不符合要求，每人次扣0.5分</w:t>
            </w:r>
          </w:p>
        </w:tc>
        <w:tc>
          <w:tcPr>
            <w:tcW w:w="795"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w:t>
            </w:r>
          </w:p>
        </w:tc>
        <w:tc>
          <w:tcPr>
            <w:tcW w:w="1218"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制度执行</w:t>
            </w: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制度上墙，按时召开班会、总结会、培训会、按规定进行交接班，定期培训、考核，按时提交各类报表、现场管理符合5S要求、记录填写完善。保洁工作车干净整洁，停放得当，“小心地滑”警示牌干净，摆放整齐，保洁设备，由专人负责使用，注意工作时，尽量不要妨碍医护人员行走，保洁棉织品集中洗涤消毒分类、分区使用，消毒剂、洗涤剂、机械保洁维护剂等必需的易耗物品，需使用符合国家质量及环保标准认证正规厂家生产的品牌类产品。不符合要求，每人次扣0.5分</w:t>
            </w:r>
          </w:p>
        </w:tc>
        <w:tc>
          <w:tcPr>
            <w:tcW w:w="795"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6</w:t>
            </w:r>
          </w:p>
        </w:tc>
        <w:tc>
          <w:tcPr>
            <w:tcW w:w="1218"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走动管理</w:t>
            </w: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管每周走遍辖区1次；经理每月走遍全楼1次，有走动管理痕迹。管理人员对一线保洁人员有针对性的指导、帮助及一对一开展专项培训。在岗的员工具备节约用水、节约用电、随手开关窗的意识和行为。不符合要求，每人次扣0.5分</w:t>
            </w:r>
          </w:p>
        </w:tc>
        <w:tc>
          <w:tcPr>
            <w:tcW w:w="795"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tcBorders>
              <w:bottom w:val="single" w:color="auto" w:sz="4" w:space="0"/>
            </w:tcBorders>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7</w:t>
            </w:r>
          </w:p>
        </w:tc>
        <w:tc>
          <w:tcPr>
            <w:tcW w:w="1218" w:type="dxa"/>
            <w:tcBorders>
              <w:bottom w:val="single" w:color="auto" w:sz="4" w:space="0"/>
            </w:tcBorders>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安全管理</w:t>
            </w:r>
          </w:p>
        </w:tc>
        <w:tc>
          <w:tcPr>
            <w:tcW w:w="959"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5分</w:t>
            </w:r>
          </w:p>
        </w:tc>
        <w:tc>
          <w:tcPr>
            <w:tcW w:w="4485" w:type="dxa"/>
            <w:gridSpan w:val="3"/>
            <w:tcBorders>
              <w:bottom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员工签订安全责任书、开展风险隐患识别及安全隐患排查，责任到人，定期进行培训、排查、整改。根据功能区域需要为员工配备基本的个人安全防护用品，如口罩、手套、帽子、围裙、胶鞋等。高空作业实施安全措施。按规定进行消毒，并做消毒记录。洁净工作按区域存放，并贴有色标。雨雪等恶劣天气采取有效防滑措施。进行湿拖、洗地机作业、雨天时要在作业区醒目位置放置告示牌防止病人滑倒或绊倒。医疗垃圾的清运必须指定专人，做好专业防护，佩戴专用手套、帽子、隔离衣，按照甲方规定的时间、路线及操作规程，发现医疗垃圾泄露及锐器扎伤时，及时上报，具备现场应急处理的能力。不符合要求，每人次扣0.5分</w:t>
            </w:r>
          </w:p>
        </w:tc>
        <w:tc>
          <w:tcPr>
            <w:tcW w:w="795"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tcBorders>
              <w:bottom w:val="single" w:color="auto" w:sz="4" w:space="0"/>
            </w:tcBorders>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lang w:bidi="ar"/>
              </w:rPr>
              <w:t>8</w:t>
            </w:r>
          </w:p>
        </w:tc>
        <w:tc>
          <w:tcPr>
            <w:tcW w:w="1218" w:type="dxa"/>
            <w:tcBorders>
              <w:bottom w:val="single" w:color="auto" w:sz="4" w:space="0"/>
            </w:tcBorders>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lang w:bidi="ar"/>
              </w:rPr>
              <w:t>质量管理</w:t>
            </w:r>
          </w:p>
        </w:tc>
        <w:tc>
          <w:tcPr>
            <w:tcW w:w="959"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bidi="ar"/>
              </w:rPr>
              <w:t>10分</w:t>
            </w:r>
          </w:p>
        </w:tc>
        <w:tc>
          <w:tcPr>
            <w:tcW w:w="4485" w:type="dxa"/>
            <w:gridSpan w:val="3"/>
            <w:tcBorders>
              <w:bottom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bidi="ar"/>
              </w:rPr>
              <w:t>能够随时迎接上级及院方的各种检查、配合院方完成接待活动，无差错。针对甲方及监管方检查问题整改及时，及时反馈，改进措施有效。按照甲方要求，按时提交工作总结报告。不符合要求，每人次扣0.5分</w:t>
            </w:r>
          </w:p>
        </w:tc>
        <w:tc>
          <w:tcPr>
            <w:tcW w:w="795"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rPr>
              <w:t>9</w:t>
            </w:r>
          </w:p>
        </w:tc>
        <w:tc>
          <w:tcPr>
            <w:tcW w:w="1218"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rPr>
              <w:t>服务质量</w:t>
            </w:r>
          </w:p>
        </w:tc>
        <w:tc>
          <w:tcPr>
            <w:tcW w:w="959"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rPr>
              <w:t>10分</w:t>
            </w:r>
          </w:p>
        </w:tc>
        <w:tc>
          <w:tcPr>
            <w:tcW w:w="4485" w:type="dxa"/>
            <w:gridSpan w:val="3"/>
            <w:tcBorders>
              <w:bottom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rPr>
              <w:t>应急响应、接单及时率、完成质量、反馈及时率、医患评价及投诉处理  。不符合要求，每人次扣0.5分，视情节及影响力酌情扣分</w:t>
            </w:r>
          </w:p>
        </w:tc>
        <w:tc>
          <w:tcPr>
            <w:tcW w:w="795"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824" w:type="dxa"/>
            <w:gridSpan w:val="2"/>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得分</w:t>
            </w:r>
          </w:p>
        </w:tc>
        <w:tc>
          <w:tcPr>
            <w:tcW w:w="959" w:type="dxa"/>
            <w:noWrap w:val="0"/>
            <w:vAlign w:val="center"/>
          </w:tcPr>
          <w:p>
            <w:pPr>
              <w:ind w:firstLine="211"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100</w:t>
            </w:r>
            <w:r>
              <w:rPr>
                <w:rFonts w:hint="eastAsia" w:asciiTheme="minorEastAsia" w:hAnsiTheme="minorEastAsia" w:eastAsiaTheme="minorEastAsia" w:cstheme="minorEastAsia"/>
                <w:color w:val="auto"/>
                <w:sz w:val="21"/>
                <w:szCs w:val="21"/>
                <w:highlight w:val="none"/>
              </w:rPr>
              <w:t>分</w:t>
            </w:r>
          </w:p>
        </w:tc>
        <w:tc>
          <w:tcPr>
            <w:tcW w:w="6743" w:type="dxa"/>
            <w:gridSpan w:val="5"/>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9" w:hRule="atLeast"/>
        </w:trPr>
        <w:tc>
          <w:tcPr>
            <w:tcW w:w="2783" w:type="dxa"/>
            <w:gridSpan w:val="3"/>
            <w:noWrap w:val="0"/>
            <w:vAlign w:val="center"/>
          </w:tcPr>
          <w:p>
            <w:pPr>
              <w:ind w:firstLine="211" w:firstLineChars="10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监管人意见</w:t>
            </w:r>
          </w:p>
        </w:tc>
        <w:tc>
          <w:tcPr>
            <w:tcW w:w="6743" w:type="dxa"/>
            <w:gridSpan w:val="5"/>
            <w:noWrap w:val="0"/>
            <w:vAlign w:val="center"/>
          </w:tcPr>
          <w:p>
            <w:pPr>
              <w:jc w:val="center"/>
              <w:rPr>
                <w:rFonts w:hint="eastAsia" w:asciiTheme="minorEastAsia" w:hAnsiTheme="minorEastAsia" w:eastAsiaTheme="minorEastAsia" w:cstheme="minorEastAsia"/>
                <w:color w:val="auto"/>
                <w:sz w:val="21"/>
                <w:szCs w:val="21"/>
                <w:highlight w:val="none"/>
              </w:rPr>
            </w:pPr>
          </w:p>
          <w:p>
            <w:pPr>
              <w:jc w:val="center"/>
              <w:rPr>
                <w:rFonts w:hint="eastAsia" w:asciiTheme="minorEastAsia" w:hAnsiTheme="minorEastAsia" w:eastAsiaTheme="minorEastAsia" w:cstheme="minorEastAsia"/>
                <w:color w:val="auto"/>
                <w:sz w:val="21"/>
                <w:szCs w:val="21"/>
                <w:highlight w:val="none"/>
              </w:rPr>
            </w:pPr>
          </w:p>
          <w:p>
            <w:pPr>
              <w:jc w:val="center"/>
              <w:rPr>
                <w:rFonts w:hint="eastAsia" w:asciiTheme="minorEastAsia" w:hAnsiTheme="minorEastAsia" w:eastAsiaTheme="minorEastAsia" w:cstheme="minorEastAsia"/>
                <w:color w:val="auto"/>
                <w:sz w:val="21"/>
                <w:szCs w:val="21"/>
                <w:highlight w:val="none"/>
              </w:rPr>
            </w:pPr>
          </w:p>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8" w:hRule="atLeast"/>
        </w:trPr>
        <w:tc>
          <w:tcPr>
            <w:tcW w:w="2783" w:type="dxa"/>
            <w:gridSpan w:val="3"/>
            <w:noWrap w:val="0"/>
            <w:vAlign w:val="center"/>
          </w:tcPr>
          <w:p>
            <w:pPr>
              <w:ind w:firstLine="211" w:firstLineChars="10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总务与规划建设处</w:t>
            </w:r>
          </w:p>
          <w:p>
            <w:pPr>
              <w:ind w:firstLine="211" w:firstLineChars="10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意见</w:t>
            </w:r>
          </w:p>
        </w:tc>
        <w:tc>
          <w:tcPr>
            <w:tcW w:w="6743" w:type="dxa"/>
            <w:gridSpan w:val="5"/>
            <w:noWrap w:val="0"/>
            <w:vAlign w:val="center"/>
          </w:tcPr>
          <w:p>
            <w:pPr>
              <w:jc w:val="center"/>
              <w:rPr>
                <w:rFonts w:hint="eastAsia" w:asciiTheme="minorEastAsia" w:hAnsiTheme="minorEastAsia" w:eastAsiaTheme="minorEastAsia" w:cstheme="minorEastAsia"/>
                <w:b/>
                <w:color w:val="auto"/>
                <w:sz w:val="21"/>
                <w:szCs w:val="21"/>
                <w:highlight w:val="none"/>
              </w:rPr>
            </w:pPr>
          </w:p>
          <w:p>
            <w:pPr>
              <w:jc w:val="center"/>
              <w:rPr>
                <w:rFonts w:hint="eastAsia" w:asciiTheme="minorEastAsia" w:hAnsiTheme="minorEastAsia" w:eastAsiaTheme="minorEastAsia" w:cstheme="minorEastAsia"/>
                <w:b/>
                <w:color w:val="auto"/>
                <w:sz w:val="21"/>
                <w:szCs w:val="21"/>
                <w:highlight w:val="none"/>
              </w:rPr>
            </w:pPr>
          </w:p>
          <w:p>
            <w:pPr>
              <w:jc w:val="center"/>
              <w:rPr>
                <w:rFonts w:hint="eastAsia" w:asciiTheme="minorEastAsia" w:hAnsiTheme="minorEastAsia" w:eastAsiaTheme="minorEastAsia" w:cstheme="minorEastAsia"/>
                <w:b/>
                <w:color w:val="auto"/>
                <w:sz w:val="21"/>
                <w:szCs w:val="21"/>
                <w:highlight w:val="none"/>
              </w:rPr>
            </w:pPr>
          </w:p>
          <w:p>
            <w:pPr>
              <w:jc w:val="center"/>
              <w:rPr>
                <w:rFonts w:hint="eastAsia" w:asciiTheme="minorEastAsia" w:hAnsiTheme="minorEastAsia" w:eastAsiaTheme="minorEastAsia" w:cstheme="minorEastAsia"/>
                <w:b/>
                <w:color w:val="auto"/>
                <w:sz w:val="21"/>
                <w:szCs w:val="21"/>
                <w:highlight w:val="none"/>
              </w:rPr>
            </w:pPr>
          </w:p>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6" w:hRule="atLeast"/>
        </w:trPr>
        <w:tc>
          <w:tcPr>
            <w:tcW w:w="9526" w:type="dxa"/>
            <w:gridSpan w:val="8"/>
            <w:noWrap w:val="0"/>
            <w:vAlign w:val="top"/>
          </w:tcPr>
          <w:p>
            <w:pP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说  明：</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1.临床满意度项由一站式服务部评价打分；</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考核结果90≤X＜100分，属于基本符合要求，可正常支付合同款；</w:t>
            </w:r>
          </w:p>
          <w:p>
            <w:pPr>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考核结果80≤X＜90分，扣除考核期间应付合同款的1%作为违约金；</w:t>
            </w:r>
          </w:p>
          <w:p>
            <w:pPr>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考核结果70≤X＜80分，扣除考核期间应付合同款的2%作为违约金；</w:t>
            </w:r>
          </w:p>
          <w:p>
            <w:pPr>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考核结果60≤X＜70分，扣除考核期间应付合同款的5%作为违约金；       </w:t>
            </w:r>
          </w:p>
          <w:p>
            <w:pPr>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考核结果X＜60，扣除考核期间应付合同款的10%作为违约金；</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3.如连续两次出现低于60分的情况，监管部门将向医院通报解除本合同；</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4.如当月出现工作进度严重拖期，发生重大质量、安全、经济（劳资）纠纷、群体性时间及违反国家法律、法规和合同约定的，经考核执行部门确定，则月度考核为0。</w:t>
            </w:r>
          </w:p>
        </w:tc>
      </w:tr>
    </w:tbl>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p>
    <w:p>
      <w:pPr>
        <w:adjustRightInd w:val="0"/>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七、付款方式</w:t>
      </w:r>
    </w:p>
    <w:p>
      <w:pPr>
        <w:ind w:firstLine="476" w:firstLineChars="22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1、按季度结算和付款方式：</w:t>
      </w:r>
    </w:p>
    <w:p>
      <w:pPr>
        <w:ind w:firstLine="476" w:firstLineChars="22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结算方式：每季度开始的前10日内，乙方与甲方就乙方上季度合同的履行情况、乙方员工的出勤情况、甲方考核结果及每月的人员变动确认书协商一致后，依据本合同的约定共同对人员费用、有害生物防治费用、PVC石材地面养护费用进行结算。甲方及乙方意见不一致时，以甲方意见为最后结算依据。双方共同书面签署《合同履行结算单》；</w:t>
      </w:r>
    </w:p>
    <w:p>
      <w:pPr>
        <w:ind w:firstLine="476" w:firstLineChars="22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（2）甲方按下发物业服务费的形式向乙方支付。每月双方签署确认的《合同履行结算单》，为上季度的物业服务费的实发数额；</w:t>
      </w:r>
    </w:p>
    <w:p>
      <w:pPr>
        <w:ind w:firstLine="476" w:firstLineChars="22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在每季度开始的10日内，乙方向甲方交付双方签署的《合同履行结算单》后方可办理付款手续，甲方审核后，在本季度开始第一个月的25日之前支付上季度物业服务费用；乙方应在办理付款手续时提交等额的有效发票。</w:t>
      </w:r>
    </w:p>
    <w:p>
      <w:pPr>
        <w:ind w:firstLine="476" w:firstLineChars="22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2、甲方以转账方式向乙方支付物业服务费，乙方账户如下：</w:t>
      </w:r>
    </w:p>
    <w:p>
      <w:pPr>
        <w:ind w:firstLine="420" w:firstLineChars="200"/>
        <w:rPr>
          <w:rFonts w:hint="eastAsia" w:asciiTheme="minorEastAsia" w:hAnsiTheme="minorEastAsia" w:eastAsiaTheme="minorEastAsia" w:cstheme="minorEastAsia"/>
          <w:bCs/>
          <w:color w:val="auto"/>
          <w:sz w:val="21"/>
          <w:szCs w:val="21"/>
          <w:highlight w:val="none"/>
          <w:u w:val="single"/>
        </w:rPr>
      </w:pPr>
      <w:r>
        <w:rPr>
          <w:rFonts w:hint="eastAsia" w:asciiTheme="minorEastAsia" w:hAnsiTheme="minorEastAsia" w:eastAsiaTheme="minorEastAsia" w:cstheme="minorEastAsia"/>
          <w:bCs/>
          <w:color w:val="auto"/>
          <w:sz w:val="21"/>
          <w:szCs w:val="21"/>
          <w:highlight w:val="none"/>
        </w:rPr>
        <w:t>乙方的银行账号：</w:t>
      </w:r>
      <w:r>
        <w:rPr>
          <w:rFonts w:hint="eastAsia" w:asciiTheme="minorEastAsia" w:hAnsiTheme="minorEastAsia" w:eastAsiaTheme="minorEastAsia" w:cstheme="minorEastAsia"/>
          <w:bCs/>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bCs/>
          <w:color w:val="auto"/>
          <w:sz w:val="21"/>
          <w:szCs w:val="21"/>
          <w:highlight w:val="none"/>
          <w:u w:val="single"/>
        </w:rPr>
        <w:t xml:space="preserve"> </w:t>
      </w:r>
    </w:p>
    <w:p>
      <w:pPr>
        <w:ind w:firstLine="555"/>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账户名称：</w:t>
      </w:r>
      <w:r>
        <w:rPr>
          <w:rFonts w:hint="eastAsia" w:asciiTheme="minorEastAsia" w:hAnsiTheme="minorEastAsia" w:eastAsiaTheme="minorEastAsia" w:cstheme="minorEastAsia"/>
          <w:bCs/>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bCs/>
          <w:color w:val="auto"/>
          <w:sz w:val="21"/>
          <w:szCs w:val="21"/>
          <w:highlight w:val="none"/>
        </w:rPr>
        <w:t xml:space="preserve"> </w:t>
      </w:r>
    </w:p>
    <w:p>
      <w:pPr>
        <w:ind w:firstLine="555"/>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开户银行：</w:t>
      </w:r>
      <w:r>
        <w:rPr>
          <w:rFonts w:hint="eastAsia" w:asciiTheme="minorEastAsia" w:hAnsiTheme="minorEastAsia" w:eastAsiaTheme="minorEastAsia" w:cstheme="minorEastAsia"/>
          <w:color w:val="auto"/>
          <w:sz w:val="21"/>
          <w:szCs w:val="21"/>
          <w:highlight w:val="none"/>
          <w:u w:val="single"/>
        </w:rPr>
        <w:t xml:space="preserve">                                   </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第二包：</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一、采购清单</w:t>
      </w:r>
    </w:p>
    <w:tbl>
      <w:tblPr>
        <w:tblStyle w:val="9"/>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477"/>
        <w:gridCol w:w="1789"/>
        <w:gridCol w:w="1545"/>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序号</w:t>
            </w:r>
          </w:p>
        </w:tc>
        <w:tc>
          <w:tcPr>
            <w:tcW w:w="2477"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货物或服务名称</w:t>
            </w:r>
          </w:p>
        </w:tc>
        <w:tc>
          <w:tcPr>
            <w:tcW w:w="1789"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数量</w:t>
            </w:r>
          </w:p>
        </w:tc>
        <w:tc>
          <w:tcPr>
            <w:tcW w:w="1545"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单位</w:t>
            </w:r>
          </w:p>
        </w:tc>
        <w:tc>
          <w:tcPr>
            <w:tcW w:w="2035"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备注（核心产品）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2477" w:type="dxa"/>
            <w:noWrap w:val="0"/>
            <w:vAlign w:val="top"/>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北京天坛医院卫生保洁服务二标段</w:t>
            </w:r>
          </w:p>
        </w:tc>
        <w:tc>
          <w:tcPr>
            <w:tcW w:w="1789" w:type="dxa"/>
            <w:noWrap w:val="0"/>
            <w:vAlign w:val="top"/>
          </w:tcPr>
          <w:p>
            <w:pPr>
              <w:rPr>
                <w:rFonts w:hint="eastAsia" w:asciiTheme="minorEastAsia" w:hAnsiTheme="minorEastAsia" w:eastAsiaTheme="minorEastAsia" w:cstheme="minorEastAsia"/>
                <w:color w:val="auto"/>
                <w:sz w:val="21"/>
                <w:szCs w:val="21"/>
                <w:highlight w:val="none"/>
              </w:rPr>
            </w:pPr>
          </w:p>
        </w:tc>
        <w:tc>
          <w:tcPr>
            <w:tcW w:w="1545" w:type="dxa"/>
            <w:noWrap w:val="0"/>
            <w:vAlign w:val="top"/>
          </w:tcPr>
          <w:p>
            <w:pPr>
              <w:rPr>
                <w:rFonts w:hint="eastAsia" w:asciiTheme="minorEastAsia" w:hAnsiTheme="minorEastAsia" w:eastAsiaTheme="minorEastAsia" w:cstheme="minorEastAsia"/>
                <w:color w:val="auto"/>
                <w:sz w:val="21"/>
                <w:szCs w:val="21"/>
                <w:highlight w:val="none"/>
              </w:rPr>
            </w:pPr>
          </w:p>
        </w:tc>
        <w:tc>
          <w:tcPr>
            <w:tcW w:w="2035" w:type="dxa"/>
            <w:noWrap w:val="0"/>
            <w:vAlign w:val="top"/>
          </w:tcPr>
          <w:p>
            <w:pPr>
              <w:rPr>
                <w:rFonts w:hint="eastAsia" w:asciiTheme="minorEastAsia" w:hAnsiTheme="minorEastAsia" w:eastAsiaTheme="minorEastAsia" w:cstheme="minorEastAsia"/>
                <w:color w:val="auto"/>
                <w:sz w:val="21"/>
                <w:szCs w:val="21"/>
                <w:highlight w:val="none"/>
              </w:rPr>
            </w:pPr>
          </w:p>
        </w:tc>
      </w:tr>
    </w:tbl>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二、项目背景或简况</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rPr>
        <w:t>二标段预算金额</w:t>
      </w:r>
      <w:r>
        <w:rPr>
          <w:rFonts w:hint="eastAsia" w:asciiTheme="minorEastAsia" w:hAnsiTheme="minorEastAsia" w:eastAsiaTheme="minorEastAsia" w:cstheme="minorEastAsia"/>
          <w:color w:val="auto"/>
          <w:sz w:val="21"/>
          <w:szCs w:val="21"/>
          <w:highlight w:val="none"/>
          <w:lang w:val="en-US" w:eastAsia="zh-CN"/>
        </w:rPr>
        <w:t>1251.2784</w:t>
      </w:r>
      <w:r>
        <w:rPr>
          <w:rFonts w:hint="eastAsia" w:asciiTheme="minorEastAsia" w:hAnsiTheme="minorEastAsia" w:eastAsiaTheme="minorEastAsia" w:cstheme="minorEastAsia"/>
          <w:color w:val="auto"/>
          <w:sz w:val="21"/>
          <w:szCs w:val="21"/>
          <w:highlight w:val="none"/>
        </w:rPr>
        <w:t>万元</w:t>
      </w:r>
      <w:r>
        <w:rPr>
          <w:rFonts w:hint="eastAsia" w:asciiTheme="minorEastAsia" w:hAnsiTheme="minorEastAsia" w:eastAsiaTheme="minorEastAsia" w:cstheme="minorEastAsia"/>
          <w:color w:val="auto"/>
          <w:sz w:val="21"/>
          <w:szCs w:val="21"/>
          <w:highlight w:val="none"/>
          <w:lang w:val="en-US" w:eastAsia="zh-CN"/>
        </w:rPr>
        <w:t>/年</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服务期限</w:t>
      </w:r>
      <w:r>
        <w:rPr>
          <w:rFonts w:hint="eastAsia" w:asciiTheme="minorEastAsia" w:hAnsiTheme="minorEastAsia" w:eastAsiaTheme="minorEastAsia" w:cstheme="minorEastAsia"/>
          <w:color w:val="auto"/>
          <w:sz w:val="21"/>
          <w:szCs w:val="21"/>
          <w:highlight w:val="none"/>
          <w:lang w:val="en-US" w:eastAsia="zh-CN"/>
        </w:rPr>
        <w:t>两年，合同一年一签，</w:t>
      </w:r>
      <w:r>
        <w:rPr>
          <w:rFonts w:hint="eastAsia" w:asciiTheme="minorEastAsia" w:hAnsiTheme="minorEastAsia" w:eastAsiaTheme="minorEastAsia" w:cstheme="minorEastAsia"/>
          <w:color w:val="auto"/>
          <w:sz w:val="21"/>
          <w:szCs w:val="21"/>
          <w:highlight w:val="none"/>
        </w:rPr>
        <w:t>服务范围为A区医疗区和地下车库，医疗区建筑面积为79587平方米，包括门诊一部、门诊二部、门诊服务中心、急诊、感染中心、康复楼，地下车库面积为33413平方米。</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三、技术参数要求、服务要求</w:t>
      </w:r>
    </w:p>
    <w:p>
      <w:pPr>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技术需求</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一、服务范围</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此包</w:t>
      </w:r>
      <w:r>
        <w:rPr>
          <w:rFonts w:hint="eastAsia" w:asciiTheme="minorEastAsia" w:hAnsiTheme="minorEastAsia" w:eastAsiaTheme="minorEastAsia" w:cstheme="minorEastAsia"/>
          <w:color w:val="auto"/>
          <w:sz w:val="21"/>
          <w:szCs w:val="21"/>
          <w:highlight w:val="none"/>
        </w:rPr>
        <w:t>服务范围为A区医疗区和地下车库，医疗区建筑面积为79587平方米，包括门诊一部、门诊二部、门诊服务中心、急诊、感染中心、康复楼，地下车库面积为33413平方米。</w:t>
      </w:r>
    </w:p>
    <w:p>
      <w:pP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二、服务内容</w:t>
      </w:r>
    </w:p>
    <w:p>
      <w:pPr>
        <w:autoSpaceDE w:val="0"/>
        <w:autoSpaceDN w:val="0"/>
        <w:adjustRightInd w:val="0"/>
        <w:snapToGrid w:val="0"/>
        <w:ind w:firstLine="420" w:firstLineChars="200"/>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1、负责服务范围内全部楼宇室内环境及物体表面清洁消毒工作，消毒应达到国家卫健委相关标准的要求，在医管中心等上级单位检查中达到合格标准。地下车库、指示标识整体卫生及坡道地面、玻璃清洁，所辖区生活垃圾、可回收垃圾及医疗废弃物的分类、清运工作。根据医院要求，做好服务范围内的生活垃圾分类、计量、引导等工作。</w:t>
      </w:r>
    </w:p>
    <w:p>
      <w:pPr>
        <w:autoSpaceDE w:val="0"/>
        <w:autoSpaceDN w:val="0"/>
        <w:adjustRightInd w:val="0"/>
        <w:snapToGrid w:val="0"/>
        <w:ind w:firstLine="420" w:firstLineChars="200"/>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2、负责服务范围内楼宇内各种材质地面清洁养护，包括PVC地面清洗、抛光、打蜡，石材地面清洗、翻新、结晶养护，电梯地面及地面标识的打蜡、保养等。</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3、负责</w:t>
      </w:r>
      <w:r>
        <w:rPr>
          <w:rFonts w:hint="eastAsia" w:asciiTheme="minorEastAsia" w:hAnsiTheme="minorEastAsia" w:eastAsiaTheme="minorEastAsia" w:cstheme="minorEastAsia"/>
          <w:bCs/>
          <w:color w:val="auto"/>
          <w:kern w:val="0"/>
          <w:sz w:val="21"/>
          <w:szCs w:val="21"/>
          <w:highlight w:val="none"/>
        </w:rPr>
        <w:t>服务范围内</w:t>
      </w:r>
      <w:r>
        <w:rPr>
          <w:rFonts w:hint="eastAsia" w:asciiTheme="minorEastAsia" w:hAnsiTheme="minorEastAsia" w:eastAsiaTheme="minorEastAsia" w:cstheme="minorEastAsia"/>
          <w:color w:val="auto"/>
          <w:sz w:val="21"/>
          <w:szCs w:val="21"/>
          <w:highlight w:val="none"/>
        </w:rPr>
        <w:t>公区候诊椅、电梯、自助设备设施等表面的清洁与消毒（包括但不仅限于如下设备：共享售卖机、挂号机、导诊机、手机充电桩等）。消毒应满足医院院感管理要求。</w:t>
      </w:r>
    </w:p>
    <w:p>
      <w:pPr>
        <w:ind w:firstLine="420" w:firstLineChars="200"/>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4、负责</w:t>
      </w:r>
      <w:r>
        <w:rPr>
          <w:rFonts w:hint="eastAsia" w:asciiTheme="minorEastAsia" w:hAnsiTheme="minorEastAsia" w:eastAsiaTheme="minorEastAsia" w:cstheme="minorEastAsia"/>
          <w:bCs/>
          <w:color w:val="auto"/>
          <w:kern w:val="0"/>
          <w:sz w:val="21"/>
          <w:szCs w:val="21"/>
          <w:highlight w:val="none"/>
        </w:rPr>
        <w:t>服务范围</w:t>
      </w:r>
      <w:r>
        <w:rPr>
          <w:rFonts w:hint="eastAsia" w:asciiTheme="minorEastAsia" w:hAnsiTheme="minorEastAsia" w:eastAsiaTheme="minorEastAsia" w:cstheme="minorEastAsia"/>
          <w:color w:val="auto"/>
          <w:sz w:val="21"/>
          <w:szCs w:val="21"/>
          <w:highlight w:val="none"/>
        </w:rPr>
        <w:t>内所有雨搭、车库出入口玻璃表面进行定期清洁，必要时，可使用升降机，确保使用安全</w:t>
      </w:r>
      <w:r>
        <w:rPr>
          <w:rFonts w:hint="eastAsia" w:asciiTheme="minorEastAsia" w:hAnsiTheme="minorEastAsia" w:eastAsiaTheme="minorEastAsia" w:cstheme="minorEastAsia"/>
          <w:bCs/>
          <w:color w:val="auto"/>
          <w:kern w:val="0"/>
          <w:sz w:val="21"/>
          <w:szCs w:val="21"/>
          <w:highlight w:val="none"/>
        </w:rPr>
        <w:t>。</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kern w:val="0"/>
          <w:sz w:val="21"/>
          <w:szCs w:val="21"/>
          <w:highlight w:val="none"/>
        </w:rPr>
        <w:t>5、卫生保洁服务中各类设备、消耗品、客用品、防滑地垫、防撞条等由服务厂家提供，不另行计算费用。</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6、负责协助处理</w:t>
      </w:r>
      <w:r>
        <w:rPr>
          <w:rFonts w:hint="eastAsia" w:asciiTheme="minorEastAsia" w:hAnsiTheme="minorEastAsia" w:eastAsiaTheme="minorEastAsia" w:cstheme="minorEastAsia"/>
          <w:bCs/>
          <w:color w:val="auto"/>
          <w:kern w:val="0"/>
          <w:sz w:val="21"/>
          <w:szCs w:val="21"/>
          <w:highlight w:val="none"/>
        </w:rPr>
        <w:t>服务范围</w:t>
      </w:r>
      <w:r>
        <w:rPr>
          <w:rFonts w:hint="eastAsia" w:asciiTheme="minorEastAsia" w:hAnsiTheme="minorEastAsia" w:eastAsiaTheme="minorEastAsia" w:cstheme="minorEastAsia"/>
          <w:color w:val="auto"/>
          <w:sz w:val="21"/>
          <w:szCs w:val="21"/>
          <w:highlight w:val="none"/>
        </w:rPr>
        <w:t>内的应急突发事件处理及重大活动的保障。</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7、参与</w:t>
      </w:r>
      <w:r>
        <w:rPr>
          <w:rFonts w:hint="eastAsia" w:asciiTheme="minorEastAsia" w:hAnsiTheme="minorEastAsia" w:eastAsiaTheme="minorEastAsia" w:cstheme="minorEastAsia"/>
          <w:bCs/>
          <w:color w:val="auto"/>
          <w:kern w:val="0"/>
          <w:sz w:val="21"/>
          <w:szCs w:val="21"/>
          <w:highlight w:val="none"/>
        </w:rPr>
        <w:t>服务范围内</w:t>
      </w:r>
      <w:r>
        <w:rPr>
          <w:rFonts w:hint="eastAsia" w:asciiTheme="minorEastAsia" w:hAnsiTheme="minorEastAsia" w:eastAsiaTheme="minorEastAsia" w:cstheme="minorEastAsia"/>
          <w:color w:val="auto"/>
          <w:sz w:val="21"/>
          <w:szCs w:val="21"/>
          <w:highlight w:val="none"/>
        </w:rPr>
        <w:t>水、电、空调节能管理，工作中注重节约用水、节约用电、随手关窗等。</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8、协助医院开展后勤信息化建设，配合使用信息化软件，从而更好的提升服务质量。</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9、负责</w:t>
      </w:r>
      <w:r>
        <w:rPr>
          <w:rFonts w:hint="eastAsia" w:asciiTheme="minorEastAsia" w:hAnsiTheme="minorEastAsia" w:eastAsiaTheme="minorEastAsia" w:cstheme="minorEastAsia"/>
          <w:bCs/>
          <w:color w:val="auto"/>
          <w:kern w:val="0"/>
          <w:sz w:val="21"/>
          <w:szCs w:val="21"/>
          <w:highlight w:val="none"/>
        </w:rPr>
        <w:t>服务范围</w:t>
      </w:r>
      <w:r>
        <w:rPr>
          <w:rFonts w:hint="eastAsia" w:asciiTheme="minorEastAsia" w:hAnsiTheme="minorEastAsia" w:eastAsiaTheme="minorEastAsia" w:cstheme="minorEastAsia"/>
          <w:color w:val="auto"/>
          <w:sz w:val="21"/>
          <w:szCs w:val="21"/>
          <w:highlight w:val="none"/>
        </w:rPr>
        <w:t>内物品搬运工作。</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10、负责</w:t>
      </w:r>
      <w:r>
        <w:rPr>
          <w:rFonts w:hint="eastAsia" w:asciiTheme="minorEastAsia" w:hAnsiTheme="minorEastAsia" w:eastAsiaTheme="minorEastAsia" w:cstheme="minorEastAsia"/>
          <w:bCs/>
          <w:color w:val="auto"/>
          <w:kern w:val="0"/>
          <w:sz w:val="21"/>
          <w:szCs w:val="21"/>
          <w:highlight w:val="none"/>
        </w:rPr>
        <w:t>服务范围</w:t>
      </w:r>
      <w:r>
        <w:rPr>
          <w:rFonts w:hint="eastAsia" w:asciiTheme="minorEastAsia" w:hAnsiTheme="minorEastAsia" w:eastAsiaTheme="minorEastAsia" w:cstheme="minorEastAsia"/>
          <w:color w:val="auto"/>
          <w:sz w:val="21"/>
          <w:szCs w:val="21"/>
          <w:highlight w:val="none"/>
        </w:rPr>
        <w:t>内控烟宣传工作。</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11、负责</w:t>
      </w:r>
      <w:r>
        <w:rPr>
          <w:rFonts w:hint="eastAsia" w:asciiTheme="minorEastAsia" w:hAnsiTheme="minorEastAsia" w:eastAsiaTheme="minorEastAsia" w:cstheme="minorEastAsia"/>
          <w:bCs/>
          <w:color w:val="auto"/>
          <w:kern w:val="0"/>
          <w:sz w:val="21"/>
          <w:szCs w:val="21"/>
          <w:highlight w:val="none"/>
        </w:rPr>
        <w:t>服务范围</w:t>
      </w:r>
      <w:r>
        <w:rPr>
          <w:rFonts w:hint="eastAsia" w:asciiTheme="minorEastAsia" w:hAnsiTheme="minorEastAsia" w:eastAsiaTheme="minorEastAsia" w:cstheme="minorEastAsia"/>
          <w:color w:val="auto"/>
          <w:sz w:val="21"/>
          <w:szCs w:val="21"/>
          <w:highlight w:val="none"/>
        </w:rPr>
        <w:t>内特殊天气情况下如雨雪天的安全保障工作，及时清理院内地面水渍、路面积水、积雪，做好铲冰除雪等工作。同时需要做好地面防滑措施和地面湿滑的提示工作。</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w:t>
      </w:r>
      <w:r>
        <w:rPr>
          <w:rFonts w:hint="eastAsia" w:asciiTheme="minorEastAsia" w:hAnsiTheme="minorEastAsia" w:eastAsiaTheme="minorEastAsia" w:cstheme="minorEastAsia"/>
          <w:color w:val="auto"/>
          <w:sz w:val="21"/>
          <w:szCs w:val="21"/>
          <w:highlight w:val="none"/>
          <w:lang w:eastAsia="zh-CN"/>
        </w:rPr>
        <w:t>公共区域保洁员同时负责保洁区域的巡视，有设备设施损坏、丢失的，应及时打电话保修</w:t>
      </w:r>
      <w:r>
        <w:rPr>
          <w:rFonts w:hint="eastAsia" w:asciiTheme="minorEastAsia" w:hAnsiTheme="minorEastAsia" w:eastAsiaTheme="minorEastAsia" w:cstheme="minorEastAsia"/>
          <w:color w:val="auto"/>
          <w:sz w:val="21"/>
          <w:szCs w:val="21"/>
          <w:highlight w:val="none"/>
        </w:rPr>
        <w:t>。</w:t>
      </w:r>
    </w:p>
    <w:p>
      <w:pPr>
        <w:pStyle w:val="2"/>
        <w:ind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13、乙方如违反消防相关规定或因12345、医院8585投诉被定为有责任的，按照医院相关制度予以处罚，从服务费中扣除。</w:t>
      </w:r>
    </w:p>
    <w:p>
      <w:pPr>
        <w:pStyle w:val="2"/>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bidi="ar-SA"/>
        </w:rPr>
        <w:t>14、针对公共卫生事件，应组建消毒大队，提供超雾化喷雾器等消毒设备和含氯消毒剂、二氧化氯消毒剂等，以完成终末消毒工作。</w:t>
      </w:r>
    </w:p>
    <w:p>
      <w:pP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三、</w:t>
      </w:r>
      <w:r>
        <w:rPr>
          <w:rFonts w:hint="eastAsia" w:asciiTheme="minorEastAsia" w:hAnsiTheme="minorEastAsia" w:eastAsiaTheme="minorEastAsia" w:cstheme="minorEastAsia"/>
          <w:b/>
          <w:color w:val="auto"/>
          <w:sz w:val="21"/>
          <w:szCs w:val="21"/>
          <w:highlight w:val="none"/>
        </w:rPr>
        <w:t>卫生保洁服务项目</w:t>
      </w:r>
      <w:r>
        <w:rPr>
          <w:rFonts w:hint="eastAsia" w:asciiTheme="minorEastAsia" w:hAnsiTheme="minorEastAsia" w:eastAsiaTheme="minorEastAsia" w:cstheme="minorEastAsia"/>
          <w:b/>
          <w:bCs/>
          <w:color w:val="auto"/>
          <w:kern w:val="0"/>
          <w:sz w:val="21"/>
          <w:szCs w:val="21"/>
          <w:highlight w:val="none"/>
        </w:rPr>
        <w:t>要求</w:t>
      </w:r>
    </w:p>
    <w:p>
      <w:pP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color w:val="auto"/>
          <w:sz w:val="21"/>
          <w:szCs w:val="21"/>
          <w:highlight w:val="none"/>
        </w:rPr>
        <w:t>（一）总体要求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1、乙方管理要求</w:t>
      </w:r>
      <w:r>
        <w:rPr>
          <w:rFonts w:hint="eastAsia" w:asciiTheme="minorEastAsia" w:hAnsiTheme="minorEastAsia" w:eastAsiaTheme="minorEastAsia" w:cstheme="minorEastAsia"/>
          <w:b/>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rPr>
        <w:t>需具备承担三级甲等综合医院保洁服务需求的能力，需能够执行甲方规定的保洁服务管理要求，根据功能区域需要，乙方应为员工配备基本的个人安全防护用品，如一次性外科和防护口罩、一次性手套、工作帽和一次性医用帽、一次性隔离衣、一次性防护服、一次性鞋套、一次性靴套、护目镜（屏）、围裙、胶鞋等。</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2、保洁用具用品使用要求：</w:t>
      </w:r>
    </w:p>
    <w:p>
      <w:pPr>
        <w:numPr>
          <w:ilvl w:val="0"/>
          <w:numId w:val="1"/>
        </w:numPr>
        <w:adjustRightInd w:val="0"/>
        <w:snapToGrid w:val="0"/>
        <w:ind w:firstLine="1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每个卫生间需配备喷香剂、卫生纸、洗手液、小便滤洁； </w:t>
      </w:r>
    </w:p>
    <w:p>
      <w:pPr>
        <w:numPr>
          <w:ilvl w:val="0"/>
          <w:numId w:val="1"/>
        </w:numPr>
        <w:adjustRightInd w:val="0"/>
        <w:snapToGrid w:val="0"/>
        <w:ind w:firstLine="1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保洁棉织品集中洗涤消毒，毛巾至少分5色，分类、分区使用；</w:t>
      </w:r>
    </w:p>
    <w:p>
      <w:pPr>
        <w:numPr>
          <w:ilvl w:val="0"/>
          <w:numId w:val="1"/>
        </w:numPr>
        <w:adjustRightInd w:val="0"/>
        <w:snapToGrid w:val="0"/>
        <w:ind w:firstLine="1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保洁服务使用的垃圾袋(黑色和黄色)、消毒剂、洗涤剂、机械保洁维护剂和客用品等消耗物品均包含在合同金额内；</w:t>
      </w:r>
    </w:p>
    <w:p>
      <w:pPr>
        <w:numPr>
          <w:ilvl w:val="0"/>
          <w:numId w:val="1"/>
        </w:numPr>
        <w:adjustRightInd w:val="0"/>
        <w:snapToGrid w:val="0"/>
        <w:ind w:firstLine="120"/>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上述物品应使用符合国家质量及环保标准认证，由正规厂家生产的品牌类产品，产品质量等同于金佰利品牌；</w:t>
      </w:r>
    </w:p>
    <w:p>
      <w:pPr>
        <w:numPr>
          <w:ilvl w:val="0"/>
          <w:numId w:val="1"/>
        </w:numPr>
        <w:adjustRightInd w:val="0"/>
        <w:snapToGrid w:val="0"/>
        <w:ind w:firstLine="1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垃圾桶由甲方提供</w:t>
      </w:r>
      <w:r>
        <w:rPr>
          <w:rFonts w:hint="eastAsia" w:asciiTheme="minorEastAsia" w:hAnsiTheme="minorEastAsia" w:eastAsiaTheme="minorEastAsia" w:cstheme="minorEastAsia"/>
          <w:b/>
          <w:bCs/>
          <w:color w:val="auto"/>
          <w:kern w:val="0"/>
          <w:sz w:val="21"/>
          <w:szCs w:val="21"/>
          <w:highlight w:val="none"/>
        </w:rPr>
        <w:t>。</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3、清洁设备要求</w:t>
      </w:r>
      <w:r>
        <w:rPr>
          <w:rFonts w:hint="eastAsia" w:asciiTheme="minorEastAsia" w:hAnsiTheme="minorEastAsia" w:eastAsiaTheme="minorEastAsia" w:cstheme="minorEastAsia"/>
          <w:color w:val="auto"/>
          <w:kern w:val="0"/>
          <w:sz w:val="21"/>
          <w:szCs w:val="21"/>
          <w:highlight w:val="none"/>
          <w:lang w:eastAsia="zh-CN"/>
        </w:rPr>
        <w:t>及清洁必要设备数量表</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清洁设备配备应包括但不限于</w:t>
      </w:r>
      <w:r>
        <w:rPr>
          <w:rFonts w:hint="eastAsia" w:asciiTheme="minorEastAsia" w:hAnsiTheme="minorEastAsia" w:eastAsiaTheme="minorEastAsia" w:cstheme="minorEastAsia"/>
          <w:color w:val="auto"/>
          <w:kern w:val="0"/>
          <w:sz w:val="21"/>
          <w:szCs w:val="21"/>
          <w:highlight w:val="none"/>
          <w:lang w:val="en-US" w:eastAsia="zh-CN"/>
        </w:rPr>
        <w:t>吸水吸尘机</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洗地机</w:t>
      </w:r>
      <w:r>
        <w:rPr>
          <w:rFonts w:hint="eastAsia" w:asciiTheme="minorEastAsia" w:hAnsiTheme="minorEastAsia" w:eastAsiaTheme="minorEastAsia" w:cstheme="minorEastAsia"/>
          <w:color w:val="auto"/>
          <w:kern w:val="0"/>
          <w:sz w:val="21"/>
          <w:szCs w:val="21"/>
          <w:highlight w:val="none"/>
        </w:rPr>
        <w:t>、吹风机、多功能清洁车、吸尘器、冷热水高压水枪、电动尘推车、吸水排水机、单刷机等，数量、型号、品质应适用于本项目，乙方建立设备台账，供甲方随时抽查。清洁设备由乙方自行配备、维护、维修、使用。</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p>
    <w:tbl>
      <w:tblPr>
        <w:tblStyle w:val="9"/>
        <w:tblW w:w="8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80"/>
        <w:gridCol w:w="2805"/>
        <w:gridCol w:w="2130"/>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415" w:type="dxa"/>
            <w:gridSpan w:val="4"/>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清洁必要设备数量表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380" w:type="dxa"/>
            <w:tcBorders>
              <w:top w:val="single" w:color="000000" w:sz="4" w:space="0"/>
              <w:left w:val="single" w:color="auto" w:sz="4" w:space="0"/>
              <w:bottom w:val="single" w:color="auto" w:sz="4" w:space="0"/>
              <w:right w:val="single" w:color="000000" w:sz="4" w:space="0"/>
            </w:tcBorders>
            <w:shd w:val="clear" w:color="auto" w:fill="FFFFFF"/>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序号</w:t>
            </w:r>
          </w:p>
        </w:tc>
        <w:tc>
          <w:tcPr>
            <w:tcW w:w="2805"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设备名称</w:t>
            </w:r>
          </w:p>
        </w:tc>
        <w:tc>
          <w:tcPr>
            <w:tcW w:w="2130"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设备数量/台（推荐数量）</w:t>
            </w:r>
          </w:p>
        </w:tc>
        <w:tc>
          <w:tcPr>
            <w:tcW w:w="2100" w:type="dxa"/>
            <w:tcBorders>
              <w:top w:val="single" w:color="000000" w:sz="4" w:space="0"/>
              <w:left w:val="single" w:color="000000" w:sz="4" w:space="0"/>
              <w:bottom w:val="single" w:color="auto" w:sz="4" w:space="0"/>
              <w:right w:val="single" w:color="auto" w:sz="4" w:space="0"/>
            </w:tcBorders>
            <w:shd w:val="clear" w:color="auto" w:fill="FFFFFF"/>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设备年限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8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1</w:t>
            </w:r>
          </w:p>
        </w:tc>
        <w:tc>
          <w:tcPr>
            <w:tcW w:w="280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吸水吸尘机</w:t>
            </w:r>
          </w:p>
        </w:tc>
        <w:tc>
          <w:tcPr>
            <w:tcW w:w="213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w:t>
            </w:r>
          </w:p>
        </w:tc>
        <w:tc>
          <w:tcPr>
            <w:tcW w:w="21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2</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洗地机</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3</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3</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吹风机</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3</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多功能清洁车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44</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5</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吸尘器</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3</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6</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冷热水高压水枪</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1</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7</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单刷机</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5</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8</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电动尘推车</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3</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9</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吸水排水机</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3</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bl>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4、保洁人员要求：</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现场服务含管理人员总人数不低于181人，</w:t>
      </w:r>
      <w:r>
        <w:rPr>
          <w:rFonts w:hint="eastAsia" w:asciiTheme="minorEastAsia" w:hAnsiTheme="minorEastAsia" w:eastAsiaTheme="minorEastAsia" w:cstheme="minorEastAsia"/>
          <w:color w:val="auto"/>
          <w:kern w:val="0"/>
          <w:sz w:val="21"/>
          <w:szCs w:val="21"/>
          <w:highlight w:val="none"/>
        </w:rPr>
        <w:t>必须具备初中以上文化程度，18－55岁之间，身体健康，</w:t>
      </w:r>
      <w:r>
        <w:rPr>
          <w:rFonts w:hint="eastAsia" w:asciiTheme="minorEastAsia" w:hAnsiTheme="minorEastAsia" w:eastAsiaTheme="minorEastAsia" w:cstheme="minorEastAsia"/>
          <w:color w:val="auto"/>
          <w:sz w:val="21"/>
          <w:szCs w:val="21"/>
          <w:highlight w:val="none"/>
        </w:rPr>
        <w:t>在院内工作所有保洁人员均需持有由当地疾病预防控制中心办理的“北京市公共卫生从业人员健康体检合格证”</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sz w:val="21"/>
          <w:szCs w:val="21"/>
          <w:highlight w:val="none"/>
        </w:rPr>
        <w:t>政审合格，本人及家庭或直系亲属无不良记录，一律经背景审查合格，采取实名制并签订国家规定的劳动合同、签订安全生产责任书等相关文件</w:t>
      </w:r>
      <w:r>
        <w:rPr>
          <w:rFonts w:hint="eastAsia" w:asciiTheme="minorEastAsia" w:hAnsiTheme="minorEastAsia" w:eastAsiaTheme="minorEastAsia" w:cstheme="minorEastAsia"/>
          <w:color w:val="auto"/>
          <w:kern w:val="0"/>
          <w:sz w:val="21"/>
          <w:szCs w:val="21"/>
          <w:highlight w:val="none"/>
        </w:rPr>
        <w:t>。</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管理人员有三甲医院工作经验及现场培训能力</w:t>
      </w:r>
      <w:r>
        <w:rPr>
          <w:rFonts w:hint="eastAsia" w:asciiTheme="minorEastAsia" w:hAnsiTheme="minorEastAsia" w:eastAsiaTheme="minorEastAsia" w:cstheme="minorEastAsia"/>
          <w:color w:val="auto"/>
          <w:kern w:val="0"/>
          <w:sz w:val="21"/>
          <w:szCs w:val="21"/>
          <w:highlight w:val="none"/>
          <w:lang w:eastAsia="zh-CN"/>
        </w:rPr>
        <w:t>，且</w:t>
      </w:r>
      <w:r>
        <w:rPr>
          <w:rFonts w:hint="eastAsia" w:asciiTheme="minorEastAsia" w:hAnsiTheme="minorEastAsia" w:eastAsiaTheme="minorEastAsia" w:cstheme="minorEastAsia"/>
          <w:color w:val="auto"/>
          <w:kern w:val="0"/>
          <w:sz w:val="21"/>
          <w:szCs w:val="21"/>
          <w:highlight w:val="none"/>
        </w:rPr>
        <w:t>至少一人应参加消毒员培训并获得培训证书</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服务人员对工作认真负责，服从管理，诚实、踏实、肯干、有连续工作一年以上的能力，挂胸牌着工装（乙方提供），应熟知保洁区域的功能划分，掌握工作操作规程和相关的消毒隔离基本知识并严格执行。所有服务人员均由乙方进行岗位知识培训后上岗。</w:t>
      </w:r>
    </w:p>
    <w:p>
      <w:pPr>
        <w:adjustRightInd w:val="0"/>
        <w:snapToGrid w:val="0"/>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乙方配置的管理岗位应与保洁员日常管理相匹配，应保证保洁员配置充足，完成招标文件要求的各项服务内容。并且提供为本项目配备的管理岗（应包括项目经理和项目主管）人数和普通岗人数，管理岗人员的年龄、学历、业绩、资质等情况，普通岗人员的</w:t>
      </w:r>
      <w:r>
        <w:rPr>
          <w:rFonts w:hint="eastAsia" w:asciiTheme="minorEastAsia" w:hAnsiTheme="minorEastAsia" w:eastAsiaTheme="minorEastAsia" w:cstheme="minorEastAsia"/>
          <w:color w:val="auto"/>
          <w:kern w:val="0"/>
          <w:sz w:val="21"/>
          <w:szCs w:val="21"/>
          <w:highlight w:val="none"/>
        </w:rPr>
        <w:t>数量、年龄、身高、文化程度、工作经验</w:t>
      </w:r>
      <w:r>
        <w:rPr>
          <w:rFonts w:hint="eastAsia" w:asciiTheme="minorEastAsia" w:hAnsiTheme="minorEastAsia" w:eastAsiaTheme="minorEastAsia" w:cstheme="minorEastAsia"/>
          <w:color w:val="auto"/>
          <w:sz w:val="21"/>
          <w:szCs w:val="21"/>
          <w:highlight w:val="none"/>
        </w:rPr>
        <w:t>等情况。</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合理安排人员设置及工作时间，按照岗位设置定岗定编，每天工作开始时间不得晚于6：30，每天工作结束时间不得早于18：00，特殊岗位（急诊科、手术室等）另有规定的，按规定执行；门急诊、手术室作为重点保洁区域，其中卫生间要做到有专人值守（男卫生间由男保洁员打扫、女卫生间由女保洁员打扫）、急诊室24小时服务。根据医院院感工作要求，各岗位保洁员应相对固定，特别是重点区域保洁员</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保洁员分级管理，可分为初、中、高三级，考核合格才能晋级</w:t>
      </w:r>
      <w:r>
        <w:rPr>
          <w:rFonts w:hint="eastAsia" w:asciiTheme="minorEastAsia" w:hAnsiTheme="minorEastAsia" w:eastAsiaTheme="minorEastAsia" w:cstheme="minorEastAsia"/>
          <w:color w:val="auto"/>
          <w:kern w:val="0"/>
          <w:sz w:val="21"/>
          <w:szCs w:val="21"/>
          <w:highlight w:val="none"/>
          <w:lang w:eastAsia="zh-CN"/>
        </w:rPr>
        <w:t>，重点区域（</w:t>
      </w:r>
      <w:r>
        <w:rPr>
          <w:rFonts w:hint="eastAsia" w:asciiTheme="minorEastAsia" w:hAnsiTheme="minorEastAsia" w:eastAsiaTheme="minorEastAsia" w:cstheme="minorEastAsia"/>
          <w:color w:val="auto"/>
          <w:kern w:val="0"/>
          <w:sz w:val="21"/>
          <w:szCs w:val="21"/>
          <w:highlight w:val="none"/>
        </w:rPr>
        <w:t>手术室、ICU、血透等</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应由高级保洁员承担或至少达到一定比例，在指导下完成环境清洁消毒工作</w:t>
      </w:r>
      <w:r>
        <w:rPr>
          <w:rFonts w:hint="eastAsia" w:asciiTheme="minorEastAsia" w:hAnsiTheme="minorEastAsia" w:eastAsiaTheme="minorEastAsia" w:cstheme="minorEastAsia"/>
          <w:color w:val="auto"/>
          <w:kern w:val="0"/>
          <w:sz w:val="21"/>
          <w:szCs w:val="21"/>
          <w:highlight w:val="none"/>
          <w:lang w:eastAsia="zh-CN"/>
        </w:rPr>
        <w:t>，新入职员工不得直接安排至重点区域工作</w:t>
      </w:r>
      <w:r>
        <w:rPr>
          <w:rFonts w:hint="eastAsia" w:asciiTheme="minorEastAsia" w:hAnsiTheme="minorEastAsia" w:eastAsiaTheme="minorEastAsia" w:cstheme="minorEastAsia"/>
          <w:color w:val="auto"/>
          <w:kern w:val="0"/>
          <w:sz w:val="21"/>
          <w:szCs w:val="21"/>
          <w:highlight w:val="none"/>
        </w:rPr>
        <w:t>。人流量大的公共卫生间要做到有专人清洁（男卫生间由男保洁员打扫、女卫生间由女保洁员打扫），合理设置必要的机动人员及必要的人员储备，以满足甲方的应急保洁需求。根据实际工作需要，基本满足全周7天工作。</w:t>
      </w:r>
    </w:p>
    <w:p>
      <w:pPr>
        <w:adjustRightInd w:val="0"/>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6、管理人员应主动加强巡视（主管每周不得少于两次、经理每月不少于两次），增加巡视频次，善于发现问题并积极整改，同时对于甲方或监管方提出的问题能做到举一反三，不断提升服务质量。</w:t>
      </w:r>
    </w:p>
    <w:tbl>
      <w:tblPr>
        <w:tblStyle w:val="9"/>
        <w:tblW w:w="8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65"/>
        <w:gridCol w:w="4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83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保洁服务项目二标段岗位配置表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trPr>
        <w:tc>
          <w:tcPr>
            <w:tcW w:w="4365"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区  域</w:t>
            </w:r>
          </w:p>
        </w:tc>
        <w:tc>
          <w:tcPr>
            <w:tcW w:w="4005"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建议人员配置总数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4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A-1    门诊一部</w:t>
            </w:r>
          </w:p>
        </w:tc>
        <w:tc>
          <w:tcPr>
            <w:tcW w:w="4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4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A-6    门诊服务中心</w:t>
            </w:r>
          </w:p>
        </w:tc>
        <w:tc>
          <w:tcPr>
            <w:tcW w:w="4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4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A-7   门诊二部</w:t>
            </w:r>
          </w:p>
        </w:tc>
        <w:tc>
          <w:tcPr>
            <w:tcW w:w="4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4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A-8     急诊抢救楼</w:t>
            </w:r>
          </w:p>
        </w:tc>
        <w:tc>
          <w:tcPr>
            <w:tcW w:w="4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4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A-9       感染疾病科</w:t>
            </w:r>
          </w:p>
        </w:tc>
        <w:tc>
          <w:tcPr>
            <w:tcW w:w="4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4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A-10       康复楼</w:t>
            </w:r>
          </w:p>
        </w:tc>
        <w:tc>
          <w:tcPr>
            <w:tcW w:w="4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地库、机动、</w:t>
            </w:r>
            <w:r>
              <w:rPr>
                <w:rFonts w:hint="eastAsia" w:asciiTheme="minorEastAsia" w:hAnsiTheme="minorEastAsia" w:eastAsiaTheme="minorEastAsia" w:cstheme="minorEastAsia"/>
                <w:color w:val="auto"/>
                <w:kern w:val="0"/>
                <w:sz w:val="21"/>
                <w:szCs w:val="21"/>
                <w:highlight w:val="none"/>
                <w:lang w:val="en-US" w:eastAsia="zh-CN"/>
              </w:rPr>
              <w:br w:type="textWrapping"/>
            </w:r>
            <w:r>
              <w:rPr>
                <w:rFonts w:hint="eastAsia" w:asciiTheme="minorEastAsia" w:hAnsiTheme="minorEastAsia" w:eastAsiaTheme="minorEastAsia" w:cstheme="minorEastAsia"/>
                <w:color w:val="auto"/>
                <w:kern w:val="0"/>
                <w:sz w:val="21"/>
                <w:szCs w:val="21"/>
                <w:highlight w:val="none"/>
                <w:lang w:val="en-US" w:eastAsia="zh-CN"/>
              </w:rPr>
              <w:t>专项、搬运工、管理人员</w:t>
            </w:r>
          </w:p>
        </w:tc>
        <w:tc>
          <w:tcPr>
            <w:tcW w:w="4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4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合计</w:t>
            </w:r>
          </w:p>
        </w:tc>
        <w:tc>
          <w:tcPr>
            <w:tcW w:w="4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 xml:space="preserve">    181</w:t>
            </w:r>
          </w:p>
        </w:tc>
      </w:tr>
    </w:tbl>
    <w:p>
      <w:pPr>
        <w:adjustRightInd w:val="0"/>
        <w:snapToGrid w:val="0"/>
        <w:ind w:firstLine="480"/>
        <w:rPr>
          <w:rFonts w:hint="eastAsia" w:asciiTheme="minorEastAsia" w:hAnsiTheme="minorEastAsia" w:eastAsiaTheme="minorEastAsia" w:cstheme="minorEastAsia"/>
          <w:color w:val="auto"/>
          <w:kern w:val="0"/>
          <w:sz w:val="21"/>
          <w:szCs w:val="21"/>
          <w:highlight w:val="none"/>
        </w:rPr>
      </w:pPr>
    </w:p>
    <w:p>
      <w:pPr>
        <w:pStyle w:val="4"/>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（二）员工基本素质要求</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1、仪容仪表：统一着工装、工鞋（乙方提供），穿着整洁，仪表端庄。</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2、行为举止：精神饱满、诚实稳重、言谈举止文明、不大声喧哗。</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3、文明礼貌，尊重他人、态度和蔼、保护病人隐私、使用文明用语。</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4、遵纪守法、遵守操作规程、遵守劳动纪律、遵守医院规章制度。</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5、具备医院保洁基本知识，岗前培训考核合格后上岗，保障病人及医疗环境安全，做好个人防护。</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6、工装要求</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（1）保洁服装由甲方核定服装样式及颜色，乙方支付服装费用；</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（2）保洁服装由乙方负责清洗，清洁费用由乙方自付，每周至少清洗2次。</w:t>
      </w:r>
    </w:p>
    <w:p>
      <w:pPr>
        <w:adjustRightInd w:val="0"/>
        <w:snapToGrid w:val="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b/>
          <w:color w:val="auto"/>
          <w:kern w:val="0"/>
          <w:sz w:val="21"/>
          <w:szCs w:val="21"/>
          <w:highlight w:val="none"/>
        </w:rPr>
        <w:t>（三）卫生保洁标准</w:t>
      </w:r>
      <w:r>
        <w:rPr>
          <w:rFonts w:hint="eastAsia" w:asciiTheme="minorEastAsia" w:hAnsiTheme="minorEastAsia" w:eastAsiaTheme="minorEastAsia" w:cstheme="minorEastAsia"/>
          <w:b/>
          <w:color w:val="auto"/>
          <w:sz w:val="21"/>
          <w:szCs w:val="21"/>
          <w:highlight w:val="none"/>
        </w:rPr>
        <w:t xml:space="preserve">          </w:t>
      </w:r>
    </w:p>
    <w:p>
      <w:pPr>
        <w:autoSpaceDE w:val="0"/>
        <w:autoSpaceDN w:val="0"/>
        <w:adjustRightInd w:val="0"/>
        <w:snapToGrid w:val="0"/>
        <w:ind w:firstLine="422" w:firstLineChars="200"/>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1、楼内大厅、走廊保洁标准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(1)地面：表面洁净、无尘土、污迹、烟头、纸屑、油渍及垃圾</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(2)墙面，踢脚线：无尘土、污迹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(3)照明灯具：无尘土</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10"/>
          <w:sz w:val="21"/>
          <w:szCs w:val="21"/>
          <w:highlight w:val="none"/>
        </w:rPr>
        <w:t>(4)</w:t>
      </w:r>
      <w:r>
        <w:rPr>
          <w:rFonts w:hint="eastAsia" w:asciiTheme="minorEastAsia" w:hAnsiTheme="minorEastAsia" w:eastAsiaTheme="minorEastAsia" w:cstheme="minorEastAsia"/>
          <w:color w:val="auto"/>
          <w:kern w:val="0"/>
          <w:sz w:val="21"/>
          <w:szCs w:val="21"/>
          <w:highlight w:val="none"/>
        </w:rPr>
        <w:t>各房间门，通道门：无尘土、污迹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10"/>
          <w:sz w:val="21"/>
          <w:szCs w:val="21"/>
          <w:highlight w:val="none"/>
        </w:rPr>
        <w:t>(5)</w:t>
      </w:r>
      <w:r>
        <w:rPr>
          <w:rFonts w:hint="eastAsia" w:asciiTheme="minorEastAsia" w:hAnsiTheme="minorEastAsia" w:eastAsiaTheme="minorEastAsia" w:cstheme="minorEastAsia"/>
          <w:color w:val="auto"/>
          <w:kern w:val="0"/>
          <w:sz w:val="21"/>
          <w:szCs w:val="21"/>
          <w:highlight w:val="none"/>
        </w:rPr>
        <w:t>不锈钢面：污点、污渍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(6)装饰物：盆、座、框表洁净无尘土，墙饰物等表面无尘土</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(7)垃圾桶：桶内垃圾不超过容积的2/3，内外表面洁净</w:t>
      </w:r>
    </w:p>
    <w:p>
      <w:pPr>
        <w:tabs>
          <w:tab w:val="center" w:pos="4153"/>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(8)候诊椅、护士站：摆放整齐，表面洁净、无尘土、污迹、烟头、纸屑、油渍及垃圾</w:t>
      </w:r>
    </w:p>
    <w:p>
      <w:pPr>
        <w:tabs>
          <w:tab w:val="center" w:pos="4153"/>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(9)院内自助挂号机、ATM机等辅助就诊设施及便民服务设施：无尘土、污迹、油渍及垃圾</w:t>
      </w:r>
    </w:p>
    <w:p>
      <w:pPr>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18"/>
          <w:sz w:val="21"/>
          <w:szCs w:val="21"/>
          <w:highlight w:val="none"/>
        </w:rPr>
        <w:t>(10)公共区域消火栓：定期清洁、无尘土、污迹</w:t>
      </w:r>
    </w:p>
    <w:p>
      <w:pPr>
        <w:autoSpaceDE w:val="0"/>
        <w:autoSpaceDN w:val="0"/>
        <w:adjustRightInd w:val="0"/>
        <w:snapToGrid w:val="0"/>
        <w:ind w:firstLine="422" w:firstLineChars="200"/>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2、公共区域及病房卫生间保洁标准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(1)卫生间：无异味、蚊蝇</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(2)地面：无尘土、碎纸、垃圾、烟头、积水、尿迹、污迹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(3)洗手池：池壁无污垢、痰迹及头发等不洁物</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(4)水龙头：无印迹、尘土、污物</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(5)洗手池台面：无水迹、尘土、污渍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(6)镜面：无水点、水迹、尘土、污迹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(7)小便器：无尿碱、水锈、印迹（黄渍）、污渍、喷水嘴洁净流畅。</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(8)大便器：内外洁净、无大便痕迹、污垢黄迹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(9)手纸架：无印迹、污渍、光亮洁净</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(10)纸篓：污物量不超过桶体２／３，内外表面洁净</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(11)墙面，踢脚线：无尘土、污迹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(12)顶板：无尘土、污迹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(13)隔板：无尘土、污迹、手印、笔迹、小广告</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(14)门板，把手：无尘土、污迹、手印、笔迹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(15)皂液盒：无水迹、尘土、污物，按时清洗消毒</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(16)烘手器：无水迹、尘土、污渍</w:t>
      </w:r>
    </w:p>
    <w:p>
      <w:pPr>
        <w:ind w:firstLine="420" w:firstLineChars="200"/>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(17)通风口定期保洁、无灰尘</w:t>
      </w:r>
    </w:p>
    <w:p>
      <w:pPr>
        <w:ind w:firstLine="420" w:firstLineChars="200"/>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(18)洗手液、滤洁、卫生纸及时补充，定期更换喷香罐</w:t>
      </w:r>
    </w:p>
    <w:p>
      <w:pPr>
        <w:ind w:firstLine="420" w:firstLineChars="200"/>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(19)保洁工具干净、摆放整齐，用完归位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(20)设施损坏及时登记、报修</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(21)门急诊卫生间专人进行值守，保持清洁无异味。</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(2</w:t>
      </w:r>
      <w:r>
        <w:rPr>
          <w:rFonts w:hint="eastAsia" w:asciiTheme="minorEastAsia" w:hAnsiTheme="minorEastAsia" w:eastAsiaTheme="minorEastAsia" w:cstheme="minorEastAsia"/>
          <w:color w:val="auto"/>
          <w:kern w:val="18"/>
          <w:sz w:val="21"/>
          <w:szCs w:val="21"/>
          <w:highlight w:val="none"/>
          <w:lang w:val="en-US" w:eastAsia="zh-CN"/>
        </w:rPr>
        <w:t>2</w:t>
      </w:r>
      <w:r>
        <w:rPr>
          <w:rFonts w:hint="eastAsia" w:asciiTheme="minorEastAsia" w:hAnsiTheme="minorEastAsia" w:eastAsiaTheme="minorEastAsia" w:cstheme="minorEastAsia"/>
          <w:color w:val="auto"/>
          <w:kern w:val="18"/>
          <w:sz w:val="21"/>
          <w:szCs w:val="21"/>
          <w:highlight w:val="none"/>
        </w:rPr>
        <w:t>)</w:t>
      </w:r>
      <w:r>
        <w:rPr>
          <w:rFonts w:hint="eastAsia" w:asciiTheme="minorEastAsia" w:hAnsiTheme="minorEastAsia" w:eastAsiaTheme="minorEastAsia" w:cstheme="minorEastAsia"/>
          <w:color w:val="auto"/>
          <w:kern w:val="18"/>
          <w:sz w:val="21"/>
          <w:szCs w:val="21"/>
          <w:highlight w:val="none"/>
          <w:lang w:eastAsia="zh-CN"/>
        </w:rPr>
        <w:t>售卖机、挂号机等设备的日常清洁消毒</w:t>
      </w:r>
      <w:r>
        <w:rPr>
          <w:rFonts w:hint="eastAsia" w:asciiTheme="minorEastAsia" w:hAnsiTheme="minorEastAsia" w:eastAsiaTheme="minorEastAsia" w:cstheme="minorEastAsia"/>
          <w:color w:val="auto"/>
          <w:kern w:val="18"/>
          <w:sz w:val="21"/>
          <w:szCs w:val="21"/>
          <w:highlight w:val="none"/>
        </w:rPr>
        <w:t>。</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3、步行梯保洁标准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(1)地面：无尘土、痰迹、碎纸、烟头及垃圾杂物</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(2)墙面，踢脚线：无污迹、小广告</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(3)消防设备：表面无尘土、整洁</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(4)楼梯，电梯间，窗框，坡道：地面无尘土、烟头、痰迹、垃圾及杂物，扶手和窗框无尘土、污渍、小广告</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4、诊室及病房保洁标准</w:t>
      </w:r>
    </w:p>
    <w:p>
      <w:pPr>
        <w:autoSpaceDE w:val="0"/>
        <w:autoSpaceDN w:val="0"/>
        <w:adjustRightInd w:val="0"/>
        <w:snapToGrid w:val="0"/>
        <w:ind w:left="540" w:leftChars="257"/>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(1)地面：洁净、光亮、无尘土、烟头、痰迹、碎纸、烟头及垃圾杂物</w:t>
      </w:r>
    </w:p>
    <w:p>
      <w:pPr>
        <w:autoSpaceDE w:val="0"/>
        <w:autoSpaceDN w:val="0"/>
        <w:adjustRightInd w:val="0"/>
        <w:snapToGrid w:val="0"/>
        <w:ind w:left="540" w:leftChars="257"/>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(2)墙面，踢脚线：无尘土、污迹</w:t>
      </w:r>
    </w:p>
    <w:p>
      <w:pPr>
        <w:autoSpaceDE w:val="0"/>
        <w:autoSpaceDN w:val="0"/>
        <w:adjustRightInd w:val="0"/>
        <w:snapToGrid w:val="0"/>
        <w:ind w:left="540" w:leftChars="257"/>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(3)窗户：明亮、无积灰</w:t>
      </w:r>
    </w:p>
    <w:p>
      <w:pPr>
        <w:autoSpaceDE w:val="0"/>
        <w:autoSpaceDN w:val="0"/>
        <w:adjustRightInd w:val="0"/>
        <w:snapToGrid w:val="0"/>
        <w:ind w:left="540" w:leftChars="257"/>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(4)天花板：无蜘蛛网、无积灰</w:t>
      </w:r>
    </w:p>
    <w:p>
      <w:pPr>
        <w:autoSpaceDE w:val="0"/>
        <w:autoSpaceDN w:val="0"/>
        <w:adjustRightInd w:val="0"/>
        <w:snapToGrid w:val="0"/>
        <w:ind w:left="0" w:leftChars="0" w:firstLine="472" w:firstLineChars="225"/>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(5)病床，床头柜，床架：无尘土、积灰、污渍</w:t>
      </w:r>
    </w:p>
    <w:p>
      <w:pPr>
        <w:autoSpaceDE w:val="0"/>
        <w:autoSpaceDN w:val="0"/>
        <w:adjustRightInd w:val="0"/>
        <w:snapToGrid w:val="0"/>
        <w:ind w:left="540" w:leftChars="257"/>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(6)壁柜：无积灰、污渍</w:t>
      </w:r>
    </w:p>
    <w:p>
      <w:pPr>
        <w:autoSpaceDE w:val="0"/>
        <w:autoSpaceDN w:val="0"/>
        <w:adjustRightInd w:val="0"/>
        <w:snapToGrid w:val="0"/>
        <w:ind w:left="540" w:leftChars="257"/>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(7)灯具：无厚积尘土</w:t>
      </w:r>
    </w:p>
    <w:p>
      <w:pPr>
        <w:autoSpaceDE w:val="0"/>
        <w:autoSpaceDN w:val="0"/>
        <w:adjustRightInd w:val="0"/>
        <w:snapToGrid w:val="0"/>
        <w:ind w:left="0" w:leftChars="0" w:firstLine="472" w:firstLineChars="225"/>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(8)患者出院后</w:t>
      </w:r>
      <w:r>
        <w:rPr>
          <w:rFonts w:hint="eastAsia" w:asciiTheme="minorEastAsia" w:hAnsiTheme="minorEastAsia" w:eastAsiaTheme="minorEastAsia" w:cstheme="minorEastAsia"/>
          <w:color w:val="auto"/>
          <w:kern w:val="0"/>
          <w:sz w:val="21"/>
          <w:szCs w:val="21"/>
          <w:highlight w:val="none"/>
          <w:lang w:eastAsia="zh-CN"/>
        </w:rPr>
        <w:t>，床具一床一巾应进行终末消毒流程（需对保洁人员开展培训，按照要求完成）</w:t>
      </w:r>
      <w:r>
        <w:rPr>
          <w:rFonts w:hint="eastAsia" w:asciiTheme="minorEastAsia" w:hAnsiTheme="minorEastAsia" w:eastAsiaTheme="minorEastAsia" w:cstheme="minorEastAsia"/>
          <w:color w:val="auto"/>
          <w:kern w:val="0"/>
          <w:sz w:val="21"/>
          <w:szCs w:val="21"/>
          <w:highlight w:val="none"/>
        </w:rPr>
        <w:t>。不得私自处理病人遗留的物品</w:t>
      </w:r>
    </w:p>
    <w:p>
      <w:pPr>
        <w:autoSpaceDE w:val="0"/>
        <w:autoSpaceDN w:val="0"/>
        <w:adjustRightInd w:val="0"/>
        <w:snapToGrid w:val="0"/>
        <w:ind w:left="540" w:leftChars="257"/>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(9)及时清理杂物和垃圾，待处理的杂物及垃圾堆放不得超过30分钟。</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(10)污物间：无异味、垃圾，室内物品摆放整洁，保洁用具分类洗消、规范悬挂晾晒、有序放置。</w:t>
      </w:r>
      <w:r>
        <w:rPr>
          <w:rFonts w:hint="eastAsia" w:asciiTheme="minorEastAsia" w:hAnsiTheme="minorEastAsia" w:eastAsiaTheme="minorEastAsia" w:cstheme="minorEastAsia"/>
          <w:b/>
          <w:color w:val="auto"/>
          <w:kern w:val="0"/>
          <w:sz w:val="21"/>
          <w:szCs w:val="21"/>
          <w:highlight w:val="none"/>
        </w:rPr>
        <w:t xml:space="preserve"> </w:t>
      </w:r>
    </w:p>
    <w:p>
      <w:pPr>
        <w:autoSpaceDE w:val="0"/>
        <w:autoSpaceDN w:val="0"/>
        <w:adjustRightInd w:val="0"/>
        <w:snapToGrid w:val="0"/>
        <w:ind w:firstLine="422"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5、生活区、浴室、示教室及行政办公区（含护士站）保洁标准：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(1)桌椅面、窗台：无尘土、污渍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(2)地面、地毯：无污迹、异味、碎屑、渣土，云石地面清抹干净</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(3)墙面、踢脚线：无污渍、锈斑、积土</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(4)画框等饰物（手可触及）：无尘土、污渍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(5)洗手池、水龙头：无污迹、水印、锈斑</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(6)垃圾桶、碎纸机：量不超过桶体２／３，并保持桶体表面洁净</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6、手术室、ICU保洁标准：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（1）地面、墙面：光亮、无污渍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（2）门把手、桌面、窗台、治疗袋（消毒擦拭）、墙体附属物：清洁、无污渍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（3）电话机、洗手池：清洁、无污渍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（4）垃圾桶（清理、换污物袋）：无堆积、无遗漏</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（5）手术间（擦拭消毒）地面、无影灯、手术床、台面、墙面：符合消毒隔离要求清洁，手术完毕立即清理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（6）辅助间（擦拭消毒）:符合消毒隔离要求清洁</w:t>
      </w:r>
    </w:p>
    <w:p>
      <w:pPr>
        <w:autoSpaceDE w:val="0"/>
        <w:autoSpaceDN w:val="0"/>
        <w:adjustRightInd w:val="0"/>
        <w:snapToGrid w:val="0"/>
        <w:ind w:firstLine="420" w:firstLineChars="200"/>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（7）更衣室、洗澡间、办公区（擦拭消毒）:符合消毒隔离要求清洁</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7、玻璃清洁标准：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(1)对医院内所有房间、公共区域内侧玻璃进行清洁，无尘土、无水印、无污迹。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(2)对医院内所有房间、公共区域外侧玻璃（只限于一层）进行清洁，无尘土、无水印、无污迹。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(3)对辖区内所有雨搭、车库出入口玻璃表面进行清洁，无尘土、无水印、无污迹。</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8、车库环境卫生要求</w:t>
      </w:r>
    </w:p>
    <w:p>
      <w:pPr>
        <w:autoSpaceDE w:val="0"/>
        <w:autoSpaceDN w:val="0"/>
        <w:adjustRightInd w:val="0"/>
        <w:snapToGrid w:val="0"/>
        <w:ind w:firstLine="472" w:firstLineChars="225"/>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(1)车库内无纸屑、塑料袋、小广告、烟头、痰迹</w:t>
      </w:r>
    </w:p>
    <w:p>
      <w:pPr>
        <w:autoSpaceDE w:val="0"/>
        <w:autoSpaceDN w:val="0"/>
        <w:adjustRightInd w:val="0"/>
        <w:snapToGrid w:val="0"/>
        <w:ind w:firstLine="472" w:firstLineChars="225"/>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(2)车库内雨天及时清扫疏通，无积水，主要交通要道要有防滑措施。</w:t>
      </w:r>
    </w:p>
    <w:p>
      <w:pPr>
        <w:autoSpaceDE w:val="0"/>
        <w:autoSpaceDN w:val="0"/>
        <w:adjustRightInd w:val="0"/>
        <w:snapToGrid w:val="0"/>
        <w:ind w:firstLine="472" w:firstLineChars="225"/>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(3)车库内雪天及时清理，无积雪、积冰，主要交通要道要有防滑融冰措施。</w:t>
      </w:r>
    </w:p>
    <w:p>
      <w:pPr>
        <w:autoSpaceDE w:val="0"/>
        <w:autoSpaceDN w:val="0"/>
        <w:adjustRightInd w:val="0"/>
        <w:snapToGrid w:val="0"/>
        <w:ind w:firstLine="472" w:firstLineChars="225"/>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(4)地库内垃圾桶每日擦拭保持桶体表面洁净无污垢、痰渍，垃圾每日清理两次，量不超过桶体2/3，桶内垃圾袋及时更换。</w:t>
      </w:r>
    </w:p>
    <w:p>
      <w:pPr>
        <w:autoSpaceDE w:val="0"/>
        <w:autoSpaceDN w:val="0"/>
        <w:adjustRightInd w:val="0"/>
        <w:snapToGrid w:val="0"/>
        <w:ind w:firstLine="472" w:firstLineChars="225"/>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(5)车库排水沟每周清理，不发生封堵、阻塞现象。</w:t>
      </w:r>
    </w:p>
    <w:p>
      <w:pPr>
        <w:autoSpaceDE w:val="0"/>
        <w:autoSpaceDN w:val="0"/>
        <w:adjustRightInd w:val="0"/>
        <w:snapToGrid w:val="0"/>
        <w:ind w:firstLine="472" w:firstLineChars="225"/>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(6)车库地面每周刷洗一次，保证地面指示标识清晰。</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9、专项工作要求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专项清洁保洁工作：负责各楼层PVC地面清洁，石材日常清洗、高空管道</w:t>
      </w:r>
      <w:r>
        <w:rPr>
          <w:rFonts w:hint="eastAsia" w:asciiTheme="minorEastAsia" w:hAnsiTheme="minorEastAsia" w:eastAsiaTheme="minorEastAsia" w:cstheme="minorEastAsia"/>
          <w:color w:val="auto"/>
          <w:kern w:val="0"/>
          <w:sz w:val="21"/>
          <w:szCs w:val="21"/>
          <w:highlight w:val="none"/>
          <w:lang w:eastAsia="zh-CN"/>
        </w:rPr>
        <w:t>、紫外线灯</w:t>
      </w:r>
      <w:r>
        <w:rPr>
          <w:rFonts w:hint="eastAsia" w:asciiTheme="minorEastAsia" w:hAnsiTheme="minorEastAsia" w:eastAsiaTheme="minorEastAsia" w:cstheme="minorEastAsia"/>
          <w:color w:val="auto"/>
          <w:kern w:val="0"/>
          <w:sz w:val="21"/>
          <w:szCs w:val="21"/>
          <w:highlight w:val="none"/>
        </w:rPr>
        <w:t>及天花板、室内玻璃幕墙、雨搭、院区外围地面和围墙清洗，负责部分车库环形坡道的清洁；</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(1)凡在施工过程中产生噪音、粉尘、异味等对医患造成影响的工作，需安排在夜间进行；</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(2)石材整体清洗要求每年不低于两次，局部污染需立即处理，待周末或节假日时进行整体清洗，如遇重大接待、参观等事宜可适时增加清洁频次；</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(3)专项工作前需做好相应的成品保护，施工后需对施工区域做好卫生清洁和设备、设施的恢复；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(4)重点工程机房进行计划性清洁，详情见重点工程机房清洁计划；</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(5)依据甲方实际情况随时调整工作内容，乙方应无条件满足甲方要求，并及时有效的完成</w:t>
      </w:r>
    </w:p>
    <w:p>
      <w:pPr>
        <w:adjustRightInd w:val="0"/>
        <w:snapToGrid w:val="0"/>
        <w:ind w:firstLine="422" w:firstLineChars="20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b/>
          <w:color w:val="auto"/>
          <w:kern w:val="0"/>
          <w:sz w:val="21"/>
          <w:szCs w:val="21"/>
          <w:highlight w:val="none"/>
        </w:rPr>
        <w:t>（</w:t>
      </w:r>
      <w:r>
        <w:rPr>
          <w:rFonts w:hint="eastAsia" w:asciiTheme="minorEastAsia" w:hAnsiTheme="minorEastAsia" w:eastAsiaTheme="minorEastAsia" w:cstheme="minorEastAsia"/>
          <w:b/>
          <w:color w:val="auto"/>
          <w:kern w:val="0"/>
          <w:sz w:val="21"/>
          <w:szCs w:val="21"/>
          <w:highlight w:val="none"/>
          <w:lang w:eastAsia="zh-CN"/>
        </w:rPr>
        <w:t>四</w:t>
      </w:r>
      <w:r>
        <w:rPr>
          <w:rFonts w:hint="eastAsia" w:asciiTheme="minorEastAsia" w:hAnsiTheme="minorEastAsia" w:eastAsiaTheme="minorEastAsia" w:cstheme="minorEastAsia"/>
          <w:b/>
          <w:color w:val="auto"/>
          <w:kern w:val="0"/>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如发现3次以上同一问题或同一类型问题，将扣除本付款周期应付款的1%作为违约金。</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sectPr>
          <w:footerReference r:id="rId4" w:type="default"/>
          <w:pgSz w:w="11906" w:h="16838"/>
          <w:pgMar w:top="1474" w:right="1701" w:bottom="1134" w:left="1701" w:header="851" w:footer="992" w:gutter="0"/>
          <w:cols w:space="720" w:num="1"/>
          <w:docGrid w:type="lines" w:linePitch="312" w:charSpace="0"/>
        </w:sectPr>
      </w:pPr>
    </w:p>
    <w:p>
      <w:pP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清洁计划包含但不限于以下所列内容（请根据区域划分，详细安排计划，以A1专科门诊部分区域为例）：</w:t>
      </w:r>
    </w:p>
    <w:p>
      <w:pPr>
        <w:ind w:firstLine="157" w:firstLineChars="7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区域：地下</w:t>
      </w:r>
    </w:p>
    <w:tbl>
      <w:tblPr>
        <w:tblStyle w:val="9"/>
        <w:tblW w:w="11563" w:type="dxa"/>
        <w:tblInd w:w="0" w:type="dxa"/>
        <w:tblLayout w:type="fixed"/>
        <w:tblCellMar>
          <w:top w:w="0" w:type="dxa"/>
          <w:left w:w="108" w:type="dxa"/>
          <w:bottom w:w="0" w:type="dxa"/>
          <w:right w:w="108" w:type="dxa"/>
        </w:tblCellMar>
      </w:tblPr>
      <w:tblGrid>
        <w:gridCol w:w="2635"/>
        <w:gridCol w:w="936"/>
        <w:gridCol w:w="1080"/>
        <w:gridCol w:w="1016"/>
        <w:gridCol w:w="1108"/>
        <w:gridCol w:w="974"/>
        <w:gridCol w:w="1267"/>
        <w:gridCol w:w="1260"/>
        <w:gridCol w:w="1287"/>
      </w:tblGrid>
      <w:tr>
        <w:tblPrEx>
          <w:tblLayout w:type="fixed"/>
          <w:tblCellMar>
            <w:top w:w="0" w:type="dxa"/>
            <w:left w:w="108" w:type="dxa"/>
            <w:bottom w:w="0" w:type="dxa"/>
            <w:right w:w="108" w:type="dxa"/>
          </w:tblCellMar>
        </w:tblPrEx>
        <w:trPr>
          <w:trHeight w:val="285" w:hRule="atLeast"/>
        </w:trPr>
        <w:tc>
          <w:tcPr>
            <w:tcW w:w="2635" w:type="dxa"/>
            <w:tcBorders>
              <w:top w:val="single" w:color="auto" w:sz="8" w:space="0"/>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936" w:type="dxa"/>
            <w:tcBorders>
              <w:top w:val="single" w:color="auto" w:sz="8" w:space="0"/>
              <w:left w:val="nil"/>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108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1016" w:type="dxa"/>
            <w:tcBorders>
              <w:top w:val="single" w:color="auto" w:sz="8"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1108" w:type="dxa"/>
            <w:tcBorders>
              <w:top w:val="single" w:color="auto" w:sz="8"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974" w:type="dxa"/>
            <w:tcBorders>
              <w:top w:val="single" w:color="auto" w:sz="8"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1267" w:type="dxa"/>
            <w:tcBorders>
              <w:top w:val="single" w:color="auto" w:sz="8" w:space="0"/>
              <w:left w:val="nil"/>
              <w:bottom w:val="single" w:color="auto" w:sz="4" w:space="0"/>
              <w:right w:val="nil"/>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1260" w:type="dxa"/>
            <w:tcBorders>
              <w:top w:val="single" w:color="auto" w:sz="8"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287" w:type="dxa"/>
            <w:tcBorders>
              <w:top w:val="single" w:color="auto" w:sz="8" w:space="0"/>
              <w:left w:val="nil"/>
              <w:bottom w:val="nil"/>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上下车道弯道地面</w:t>
            </w:r>
          </w:p>
        </w:tc>
        <w:tc>
          <w:tcPr>
            <w:tcW w:w="9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0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7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single" w:color="auto" w:sz="4" w:space="0"/>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车场内设施设备</w:t>
            </w:r>
          </w:p>
        </w:tc>
        <w:tc>
          <w:tcPr>
            <w:tcW w:w="9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0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7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人防楼梯</w:t>
            </w:r>
          </w:p>
        </w:tc>
        <w:tc>
          <w:tcPr>
            <w:tcW w:w="9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0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7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挡车器擦拭</w:t>
            </w:r>
          </w:p>
        </w:tc>
        <w:tc>
          <w:tcPr>
            <w:tcW w:w="9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0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74" w:type="dxa"/>
            <w:tcBorders>
              <w:top w:val="nil"/>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消防楼梯</w:t>
            </w:r>
          </w:p>
        </w:tc>
        <w:tc>
          <w:tcPr>
            <w:tcW w:w="9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0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74"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7"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踢脚线</w:t>
            </w:r>
          </w:p>
        </w:tc>
        <w:tc>
          <w:tcPr>
            <w:tcW w:w="9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0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74" w:type="dxa"/>
            <w:tcBorders>
              <w:top w:val="nil"/>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7"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减速器</w:t>
            </w:r>
          </w:p>
        </w:tc>
        <w:tc>
          <w:tcPr>
            <w:tcW w:w="9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0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74" w:type="dxa"/>
            <w:tcBorders>
              <w:top w:val="nil"/>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7"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货梯间墙壁及天花</w:t>
            </w:r>
          </w:p>
        </w:tc>
        <w:tc>
          <w:tcPr>
            <w:tcW w:w="936"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0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7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7"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single" w:color="auto" w:sz="4" w:space="0"/>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single" w:color="auto" w:sz="4" w:space="0"/>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20" w:hRule="atLeast"/>
        </w:trPr>
        <w:tc>
          <w:tcPr>
            <w:tcW w:w="2635" w:type="dxa"/>
            <w:tcBorders>
              <w:top w:val="nil"/>
              <w:left w:val="single" w:color="auto" w:sz="8" w:space="0"/>
              <w:bottom w:val="single" w:color="auto" w:sz="8"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卫生间及浴室大清</w:t>
            </w:r>
          </w:p>
        </w:tc>
        <w:tc>
          <w:tcPr>
            <w:tcW w:w="936" w:type="dxa"/>
            <w:tcBorders>
              <w:top w:val="single" w:color="auto" w:sz="4" w:space="0"/>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080"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016"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108"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974"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267" w:type="dxa"/>
            <w:tcBorders>
              <w:top w:val="nil"/>
              <w:left w:val="nil"/>
              <w:bottom w:val="single" w:color="auto" w:sz="8"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260" w:type="dxa"/>
            <w:tcBorders>
              <w:top w:val="nil"/>
              <w:left w:val="single" w:color="auto" w:sz="4" w:space="0"/>
              <w:bottom w:val="single" w:color="auto" w:sz="8"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287" w:type="dxa"/>
            <w:tcBorders>
              <w:top w:val="nil"/>
              <w:left w:val="single" w:color="auto" w:sz="4"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635"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减速带</w:t>
            </w:r>
          </w:p>
        </w:tc>
        <w:tc>
          <w:tcPr>
            <w:tcW w:w="93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08"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74"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7"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635"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安全门及闭门器</w:t>
            </w:r>
          </w:p>
        </w:tc>
        <w:tc>
          <w:tcPr>
            <w:tcW w:w="93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08"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74"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7"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bl>
    <w:p>
      <w:pPr>
        <w:ind w:firstLine="60"/>
        <w:rPr>
          <w:rFonts w:hint="eastAsia" w:asciiTheme="minorEastAsia" w:hAnsiTheme="minorEastAsia" w:eastAsiaTheme="minorEastAsia" w:cstheme="minorEastAsia"/>
          <w:color w:val="auto"/>
          <w:sz w:val="21"/>
          <w:szCs w:val="21"/>
          <w:highlight w:val="none"/>
        </w:rPr>
      </w:pPr>
    </w:p>
    <w:p>
      <w:pPr>
        <w:ind w:firstLine="60"/>
        <w:rPr>
          <w:rFonts w:hint="eastAsia" w:asciiTheme="minorEastAsia" w:hAnsiTheme="minorEastAsia" w:eastAsiaTheme="minorEastAsia" w:cstheme="minorEastAsia"/>
          <w:color w:val="auto"/>
          <w:sz w:val="21"/>
          <w:szCs w:val="21"/>
          <w:highlight w:val="none"/>
        </w:rPr>
      </w:pPr>
    </w:p>
    <w:p>
      <w:pPr>
        <w:ind w:firstLine="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区域：大厅</w:t>
      </w:r>
    </w:p>
    <w:tbl>
      <w:tblPr>
        <w:tblStyle w:val="9"/>
        <w:tblW w:w="11398" w:type="dxa"/>
        <w:tblInd w:w="0" w:type="dxa"/>
        <w:tblLayout w:type="fixed"/>
        <w:tblCellMar>
          <w:top w:w="0" w:type="dxa"/>
          <w:left w:w="108" w:type="dxa"/>
          <w:bottom w:w="0" w:type="dxa"/>
          <w:right w:w="108" w:type="dxa"/>
        </w:tblCellMar>
      </w:tblPr>
      <w:tblGrid>
        <w:gridCol w:w="2635"/>
        <w:gridCol w:w="936"/>
        <w:gridCol w:w="900"/>
        <w:gridCol w:w="1080"/>
        <w:gridCol w:w="1060"/>
        <w:gridCol w:w="1080"/>
        <w:gridCol w:w="1057"/>
        <w:gridCol w:w="1080"/>
        <w:gridCol w:w="1570"/>
      </w:tblGrid>
      <w:tr>
        <w:tblPrEx>
          <w:tblLayout w:type="fixed"/>
          <w:tblCellMar>
            <w:top w:w="0" w:type="dxa"/>
            <w:left w:w="108" w:type="dxa"/>
            <w:bottom w:w="0" w:type="dxa"/>
            <w:right w:w="108" w:type="dxa"/>
          </w:tblCellMar>
        </w:tblPrEx>
        <w:trPr>
          <w:trHeight w:val="285" w:hRule="atLeast"/>
        </w:trPr>
        <w:tc>
          <w:tcPr>
            <w:tcW w:w="2635"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936"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900" w:type="dxa"/>
            <w:tcBorders>
              <w:top w:val="single" w:color="auto" w:sz="8"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1080" w:type="dxa"/>
            <w:tcBorders>
              <w:top w:val="single" w:color="auto" w:sz="8"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106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108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1057"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108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570" w:type="dxa"/>
            <w:tcBorders>
              <w:top w:val="single" w:color="auto" w:sz="8" w:space="0"/>
              <w:left w:val="nil"/>
              <w:bottom w:val="nil"/>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85" w:hRule="atLeast"/>
        </w:trPr>
        <w:tc>
          <w:tcPr>
            <w:tcW w:w="2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大厅玻璃墙幕</w:t>
            </w:r>
          </w:p>
        </w:tc>
        <w:tc>
          <w:tcPr>
            <w:tcW w:w="93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00"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6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70" w:type="dxa"/>
            <w:tcBorders>
              <w:top w:val="single" w:color="auto" w:sz="4" w:space="0"/>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干净明亮</w:t>
            </w:r>
          </w:p>
        </w:tc>
      </w:tr>
      <w:tr>
        <w:tblPrEx>
          <w:tblLayout w:type="fixed"/>
          <w:tblCellMar>
            <w:top w:w="0" w:type="dxa"/>
            <w:left w:w="108" w:type="dxa"/>
            <w:bottom w:w="0" w:type="dxa"/>
            <w:right w:w="108" w:type="dxa"/>
          </w:tblCellMar>
        </w:tblPrEx>
        <w:trPr>
          <w:trHeight w:val="285" w:hRule="atLeast"/>
        </w:trPr>
        <w:tc>
          <w:tcPr>
            <w:tcW w:w="2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卫生间大清</w:t>
            </w:r>
          </w:p>
        </w:tc>
        <w:tc>
          <w:tcPr>
            <w:tcW w:w="93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0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6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7"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single" w:color="auto" w:sz="4" w:space="0"/>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70"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货梯间墙壁及天花</w:t>
            </w:r>
          </w:p>
        </w:tc>
        <w:tc>
          <w:tcPr>
            <w:tcW w:w="936"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6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7"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single" w:color="auto" w:sz="4" w:space="0"/>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70"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安全门及闭门器</w:t>
            </w:r>
          </w:p>
        </w:tc>
        <w:tc>
          <w:tcPr>
            <w:tcW w:w="93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00"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6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70"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走廊顶部</w:t>
            </w:r>
          </w:p>
        </w:tc>
        <w:tc>
          <w:tcPr>
            <w:tcW w:w="93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00" w:type="dxa"/>
            <w:tcBorders>
              <w:top w:val="single" w:color="auto" w:sz="4" w:space="0"/>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60"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bl>
    <w:p>
      <w:pPr>
        <w:ind w:firstLine="60"/>
        <w:rPr>
          <w:rFonts w:hint="eastAsia" w:asciiTheme="minorEastAsia" w:hAnsiTheme="minorEastAsia" w:eastAsiaTheme="minorEastAsia" w:cstheme="minorEastAsia"/>
          <w:color w:val="auto"/>
          <w:sz w:val="21"/>
          <w:szCs w:val="21"/>
          <w:highlight w:val="none"/>
        </w:rPr>
      </w:pPr>
    </w:p>
    <w:p>
      <w:pPr>
        <w:spacing w:before="120" w:line="360" w:lineRule="auto"/>
        <w:ind w:left="359" w:leftChars="171" w:firstLine="60"/>
        <w:rPr>
          <w:rFonts w:hint="eastAsia" w:asciiTheme="minorEastAsia" w:hAnsiTheme="minorEastAsia" w:eastAsiaTheme="minorEastAsia" w:cstheme="minorEastAsia"/>
          <w:color w:val="auto"/>
          <w:sz w:val="21"/>
          <w:szCs w:val="21"/>
          <w:highlight w:val="none"/>
        </w:rPr>
      </w:pPr>
    </w:p>
    <w:p>
      <w:pPr>
        <w:ind w:firstLine="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区域：B1层、2—5层</w:t>
      </w:r>
    </w:p>
    <w:tbl>
      <w:tblPr>
        <w:tblStyle w:val="9"/>
        <w:tblW w:w="11929" w:type="dxa"/>
        <w:tblInd w:w="0" w:type="dxa"/>
        <w:tblLayout w:type="fixed"/>
        <w:tblCellMar>
          <w:top w:w="0" w:type="dxa"/>
          <w:left w:w="108" w:type="dxa"/>
          <w:bottom w:w="0" w:type="dxa"/>
          <w:right w:w="108" w:type="dxa"/>
        </w:tblCellMar>
      </w:tblPr>
      <w:tblGrid>
        <w:gridCol w:w="2637"/>
        <w:gridCol w:w="1114"/>
        <w:gridCol w:w="1000"/>
        <w:gridCol w:w="1146"/>
        <w:gridCol w:w="1080"/>
        <w:gridCol w:w="1053"/>
        <w:gridCol w:w="1260"/>
        <w:gridCol w:w="1210"/>
        <w:gridCol w:w="1429"/>
      </w:tblGrid>
      <w:tr>
        <w:tblPrEx>
          <w:tblLayout w:type="fixed"/>
          <w:tblCellMar>
            <w:top w:w="0" w:type="dxa"/>
            <w:left w:w="108" w:type="dxa"/>
            <w:bottom w:w="0" w:type="dxa"/>
            <w:right w:w="108" w:type="dxa"/>
          </w:tblCellMar>
        </w:tblPrEx>
        <w:trPr>
          <w:trHeight w:val="285" w:hRule="atLeast"/>
        </w:trPr>
        <w:tc>
          <w:tcPr>
            <w:tcW w:w="2637"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1114"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100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1146"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108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1053"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1260" w:type="dxa"/>
            <w:tcBorders>
              <w:top w:val="single" w:color="auto" w:sz="8"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1210" w:type="dxa"/>
            <w:tcBorders>
              <w:top w:val="single" w:color="auto" w:sz="8"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429" w:type="dxa"/>
            <w:tcBorders>
              <w:top w:val="single" w:color="auto" w:sz="8" w:space="0"/>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85" w:hRule="atLeast"/>
        </w:trPr>
        <w:tc>
          <w:tcPr>
            <w:tcW w:w="2637"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会议室门外侧</w:t>
            </w:r>
          </w:p>
        </w:tc>
        <w:tc>
          <w:tcPr>
            <w:tcW w:w="1114" w:type="dxa"/>
            <w:tcBorders>
              <w:top w:val="nil"/>
              <w:left w:val="nil"/>
              <w:bottom w:val="nil"/>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4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3"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10" w:type="dxa"/>
            <w:tcBorders>
              <w:top w:val="nil"/>
              <w:left w:val="single" w:color="auto" w:sz="4" w:space="0"/>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7"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安全门及闭门器</w:t>
            </w:r>
          </w:p>
        </w:tc>
        <w:tc>
          <w:tcPr>
            <w:tcW w:w="111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00"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4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3"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1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7"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走廊墙面</w:t>
            </w:r>
          </w:p>
        </w:tc>
        <w:tc>
          <w:tcPr>
            <w:tcW w:w="111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0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4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3"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10"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7" w:type="dxa"/>
            <w:tcBorders>
              <w:top w:val="nil"/>
              <w:left w:val="single" w:color="auto" w:sz="8" w:space="0"/>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机房</w:t>
            </w:r>
          </w:p>
        </w:tc>
        <w:tc>
          <w:tcPr>
            <w:tcW w:w="1114"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00"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46"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3"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10" w:type="dxa"/>
            <w:tcBorders>
              <w:top w:val="nil"/>
              <w:left w:val="nil"/>
              <w:bottom w:val="single" w:color="auto" w:sz="8"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8"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7"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卫生间大清</w:t>
            </w:r>
          </w:p>
        </w:tc>
        <w:tc>
          <w:tcPr>
            <w:tcW w:w="111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00"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4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3"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1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425" w:hRule="atLeast"/>
        </w:trPr>
        <w:tc>
          <w:tcPr>
            <w:tcW w:w="2637"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客梯厅墙壁及天花</w:t>
            </w:r>
          </w:p>
        </w:tc>
        <w:tc>
          <w:tcPr>
            <w:tcW w:w="1114" w:type="dxa"/>
            <w:tcBorders>
              <w:top w:val="nil"/>
              <w:left w:val="nil"/>
              <w:bottom w:val="nil"/>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00" w:type="dxa"/>
            <w:tcBorders>
              <w:top w:val="nil"/>
              <w:left w:val="single" w:color="auto" w:sz="4" w:space="0"/>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4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3"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10"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72" w:hRule="atLeast"/>
        </w:trPr>
        <w:tc>
          <w:tcPr>
            <w:tcW w:w="2637" w:type="dxa"/>
            <w:tcBorders>
              <w:top w:val="nil"/>
              <w:left w:val="single" w:color="auto" w:sz="8" w:space="0"/>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公区墙面</w:t>
            </w:r>
          </w:p>
        </w:tc>
        <w:tc>
          <w:tcPr>
            <w:tcW w:w="11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0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46"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3" w:type="dxa"/>
            <w:tcBorders>
              <w:top w:val="nil"/>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10"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389" w:hRule="atLeast"/>
        </w:trPr>
        <w:tc>
          <w:tcPr>
            <w:tcW w:w="2637"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茶水间热水器底部及托盘</w:t>
            </w:r>
          </w:p>
        </w:tc>
        <w:tc>
          <w:tcPr>
            <w:tcW w:w="111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00"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46"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3"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nil"/>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10" w:type="dxa"/>
            <w:tcBorders>
              <w:top w:val="nil"/>
              <w:left w:val="single" w:color="auto" w:sz="4" w:space="0"/>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413" w:hRule="atLeast"/>
        </w:trPr>
        <w:tc>
          <w:tcPr>
            <w:tcW w:w="2637" w:type="dxa"/>
            <w:tcBorders>
              <w:top w:val="nil"/>
              <w:left w:val="single" w:color="auto" w:sz="8" w:space="0"/>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诊室内、外区玻璃</w:t>
            </w:r>
          </w:p>
        </w:tc>
        <w:tc>
          <w:tcPr>
            <w:tcW w:w="1114"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00" w:type="dxa"/>
            <w:tcBorders>
              <w:top w:val="nil"/>
              <w:left w:val="nil"/>
              <w:bottom w:val="nil"/>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46"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3"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10" w:type="dxa"/>
            <w:tcBorders>
              <w:top w:val="nil"/>
              <w:left w:val="nil"/>
              <w:bottom w:val="nil"/>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干净明亮</w:t>
            </w:r>
          </w:p>
        </w:tc>
      </w:tr>
      <w:tr>
        <w:tblPrEx>
          <w:tblLayout w:type="fixed"/>
          <w:tblCellMar>
            <w:top w:w="0" w:type="dxa"/>
            <w:left w:w="108" w:type="dxa"/>
            <w:bottom w:w="0" w:type="dxa"/>
            <w:right w:w="108" w:type="dxa"/>
          </w:tblCellMar>
        </w:tblPrEx>
        <w:trPr>
          <w:trHeight w:val="375" w:hRule="atLeast"/>
        </w:trPr>
        <w:tc>
          <w:tcPr>
            <w:tcW w:w="2637"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楼道风口</w:t>
            </w:r>
          </w:p>
        </w:tc>
        <w:tc>
          <w:tcPr>
            <w:tcW w:w="111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00"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4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3"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10"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bl>
    <w:p>
      <w:pPr>
        <w:ind w:firstLine="60"/>
        <w:rPr>
          <w:rFonts w:hint="eastAsia" w:asciiTheme="minorEastAsia" w:hAnsiTheme="minorEastAsia" w:eastAsiaTheme="minorEastAsia" w:cstheme="minorEastAsia"/>
          <w:color w:val="auto"/>
          <w:sz w:val="21"/>
          <w:szCs w:val="21"/>
          <w:highlight w:val="none"/>
        </w:rPr>
      </w:pPr>
    </w:p>
    <w:p>
      <w:pPr>
        <w:tabs>
          <w:tab w:val="left" w:pos="426"/>
        </w:tabs>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车位清洁计划：</w:t>
      </w:r>
    </w:p>
    <w:tbl>
      <w:tblPr>
        <w:tblStyle w:val="9"/>
        <w:tblW w:w="10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1071"/>
        <w:gridCol w:w="956"/>
        <w:gridCol w:w="1078"/>
        <w:gridCol w:w="959"/>
        <w:gridCol w:w="899"/>
        <w:gridCol w:w="1050"/>
        <w:gridCol w:w="945"/>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107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95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1078"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95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89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105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945"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07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5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78"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59"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99"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45"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07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5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78"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59"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99"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45"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07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5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78"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59"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99"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45"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07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5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78"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59"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99"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45"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07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5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78"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59"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99"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45"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07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5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78"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59"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99"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5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45"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bl>
    <w:p>
      <w:pPr>
        <w:autoSpaceDE w:val="0"/>
        <w:autoSpaceDN w:val="0"/>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 w:val="21"/>
          <w:szCs w:val="21"/>
          <w:highlight w:val="none"/>
        </w:rPr>
      </w:pPr>
    </w:p>
    <w:p>
      <w:pPr>
        <w:autoSpaceDE w:val="0"/>
        <w:autoSpaceDN w:val="0"/>
        <w:adjustRightInd w:val="0"/>
        <w:snapToGrid w:val="0"/>
        <w:spacing w:line="360" w:lineRule="auto"/>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专项保洁：</w:t>
      </w:r>
    </w:p>
    <w:p>
      <w:pPr>
        <w:autoSpaceDE w:val="0"/>
        <w:autoSpaceDN w:val="0"/>
        <w:adjustRightInd w:val="0"/>
        <w:snapToGrid w:val="0"/>
        <w:spacing w:line="360" w:lineRule="auto"/>
        <w:jc w:val="left"/>
        <w:rPr>
          <w:rFonts w:hint="eastAsia" w:asciiTheme="minorEastAsia" w:hAnsiTheme="minorEastAsia" w:eastAsiaTheme="minorEastAsia" w:cstheme="minorEastAsia"/>
          <w:color w:val="auto"/>
          <w:kern w:val="0"/>
          <w:sz w:val="21"/>
          <w:szCs w:val="21"/>
          <w:highlight w:val="none"/>
        </w:rPr>
      </w:pPr>
    </w:p>
    <w:p>
      <w:pPr>
        <w:autoSpaceDE w:val="0"/>
        <w:autoSpaceDN w:val="0"/>
        <w:adjustRightInd w:val="0"/>
        <w:snapToGrid w:val="0"/>
        <w:spacing w:line="360" w:lineRule="auto"/>
        <w:jc w:val="left"/>
        <w:rPr>
          <w:rFonts w:hint="eastAsia" w:asciiTheme="minorEastAsia" w:hAnsiTheme="minorEastAsia" w:eastAsiaTheme="minorEastAsia" w:cstheme="minorEastAsia"/>
          <w:color w:val="auto"/>
          <w:kern w:val="0"/>
          <w:sz w:val="21"/>
          <w:szCs w:val="21"/>
          <w:highlight w:val="none"/>
        </w:rPr>
      </w:pPr>
    </w:p>
    <w:p>
      <w:pPr>
        <w:autoSpaceDE w:val="0"/>
        <w:autoSpaceDN w:val="0"/>
        <w:adjustRightInd w:val="0"/>
        <w:snapToGrid w:val="0"/>
        <w:spacing w:line="360" w:lineRule="auto"/>
        <w:jc w:val="left"/>
        <w:rPr>
          <w:rFonts w:hint="eastAsia" w:asciiTheme="minorEastAsia" w:hAnsiTheme="minorEastAsia" w:eastAsiaTheme="minorEastAsia" w:cstheme="minorEastAsia"/>
          <w:color w:val="auto"/>
          <w:kern w:val="0"/>
          <w:sz w:val="21"/>
          <w:szCs w:val="21"/>
          <w:highlight w:val="none"/>
        </w:rPr>
      </w:pPr>
    </w:p>
    <w:tbl>
      <w:tblPr>
        <w:tblStyle w:val="9"/>
        <w:tblpPr w:leftFromText="180" w:rightFromText="180" w:horzAnchor="margin" w:tblpXSpec="center" w:tblpY="408"/>
        <w:tblW w:w="13417" w:type="dxa"/>
        <w:tblInd w:w="0" w:type="dxa"/>
        <w:tblLayout w:type="fixed"/>
        <w:tblCellMar>
          <w:top w:w="0" w:type="dxa"/>
          <w:left w:w="108" w:type="dxa"/>
          <w:bottom w:w="0" w:type="dxa"/>
          <w:right w:w="108" w:type="dxa"/>
        </w:tblCellMar>
      </w:tblPr>
      <w:tblGrid>
        <w:gridCol w:w="3062"/>
        <w:gridCol w:w="1186"/>
        <w:gridCol w:w="1260"/>
        <w:gridCol w:w="1440"/>
        <w:gridCol w:w="1080"/>
        <w:gridCol w:w="1260"/>
        <w:gridCol w:w="1260"/>
        <w:gridCol w:w="1440"/>
        <w:gridCol w:w="1429"/>
      </w:tblGrid>
      <w:tr>
        <w:tblPrEx>
          <w:tblLayout w:type="fixed"/>
          <w:tblCellMar>
            <w:top w:w="0" w:type="dxa"/>
            <w:left w:w="108" w:type="dxa"/>
            <w:bottom w:w="0" w:type="dxa"/>
            <w:right w:w="108" w:type="dxa"/>
          </w:tblCellMar>
        </w:tblPrEx>
        <w:trPr>
          <w:trHeight w:val="285" w:hRule="atLeast"/>
        </w:trPr>
        <w:tc>
          <w:tcPr>
            <w:tcW w:w="30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1186"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429"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01" w:hRule="atLeast"/>
        </w:trPr>
        <w:tc>
          <w:tcPr>
            <w:tcW w:w="30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地面PVC清洁</w:t>
            </w:r>
          </w:p>
        </w:tc>
        <w:tc>
          <w:tcPr>
            <w:tcW w:w="1186"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30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石材日常清洁及维护</w:t>
            </w:r>
          </w:p>
        </w:tc>
        <w:tc>
          <w:tcPr>
            <w:tcW w:w="1186"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30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高空管道及天花板</w:t>
            </w:r>
          </w:p>
        </w:tc>
        <w:tc>
          <w:tcPr>
            <w:tcW w:w="1186"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30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室内玻璃幕墙</w:t>
            </w:r>
          </w:p>
        </w:tc>
        <w:tc>
          <w:tcPr>
            <w:tcW w:w="1186"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30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雨搭</w:t>
            </w:r>
          </w:p>
        </w:tc>
        <w:tc>
          <w:tcPr>
            <w:tcW w:w="1186"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30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外立墙面及2米以下玻璃</w:t>
            </w:r>
          </w:p>
        </w:tc>
        <w:tc>
          <w:tcPr>
            <w:tcW w:w="1186"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429"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30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车库直行地面与环形坡道</w:t>
            </w:r>
          </w:p>
        </w:tc>
        <w:tc>
          <w:tcPr>
            <w:tcW w:w="1186"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30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电梯、扶梯清洁</w:t>
            </w:r>
          </w:p>
        </w:tc>
        <w:tc>
          <w:tcPr>
            <w:tcW w:w="1186"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26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429"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bl>
    <w:p>
      <w:pPr>
        <w:autoSpaceDE w:val="0"/>
        <w:autoSpaceDN w:val="0"/>
        <w:adjustRightInd w:val="0"/>
        <w:snapToGrid w:val="0"/>
        <w:spacing w:line="360" w:lineRule="auto"/>
        <w:jc w:val="left"/>
        <w:rPr>
          <w:rFonts w:hint="eastAsia" w:asciiTheme="minorEastAsia" w:hAnsiTheme="minorEastAsia" w:eastAsiaTheme="minorEastAsia" w:cstheme="minorEastAsia"/>
          <w:color w:val="auto"/>
          <w:kern w:val="0"/>
          <w:sz w:val="21"/>
          <w:szCs w:val="21"/>
          <w:highlight w:val="none"/>
        </w:rPr>
      </w:pPr>
    </w:p>
    <w:p>
      <w:pPr>
        <w:autoSpaceDE w:val="0"/>
        <w:autoSpaceDN w:val="0"/>
        <w:adjustRightInd w:val="0"/>
        <w:snapToGrid w:val="0"/>
        <w:spacing w:line="360" w:lineRule="auto"/>
        <w:jc w:val="left"/>
        <w:rPr>
          <w:rFonts w:hint="eastAsia" w:asciiTheme="minorEastAsia" w:hAnsiTheme="minorEastAsia" w:eastAsiaTheme="minorEastAsia" w:cstheme="minorEastAsia"/>
          <w:color w:val="auto"/>
          <w:kern w:val="0"/>
          <w:sz w:val="21"/>
          <w:szCs w:val="21"/>
          <w:highlight w:val="none"/>
        </w:rPr>
      </w:pPr>
    </w:p>
    <w:p>
      <w:pPr>
        <w:autoSpaceDE w:val="0"/>
        <w:autoSpaceDN w:val="0"/>
        <w:adjustRightInd w:val="0"/>
        <w:snapToGrid w:val="0"/>
        <w:spacing w:line="360" w:lineRule="auto"/>
        <w:jc w:val="left"/>
        <w:rPr>
          <w:rFonts w:hint="eastAsia" w:asciiTheme="minorEastAsia" w:hAnsiTheme="minorEastAsia" w:eastAsiaTheme="minorEastAsia" w:cstheme="minorEastAsia"/>
          <w:color w:val="auto"/>
          <w:kern w:val="0"/>
          <w:sz w:val="21"/>
          <w:szCs w:val="21"/>
          <w:highlight w:val="none"/>
        </w:rPr>
        <w:sectPr>
          <w:pgSz w:w="16838" w:h="11906" w:orient="landscape"/>
          <w:pgMar w:top="1800" w:right="1440" w:bottom="1800" w:left="1440" w:header="851" w:footer="992" w:gutter="0"/>
          <w:cols w:space="720" w:num="1"/>
          <w:docGrid w:type="lines" w:linePitch="312" w:charSpace="0"/>
        </w:sectPr>
      </w:pPr>
    </w:p>
    <w:p>
      <w:pPr>
        <w:autoSpaceDE w:val="0"/>
        <w:autoSpaceDN w:val="0"/>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A区重点机房清洁计划：</w:t>
      </w:r>
    </w:p>
    <w:tbl>
      <w:tblPr>
        <w:tblStyle w:val="9"/>
        <w:tblpPr w:leftFromText="180" w:rightFromText="180" w:vertAnchor="page" w:horzAnchor="margin" w:tblpXSpec="center" w:tblpY="2079"/>
        <w:tblW w:w="8512" w:type="dxa"/>
        <w:tblInd w:w="0" w:type="dxa"/>
        <w:tblLayout w:type="fixed"/>
        <w:tblCellMar>
          <w:top w:w="15" w:type="dxa"/>
          <w:left w:w="108" w:type="dxa"/>
          <w:bottom w:w="15" w:type="dxa"/>
          <w:right w:w="108" w:type="dxa"/>
        </w:tblCellMar>
      </w:tblPr>
      <w:tblGrid>
        <w:gridCol w:w="725"/>
        <w:gridCol w:w="2563"/>
        <w:gridCol w:w="1713"/>
        <w:gridCol w:w="1262"/>
        <w:gridCol w:w="1136"/>
        <w:gridCol w:w="1113"/>
      </w:tblGrid>
      <w:tr>
        <w:tblPrEx>
          <w:tblLayout w:type="fixed"/>
          <w:tblCellMar>
            <w:top w:w="15" w:type="dxa"/>
            <w:left w:w="108" w:type="dxa"/>
            <w:bottom w:w="15" w:type="dxa"/>
            <w:right w:w="108" w:type="dxa"/>
          </w:tblCellMar>
        </w:tblPrEx>
        <w:trPr>
          <w:trHeight w:val="32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序号</w:t>
            </w:r>
          </w:p>
        </w:tc>
        <w:tc>
          <w:tcPr>
            <w:tcW w:w="2563"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项  目</w:t>
            </w:r>
          </w:p>
        </w:tc>
        <w:tc>
          <w:tcPr>
            <w:tcW w:w="1713"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位置</w:t>
            </w:r>
          </w:p>
        </w:tc>
        <w:tc>
          <w:tcPr>
            <w:tcW w:w="1262"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面积㎡</w:t>
            </w:r>
          </w:p>
        </w:tc>
        <w:tc>
          <w:tcPr>
            <w:tcW w:w="1136"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清洁周期</w:t>
            </w:r>
          </w:p>
        </w:tc>
        <w:tc>
          <w:tcPr>
            <w:tcW w:w="1113"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备注</w:t>
            </w: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真空吸引机房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A1地下一层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地面干净整洁无杂物，地沟内无污物</w:t>
            </w: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高压氧机房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A10地下二层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left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热交换站</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A10地下一层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left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冷站</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A9地下一层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bl>
    <w:p>
      <w:pPr>
        <w:autoSpaceDE w:val="0"/>
        <w:autoSpaceDN w:val="0"/>
        <w:adjustRightInd w:val="0"/>
        <w:snapToGrid w:val="0"/>
        <w:jc w:val="left"/>
        <w:rPr>
          <w:rFonts w:hint="eastAsia" w:asciiTheme="minorEastAsia" w:hAnsiTheme="minorEastAsia" w:eastAsiaTheme="minorEastAsia" w:cstheme="minorEastAsia"/>
          <w:b/>
          <w:color w:val="auto"/>
          <w:kern w:val="0"/>
          <w:sz w:val="21"/>
          <w:szCs w:val="21"/>
          <w:highlight w:val="none"/>
        </w:rPr>
        <w:sectPr>
          <w:pgSz w:w="11906" w:h="16838"/>
          <w:pgMar w:top="1440" w:right="1800" w:bottom="1440" w:left="1800" w:header="851" w:footer="992" w:gutter="0"/>
          <w:cols w:space="720" w:num="1"/>
          <w:docGrid w:type="lines" w:linePitch="312" w:charSpace="0"/>
        </w:sectPr>
      </w:pP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kern w:val="0"/>
          <w:sz w:val="21"/>
          <w:szCs w:val="21"/>
          <w:highlight w:val="none"/>
        </w:rPr>
        <w:t>（四）地面清洁养护要求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1、对医院楼区内各种材质地面（石材、瓷砖、PVC等、石材地面、PVC地面）进行相应的清洁、维护、保养，地面打蜡每季度一次；石材地面翻新、结晶每年各一次。</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2、对于地面护理和服务所使用的各类清洁剂、蜡、光亮剂等质量均应符合国家有关卫生及环保标准，不得使用任何有害人体健康的清洗用品及原料。上述物料要求具为庄臣品牌或具有同等质量。</w:t>
      </w:r>
    </w:p>
    <w:p>
      <w:pPr>
        <w:widowControl/>
        <w:ind w:left="540" w:leftChars="257"/>
        <w:jc w:val="left"/>
        <w:rPr>
          <w:rStyle w:val="19"/>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color w:val="auto"/>
          <w:sz w:val="21"/>
          <w:szCs w:val="21"/>
          <w:highlight w:val="none"/>
        </w:rPr>
        <w:t>石材翻新及研磨技术要求：</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b/>
          <w:bCs/>
          <w:color w:val="auto"/>
          <w:sz w:val="21"/>
          <w:szCs w:val="21"/>
          <w:highlight w:val="none"/>
        </w:rPr>
        <w:t>室内地面石材</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①</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石材表面亮度以未研磨石材亮度为准。</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②</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表面平整无划痕。</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③</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石材相接部位无高低差，高低差为零。</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④</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施工后的石材表面防滑效果达到国家相关要求。</w:t>
      </w:r>
    </w:p>
    <w:p>
      <w:pPr>
        <w:pStyle w:val="20"/>
        <w:spacing w:before="0" w:beforeAutospacing="0" w:after="0" w:afterAutospacing="0"/>
        <w:ind w:left="540" w:leftChars="257"/>
        <w:jc w:val="both"/>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b/>
          <w:bCs/>
          <w:color w:val="auto"/>
          <w:sz w:val="21"/>
          <w:szCs w:val="21"/>
          <w:highlight w:val="none"/>
        </w:rPr>
        <w:t>室外石材清洗</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⑤</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石材表面油斑清除率80%。</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⑥</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石材表面车轮印迹清除率100%。</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⑦</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其它污染物清除干净。</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⑧</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石材表面锈斑清除干净。</w:t>
      </w:r>
    </w:p>
    <w:p>
      <w:pPr>
        <w:ind w:left="540" w:leftChars="257"/>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技术要求：</w:t>
      </w:r>
    </w:p>
    <w:p>
      <w:pPr>
        <w:ind w:left="540" w:leftChars="2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研磨要求</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1、大理石地面研磨材料采用符合国家质量标准的金刚石磨片，石材研磨剂—KP92、结晶粉、云石胶，石材保护剂K2—K3。</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2、工具采用符合国家强制标准的电动工具：大理石研磨机、切割机、调速机。</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3、大理石地面研磨采用第一遍50—100号金刚石磨片研磨，第二遍采用200号—600号金刚石磨片研磨，第三遍采用800—3000号金刚石磨片研磨。</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4、对大理石地面平整度偏差限值的要求为</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①表面平整度1㎜      ②缝格平直2㎜</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③接缝高低差0.5㎜    ④板块间隙宽度1㎜</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5、进入施工现场后，用保护膜对需要打磨的石材周边物体进行遮挡保护，以防施工过程中对周边物体及装饰成品收到污染和损坏。</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6、大理石地面的拼缝要清除彻底，以保证石材的整体效果，不让污物从缝隙中渗入石材中。</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7、根据石材颜色，采用石材颜色相近的云石胶调色填补缝隙及裂纹，使其整体效果一体化。</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8、精磨处理工序，待云石胶凝固后，适用翻新机配以最粗号磨头进行打磨，历经十遍以上不同磨号翻新、抛光处理，以保证石材的光泽持久。</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9、石材防护工序：经抛光处理后对版面做一层防水保护层，以确保适用时污物不再渗入。</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10、工程施工工序应严格按照从粗到细，补缝牢固，颜色一致，剪口研磨，平整与大理石面水平。</w:t>
      </w:r>
    </w:p>
    <w:p>
      <w:pPr>
        <w:ind w:firstLine="413"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结晶要求</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1、大理石地面结晶面采用符合国家质量检验标准合格产品的结晶粉K2—K3。</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2、大理石地面结晶面应清澈，致密、坚硬形成保护层，起到为石材表面加光、加硬的作用，能达到防滑、防水、防油的功效</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3、结晶加硬工序：板面干燥后才可做水晶加硬处理，反复多遍才能达到石材水晶加硬的最佳效果，而且起到防滑工程。经过处理后的石材一般光度基本能达到80度以上。</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4、工程施工结晶工序，应使用专用石材养护剂，使其充分渗透到石材内部并形成保护层（阻水层），从而达到、防污、防腐要求，以提高石材抗风化能力</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5、石材结晶完成面表面洁净、平整、坚实，光亮光滑，透明色泽一致，洁晶面层无裂纹，凹凸不平等现象。</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6、石材完成面结晶处理均匀，尤其是靠在建筑物和装饰物的地面边缘必须处理到位。</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7、石材表面结晶处理所使用的材料符合设计要求，材料必须有产品合格证及检验报告。</w:t>
      </w:r>
    </w:p>
    <w:tbl>
      <w:tblPr>
        <w:tblStyle w:val="9"/>
        <w:tblW w:w="8865" w:type="dxa"/>
        <w:tblInd w:w="0" w:type="dxa"/>
        <w:tblLayout w:type="fixed"/>
        <w:tblCellMar>
          <w:top w:w="15" w:type="dxa"/>
          <w:left w:w="15" w:type="dxa"/>
          <w:bottom w:w="15" w:type="dxa"/>
          <w:right w:w="15" w:type="dxa"/>
        </w:tblCellMar>
      </w:tblPr>
      <w:tblGrid>
        <w:gridCol w:w="4365"/>
        <w:gridCol w:w="1608"/>
        <w:gridCol w:w="1608"/>
        <w:gridCol w:w="1284"/>
      </w:tblGrid>
      <w:tr>
        <w:tblPrEx>
          <w:tblLayout w:type="fixed"/>
          <w:tblCellMar>
            <w:top w:w="15" w:type="dxa"/>
            <w:left w:w="15" w:type="dxa"/>
            <w:bottom w:w="15" w:type="dxa"/>
            <w:right w:w="15" w:type="dxa"/>
          </w:tblCellMar>
        </w:tblPrEx>
        <w:tc>
          <w:tcPr>
            <w:tcW w:w="436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4500" w:type="dxa"/>
            <w:gridSpan w:val="3"/>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翻新完成后标准值</w:t>
            </w:r>
          </w:p>
        </w:tc>
      </w:tr>
      <w:tr>
        <w:tblPrEx>
          <w:tblLayout w:type="fixed"/>
          <w:tblCellMar>
            <w:top w:w="15" w:type="dxa"/>
            <w:left w:w="15" w:type="dxa"/>
            <w:bottom w:w="15" w:type="dxa"/>
            <w:right w:w="15" w:type="dxa"/>
          </w:tblCellMar>
        </w:tblPrEx>
        <w:tc>
          <w:tcPr>
            <w:tcW w:w="4365" w:type="dxa"/>
            <w:vMerge w:val="restart"/>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1、石材表面光泽度</w:t>
            </w: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石材种类</w:t>
            </w: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石材硬度</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光泽度</w:t>
            </w:r>
          </w:p>
        </w:tc>
      </w:tr>
      <w:tr>
        <w:tblPrEx>
          <w:tblLayout w:type="fixed"/>
          <w:tblCellMar>
            <w:top w:w="15" w:type="dxa"/>
            <w:left w:w="15" w:type="dxa"/>
            <w:bottom w:w="15" w:type="dxa"/>
            <w:right w:w="15" w:type="dxa"/>
          </w:tblCellMar>
        </w:tblPrEx>
        <w:tc>
          <w:tcPr>
            <w:tcW w:w="436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大理石</w:t>
            </w: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软质</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≥80°</w:t>
            </w:r>
          </w:p>
        </w:tc>
      </w:tr>
      <w:tr>
        <w:tblPrEx>
          <w:tblLayout w:type="fixed"/>
          <w:tblCellMar>
            <w:top w:w="15" w:type="dxa"/>
            <w:left w:w="15" w:type="dxa"/>
            <w:bottom w:w="15" w:type="dxa"/>
            <w:right w:w="15" w:type="dxa"/>
          </w:tblCellMar>
        </w:tblPrEx>
        <w:tc>
          <w:tcPr>
            <w:tcW w:w="436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硬质</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≥95°</w:t>
            </w:r>
          </w:p>
        </w:tc>
      </w:tr>
      <w:tr>
        <w:tblPrEx>
          <w:tblLayout w:type="fixed"/>
          <w:tblCellMar>
            <w:top w:w="15" w:type="dxa"/>
            <w:left w:w="15" w:type="dxa"/>
            <w:bottom w:w="15" w:type="dxa"/>
            <w:right w:w="15" w:type="dxa"/>
          </w:tblCellMar>
        </w:tblPrEx>
        <w:tc>
          <w:tcPr>
            <w:tcW w:w="436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花岗石</w:t>
            </w: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软质</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≥75°</w:t>
            </w:r>
          </w:p>
        </w:tc>
      </w:tr>
      <w:tr>
        <w:tblPrEx>
          <w:tblLayout w:type="fixed"/>
          <w:tblCellMar>
            <w:top w:w="15" w:type="dxa"/>
            <w:left w:w="15" w:type="dxa"/>
            <w:bottom w:w="15" w:type="dxa"/>
            <w:right w:w="15" w:type="dxa"/>
          </w:tblCellMar>
        </w:tblPrEx>
        <w:tc>
          <w:tcPr>
            <w:tcW w:w="436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硬质</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≥80°</w:t>
            </w:r>
          </w:p>
        </w:tc>
      </w:tr>
      <w:tr>
        <w:tblPrEx>
          <w:tblLayout w:type="fixed"/>
          <w:tblCellMar>
            <w:top w:w="15" w:type="dxa"/>
            <w:left w:w="15" w:type="dxa"/>
            <w:bottom w:w="15" w:type="dxa"/>
            <w:right w:w="15" w:type="dxa"/>
          </w:tblCellMar>
        </w:tblPrEx>
        <w:trPr>
          <w:trHeight w:val="60" w:hRule="atLeast"/>
        </w:trPr>
        <w:tc>
          <w:tcPr>
            <w:tcW w:w="436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致密质</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≥80°</w:t>
            </w:r>
          </w:p>
        </w:tc>
      </w:tr>
      <w:tr>
        <w:tblPrEx>
          <w:tblLayout w:type="fixed"/>
          <w:tblCellMar>
            <w:top w:w="15" w:type="dxa"/>
            <w:left w:w="15" w:type="dxa"/>
            <w:bottom w:w="15" w:type="dxa"/>
            <w:right w:w="15" w:type="dxa"/>
          </w:tblCellMar>
        </w:tblPrEx>
        <w:tc>
          <w:tcPr>
            <w:tcW w:w="4365" w:type="dxa"/>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2、石材表面平整度</w:t>
            </w:r>
          </w:p>
        </w:tc>
        <w:tc>
          <w:tcPr>
            <w:tcW w:w="4500" w:type="dxa"/>
            <w:gridSpan w:val="3"/>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目视佳</w:t>
            </w:r>
          </w:p>
        </w:tc>
      </w:tr>
      <w:tr>
        <w:tblPrEx>
          <w:tblLayout w:type="fixed"/>
          <w:tblCellMar>
            <w:top w:w="15" w:type="dxa"/>
            <w:left w:w="15" w:type="dxa"/>
            <w:bottom w:w="15" w:type="dxa"/>
            <w:right w:w="15" w:type="dxa"/>
          </w:tblCellMar>
        </w:tblPrEx>
        <w:tc>
          <w:tcPr>
            <w:tcW w:w="4365" w:type="dxa"/>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3、石材表面研磨刮线</w:t>
            </w:r>
          </w:p>
        </w:tc>
        <w:tc>
          <w:tcPr>
            <w:tcW w:w="4500" w:type="dxa"/>
            <w:gridSpan w:val="3"/>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无刮线</w:t>
            </w:r>
          </w:p>
        </w:tc>
      </w:tr>
      <w:tr>
        <w:tblPrEx>
          <w:tblLayout w:type="fixed"/>
          <w:tblCellMar>
            <w:top w:w="15" w:type="dxa"/>
            <w:left w:w="15" w:type="dxa"/>
            <w:bottom w:w="15" w:type="dxa"/>
            <w:right w:w="15" w:type="dxa"/>
          </w:tblCellMar>
        </w:tblPrEx>
        <w:trPr>
          <w:trHeight w:val="405" w:hRule="atLeast"/>
        </w:trPr>
        <w:tc>
          <w:tcPr>
            <w:tcW w:w="4365" w:type="dxa"/>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4、研磨翻新后石材色泽变化</w:t>
            </w:r>
          </w:p>
        </w:tc>
        <w:tc>
          <w:tcPr>
            <w:tcW w:w="4500" w:type="dxa"/>
            <w:gridSpan w:val="3"/>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色泽亮丽、无烧伤变色</w:t>
            </w:r>
          </w:p>
        </w:tc>
      </w:tr>
    </w:tbl>
    <w:p>
      <w:pPr>
        <w:rPr>
          <w:rFonts w:hint="eastAsia" w:asciiTheme="minorEastAsia" w:hAnsiTheme="minorEastAsia" w:eastAsiaTheme="minorEastAsia" w:cstheme="minorEastAsia"/>
          <w:b/>
          <w:bCs/>
          <w:color w:val="auto"/>
          <w:sz w:val="21"/>
          <w:szCs w:val="21"/>
          <w:highlight w:val="none"/>
        </w:rPr>
      </w:pPr>
    </w:p>
    <w:p>
      <w:pP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PVC打蜡要求</w:t>
      </w:r>
      <w:r>
        <w:rPr>
          <w:rFonts w:hint="eastAsia" w:asciiTheme="minorEastAsia" w:hAnsiTheme="minorEastAsia" w:eastAsiaTheme="minorEastAsia" w:cstheme="minorEastAsia"/>
          <w:bCs/>
          <w:color w:val="auto"/>
          <w:sz w:val="21"/>
          <w:szCs w:val="21"/>
          <w:highlight w:val="none"/>
        </w:rPr>
        <w:t xml:space="preserve">  </w:t>
      </w:r>
    </w:p>
    <w:p>
      <w:pPr>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频次要求：为了保持塑胶地板的光洁，首次打蜡至少1底3面共铺4层蜡，保养期可根据情况打蜡2-3层面蜡。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首先用推尘或吸尘器吸尘，清除表面垃圾。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用起蜡水按1∶10稀释后均匀涂在地面上，等5—10分钟，用擦地机加黑色强力起蜡垫去蜡，及时用吸水机将污水吸干。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用清水过洗、吸干，视情况可反复清洗，直到地面不留任何残余蜡液和清洁剂。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pvc地板上3-5层高强面蜡二合一硬光蜡。    </w:t>
      </w:r>
    </w:p>
    <w:p>
      <w:pP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特殊污垢的处理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油污：局部油污，将强力除油剂原液直接倒在毛巾上擦拭;大面积油污，将除油剂按1：10稀释后，用擦地机加红色洗地垫低速清洁。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黑胶印：用喷洁保养蜡配合高速抛光机加白色抛光垫抛光处理。对于时间比较长的黑胶印，可以将强力胶印去除剂直接倒在毛巾上擦拭处理。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胶或口香糖：用专业的强力除胶剂直接倒在毛巾上檫拭去除。万能清洁剂:强力除油剂喷洁保养蜡强力胶印去除剂强力除胶剂。</w:t>
      </w:r>
    </w:p>
    <w:p>
      <w:pPr>
        <w:pStyle w:val="21"/>
        <w:ind w:firstLine="413" w:firstLineChars="19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石材日常清洁养护及翻新研磨计划表</w:t>
      </w:r>
    </w:p>
    <w:tbl>
      <w:tblPr>
        <w:tblStyle w:val="9"/>
        <w:tblW w:w="8643" w:type="dxa"/>
        <w:jc w:val="center"/>
        <w:tblInd w:w="0" w:type="dxa"/>
        <w:tblLayout w:type="fixed"/>
        <w:tblCellMar>
          <w:top w:w="0" w:type="dxa"/>
          <w:left w:w="108" w:type="dxa"/>
          <w:bottom w:w="0" w:type="dxa"/>
          <w:right w:w="108" w:type="dxa"/>
        </w:tblCellMar>
      </w:tblPr>
      <w:tblGrid>
        <w:gridCol w:w="1683"/>
        <w:gridCol w:w="699"/>
        <w:gridCol w:w="843"/>
        <w:gridCol w:w="886"/>
        <w:gridCol w:w="720"/>
        <w:gridCol w:w="720"/>
        <w:gridCol w:w="696"/>
        <w:gridCol w:w="1011"/>
        <w:gridCol w:w="1385"/>
      </w:tblGrid>
      <w:tr>
        <w:tblPrEx>
          <w:tblLayout w:type="fixed"/>
          <w:tblCellMar>
            <w:top w:w="0" w:type="dxa"/>
            <w:left w:w="108" w:type="dxa"/>
            <w:bottom w:w="0" w:type="dxa"/>
            <w:right w:w="108" w:type="dxa"/>
          </w:tblCellMar>
        </w:tblPrEx>
        <w:trPr>
          <w:trHeight w:val="288" w:hRule="atLeast"/>
          <w:jc w:val="center"/>
        </w:trPr>
        <w:tc>
          <w:tcPr>
            <w:tcW w:w="1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84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88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69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101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38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88" w:hRule="atLeast"/>
          <w:jc w:val="center"/>
        </w:trPr>
        <w:tc>
          <w:tcPr>
            <w:tcW w:w="1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大堂地面石材</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4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8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69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85" w:type="dxa"/>
            <w:vMerge w:val="restart"/>
            <w:tcBorders>
              <w:top w:val="nil"/>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干净整洁，具体详见技术要求</w:t>
            </w:r>
          </w:p>
        </w:tc>
      </w:tr>
      <w:tr>
        <w:tblPrEx>
          <w:tblLayout w:type="fixed"/>
          <w:tblCellMar>
            <w:top w:w="0" w:type="dxa"/>
            <w:left w:w="108" w:type="dxa"/>
            <w:bottom w:w="0" w:type="dxa"/>
            <w:right w:w="108" w:type="dxa"/>
          </w:tblCellMar>
        </w:tblPrEx>
        <w:trPr>
          <w:trHeight w:val="288" w:hRule="atLeast"/>
          <w:jc w:val="center"/>
        </w:trPr>
        <w:tc>
          <w:tcPr>
            <w:tcW w:w="1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大堂墙面石材</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4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8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69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85" w:type="dxa"/>
            <w:vMerge w:val="continue"/>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rPr>
            </w:pPr>
          </w:p>
        </w:tc>
      </w:tr>
      <w:tr>
        <w:tblPrEx>
          <w:tblLayout w:type="fixed"/>
          <w:tblCellMar>
            <w:top w:w="0" w:type="dxa"/>
            <w:left w:w="108" w:type="dxa"/>
            <w:bottom w:w="0" w:type="dxa"/>
            <w:right w:w="108" w:type="dxa"/>
          </w:tblCellMar>
        </w:tblPrEx>
        <w:trPr>
          <w:trHeight w:val="288" w:hRule="atLeast"/>
          <w:jc w:val="center"/>
        </w:trPr>
        <w:tc>
          <w:tcPr>
            <w:tcW w:w="1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公区通道地面</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4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8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69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85" w:type="dxa"/>
            <w:vMerge w:val="continue"/>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rPr>
            </w:pPr>
          </w:p>
        </w:tc>
      </w:tr>
      <w:tr>
        <w:tblPrEx>
          <w:tblLayout w:type="fixed"/>
          <w:tblCellMar>
            <w:top w:w="0" w:type="dxa"/>
            <w:left w:w="108" w:type="dxa"/>
            <w:bottom w:w="0" w:type="dxa"/>
            <w:right w:w="108" w:type="dxa"/>
          </w:tblCellMar>
        </w:tblPrEx>
        <w:trPr>
          <w:trHeight w:val="288" w:hRule="atLeast"/>
          <w:jc w:val="center"/>
        </w:trPr>
        <w:tc>
          <w:tcPr>
            <w:tcW w:w="1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公区通道墙面</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4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8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69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8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p>
        </w:tc>
      </w:tr>
    </w:tbl>
    <w:p>
      <w:pPr>
        <w:pStyle w:val="21"/>
        <w:ind w:left="-420" w:leftChars="-200" w:firstLine="413" w:firstLineChars="19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PVC地面日常清洁养护及翻新研磨计划表</w:t>
      </w:r>
    </w:p>
    <w:tbl>
      <w:tblPr>
        <w:tblStyle w:val="9"/>
        <w:tblW w:w="9298" w:type="dxa"/>
        <w:jc w:val="center"/>
        <w:tblInd w:w="0" w:type="dxa"/>
        <w:tblLayout w:type="fixed"/>
        <w:tblCellMar>
          <w:top w:w="0" w:type="dxa"/>
          <w:left w:w="108" w:type="dxa"/>
          <w:bottom w:w="0" w:type="dxa"/>
          <w:right w:w="108" w:type="dxa"/>
        </w:tblCellMar>
      </w:tblPr>
      <w:tblGrid>
        <w:gridCol w:w="1956"/>
        <w:gridCol w:w="771"/>
        <w:gridCol w:w="895"/>
        <w:gridCol w:w="867"/>
        <w:gridCol w:w="798"/>
        <w:gridCol w:w="900"/>
        <w:gridCol w:w="862"/>
        <w:gridCol w:w="876"/>
        <w:gridCol w:w="1373"/>
      </w:tblGrid>
      <w:tr>
        <w:tblPrEx>
          <w:tblLayout w:type="fixed"/>
          <w:tblCellMar>
            <w:top w:w="0" w:type="dxa"/>
            <w:left w:w="108" w:type="dxa"/>
            <w:bottom w:w="0" w:type="dxa"/>
            <w:right w:w="108" w:type="dxa"/>
          </w:tblCellMar>
        </w:tblPrEx>
        <w:trPr>
          <w:trHeight w:val="288" w:hRule="atLeast"/>
          <w:jc w:val="center"/>
        </w:trPr>
        <w:tc>
          <w:tcPr>
            <w:tcW w:w="19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77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89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867"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798"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90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862"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87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37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88" w:hRule="atLeast"/>
          <w:jc w:val="center"/>
        </w:trPr>
        <w:tc>
          <w:tcPr>
            <w:tcW w:w="19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诊室内PVC地面</w:t>
            </w:r>
          </w:p>
        </w:tc>
        <w:tc>
          <w:tcPr>
            <w:tcW w:w="77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9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7"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98"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0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2"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7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73" w:type="dxa"/>
            <w:vMerge w:val="restart"/>
            <w:tcBorders>
              <w:top w:val="nil"/>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干净整洁，具体详见技术要求</w:t>
            </w:r>
          </w:p>
        </w:tc>
      </w:tr>
      <w:tr>
        <w:tblPrEx>
          <w:tblLayout w:type="fixed"/>
          <w:tblCellMar>
            <w:top w:w="0" w:type="dxa"/>
            <w:left w:w="108" w:type="dxa"/>
            <w:bottom w:w="0" w:type="dxa"/>
            <w:right w:w="108" w:type="dxa"/>
          </w:tblCellMar>
        </w:tblPrEx>
        <w:trPr>
          <w:trHeight w:val="288" w:hRule="atLeast"/>
          <w:jc w:val="center"/>
        </w:trPr>
        <w:tc>
          <w:tcPr>
            <w:tcW w:w="19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通道内PVC地面</w:t>
            </w:r>
          </w:p>
        </w:tc>
        <w:tc>
          <w:tcPr>
            <w:tcW w:w="77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9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7"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98"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0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2"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7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73" w:type="dxa"/>
            <w:vMerge w:val="continue"/>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rPr>
            </w:pPr>
          </w:p>
        </w:tc>
      </w:tr>
      <w:tr>
        <w:tblPrEx>
          <w:tblLayout w:type="fixed"/>
          <w:tblCellMar>
            <w:top w:w="0" w:type="dxa"/>
            <w:left w:w="108" w:type="dxa"/>
            <w:bottom w:w="0" w:type="dxa"/>
            <w:right w:w="108" w:type="dxa"/>
          </w:tblCellMar>
        </w:tblPrEx>
        <w:trPr>
          <w:trHeight w:val="288" w:hRule="atLeast"/>
          <w:jc w:val="center"/>
        </w:trPr>
        <w:tc>
          <w:tcPr>
            <w:tcW w:w="19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公区PVC地面</w:t>
            </w:r>
          </w:p>
        </w:tc>
        <w:tc>
          <w:tcPr>
            <w:tcW w:w="77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9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7"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98"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0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2"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7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73" w:type="dxa"/>
            <w:vMerge w:val="continue"/>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rPr>
            </w:pPr>
          </w:p>
        </w:tc>
      </w:tr>
    </w:tbl>
    <w:p>
      <w:pPr>
        <w:autoSpaceDE w:val="0"/>
        <w:autoSpaceDN w:val="0"/>
        <w:adjustRightInd w:val="0"/>
        <w:snapToGrid w:val="0"/>
        <w:spacing w:line="360" w:lineRule="auto"/>
        <w:jc w:val="left"/>
        <w:rPr>
          <w:rFonts w:hint="eastAsia" w:asciiTheme="minorEastAsia" w:hAnsiTheme="minorEastAsia" w:eastAsiaTheme="minorEastAsia" w:cstheme="minorEastAsia"/>
          <w:b/>
          <w:color w:val="auto"/>
          <w:kern w:val="0"/>
          <w:sz w:val="21"/>
          <w:szCs w:val="21"/>
          <w:highlight w:val="none"/>
        </w:rPr>
      </w:pPr>
    </w:p>
    <w:p>
      <w:pPr>
        <w:autoSpaceDE w:val="0"/>
        <w:autoSpaceDN w:val="0"/>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（五）其他要求</w:t>
      </w:r>
    </w:p>
    <w:p>
      <w:pPr>
        <w:autoSpaceDE w:val="0"/>
        <w:autoSpaceDN w:val="0"/>
        <w:adjustRightInd w:val="0"/>
        <w:snapToGrid w:val="0"/>
        <w:ind w:firstLine="413" w:firstLineChars="196"/>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1、医疗废物运送要求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(1)医疗废物的清运必须指定专人，做好专业防护，佩戴专用手套、帽子、隔离衣，按照甲方规定的时间、路线及操作规程。</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(2)运送人员在运送医疗废物前，应检查包装袋或容器的标识，标签及封口是否符合要求，不得将不符合要求的医疗废物运送至暂时储存地点。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(3)运送医疗废物应当使用防渗漏、防遗撒、无锐利边角、易于装卸和清洁的专用运送工具。</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(4)每日运送工作结束后，应当对运送工具进行清洁和消毒。</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(5)隔离的传染病人产生的感染性废物应当使用双层包装物，并及时封存。</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(6)包装袋内的废物不应超过袋子的3/4，并做到包扎完好，每个包装袋或容器上应标明废物产生单位、产生日期、主要内容物、运送目的地及特别说明。</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(7)运送涉疫情医废，应符合医院院感管理要求。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(8)运送医废人员应固定，不得随意更换，乙方应为其定期体检并留存体检报告。</w:t>
      </w:r>
    </w:p>
    <w:p>
      <w:pPr>
        <w:autoSpaceDE w:val="0"/>
        <w:autoSpaceDN w:val="0"/>
        <w:adjustRightInd w:val="0"/>
        <w:snapToGrid w:val="0"/>
        <w:ind w:firstLine="413" w:firstLineChars="196"/>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2、保洁应急能力及医院感染控制的专业管理知识要求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(1)当发生医疗垃圾泄漏事件时，能启动相关应急预案做好泄漏区域的消毒处置，同时报告院总务与规划建设处和院感染管理办公室并填写登记表。</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(2)当清运医疗垃圾发生锐器意外刺伤时，能启动相关应急预案进行初步处理，同时报告院总务与规划建设处和院感染管理办公室并填写登记表。</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(3)当发生重大事件时能及时向院总务与规划建设处报告，并及时协调应对本部门工作，有序保障医疗环境。</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(4)对医院废弃物的处置按照院感规定的标准执行，执行消毒隔离规定，并有制度、有标准，由措施。</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3、夜班具体要求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（1）病区应安排足够的夜班人员，以确保达到医院质量要求，工作时间为18:00至次日6:30。</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A.地面：表面洁净、无尘土、污迹、烟头、纸屑、血迹及垃圾。</w:t>
      </w:r>
      <w:r>
        <w:rPr>
          <w:rFonts w:hint="eastAsia" w:asciiTheme="minorEastAsia" w:hAnsiTheme="minorEastAsia" w:eastAsiaTheme="minorEastAsia" w:cstheme="minorEastAsia"/>
          <w:bCs/>
          <w:color w:val="auto"/>
          <w:kern w:val="0"/>
          <w:sz w:val="21"/>
          <w:szCs w:val="21"/>
          <w:highlight w:val="none"/>
        </w:rPr>
        <w:t>擦拭地面要用8·4消毒液按比例进行擦拭。</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B.纸篓、不锈钢垃圾桶：不能超越2/3，垃圾袋不能二次使用。</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C.定期清洁卫生地面、卫生死角，包括输液室座椅、床下。</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D.核磁卫生间晚间，彻底清刷一次，并</w:t>
      </w:r>
      <w:r>
        <w:rPr>
          <w:rFonts w:hint="eastAsia" w:asciiTheme="minorEastAsia" w:hAnsiTheme="minorEastAsia" w:eastAsiaTheme="minorEastAsia" w:cstheme="minorEastAsia"/>
          <w:bCs/>
          <w:color w:val="auto"/>
          <w:kern w:val="0"/>
          <w:sz w:val="21"/>
          <w:szCs w:val="21"/>
          <w:highlight w:val="none"/>
        </w:rPr>
        <w:t>使用8·4消毒液，按照使用比例正确使用。</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E.夜班保洁员不能离开工作岗位，有应急工作，随叫随到。</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 病房晚间工作</w:t>
      </w:r>
    </w:p>
    <w:p>
      <w:pPr>
        <w:tabs>
          <w:tab w:val="left" w:pos="1138"/>
          <w:tab w:val="left" w:pos="1696"/>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A.地面：表面洁净、无尘土、污迹、烟头、纸屑、垃圾。</w:t>
      </w:r>
    </w:p>
    <w:p>
      <w:pPr>
        <w:tabs>
          <w:tab w:val="left" w:pos="1138"/>
          <w:tab w:val="left" w:pos="1696"/>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B.纸篓：倾倒纸篓垃圾、周边保持清洁、垃圾袋不能二次使用。</w:t>
      </w:r>
    </w:p>
    <w:p>
      <w:pPr>
        <w:tabs>
          <w:tab w:val="left" w:pos="1138"/>
          <w:tab w:val="left" w:pos="1696"/>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C.盥洗区域：台面、镜面要保持清洁、不垃圾杂物。</w:t>
      </w:r>
    </w:p>
    <w:p>
      <w:pPr>
        <w:tabs>
          <w:tab w:val="left" w:pos="1138"/>
          <w:tab w:val="left" w:pos="1696"/>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D.便器：清洁、无污渍、无异味。</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 垃圾工晚间工作</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A.清运病房、门急诊区域产生的生活、医疗废物。</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4、其它：</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（1）告示牌正确使用，在进行湿拖、洗地机作业、雨天时要在作业区醒目位置放置告示牌，防止病人滑倒或绊倒。</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乙方要为甲方提供不间断保洁管理服务，对ICU、手术室提供24小时保洁服务；对病区安排中班及夜班保洁服务、对医院遇特殊事件安排应急保洁服务对特殊区域；特殊地面进行专项机械保洁（机械设备由保洁公司配备）。</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乙方对检验科、病理科、微生物中心实验室、临床检验室、教学实验室、门诊手术室、治疗室、处置换药室等所有检验室、实验室等医疗操作室只负责保洁工作，不负责器械、试管、玻片、导管、操作台面的清洗消毒工作。</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（4）乙方负责建筑内部手可够及处的清洁工作，负责清洁擦拭手及手持工具可够及处玻璃的清洁，频次依具体情况酌情而定；负责清洁擦拭高处灯具、通风口、内墙、拆装窗帘和隔帘（1次/季度）。</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（5）乙方负责生活垃圾、医疗废物的收集、运送至院内暂存处，提供消耗品和垃圾袋。</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（6）乙方负责提供保洁员工和管理人员的服装和工作服的洗涤；提供保洁用的桌巾、尘推、拖布及洗涤消毒剂等服务用品。</w:t>
      </w:r>
    </w:p>
    <w:p>
      <w:pPr>
        <w:autoSpaceDE w:val="0"/>
        <w:autoSpaceDN w:val="0"/>
        <w:adjustRightInd w:val="0"/>
        <w:snapToGrid w:val="0"/>
        <w:ind w:firstLine="420" w:firstLineChars="200"/>
        <w:jc w:val="left"/>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（7）乙方负责出院病人床具床头桌清洁消毒，不负责铺床工作。床具消毒要做到一床一巾。</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（8）乙方负责总值班室床品的更换及送洗</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（9）乙方使用的所有消毒液产品、浓度，均按院感染办公室规定执行。</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（10）医疗垃圾和生活垃圾的清运必须封闭式运输，并执行保洁管理办公室规定的时间、线路及操作规程。</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（11）乙方员工要挂牌上岗，服从院保洁管理办公室工作安排，遵守医院各项规章制度。</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（12）保洁范围还包括所有区域中央、集中空调的出风口和回风口。科室内的杂物搬运等。</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（13）洗地、打蜡、石材养护等专项工作，需安排在节假日及夜间进行，做到零打扰式清洁模式。</w:t>
      </w:r>
    </w:p>
    <w:p>
      <w:pPr>
        <w:widowControl/>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四、卫生保洁考核标准</w:t>
      </w:r>
    </w:p>
    <w:p>
      <w:pPr>
        <w:pStyle w:val="21"/>
        <w:tabs>
          <w:tab w:val="left" w:pos="0"/>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乙方应按医院规定严格考勤纪律，要求所有保洁人员按要求刷指纹卡记录考勤，保洁经理因故外出，需提前告知甲方管理人员，做好工作安排和考勤记录。每月月底最后一天保洁经理与甲方管理人员应对保洁人员全月考勤签字确认。</w:t>
      </w:r>
    </w:p>
    <w:p>
      <w:pPr>
        <w:pStyle w:val="21"/>
        <w:tabs>
          <w:tab w:val="left" w:pos="0"/>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乙方须按合同内人员编制提供综合素质符合甲方要求的保洁服务人员。如因人员缺编造成保洁服务质量下降，保洁公司应承担全部责任；保洁公司招聘的保洁员，按要求提供相关资料（身份证复印件、健康证、无犯罪记录证明）后，方可办理进入医院工作。</w:t>
      </w:r>
    </w:p>
    <w:p>
      <w:pPr>
        <w:pStyle w:val="21"/>
        <w:tabs>
          <w:tab w:val="left" w:pos="0"/>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乙方应对保洁管理人员做好岗位职责、管理等方面的培训；应对保洁人员做好入职和岗前培训，确保新入职员工尽快熟悉工作流程、操作标准、礼节礼貌规范、岗位职责、劳动安全、消防安全等内容，培训合格方可上岗，若因个人原因（如未按操作流程或未按甲方要求操作）在工作中发生意外，由乙方承担全部责任。</w:t>
      </w:r>
    </w:p>
    <w:p>
      <w:pPr>
        <w:pStyle w:val="21"/>
        <w:tabs>
          <w:tab w:val="left" w:pos="0"/>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4、保洁人员应遵守甲方《员工守则》内的规章制度，统一着装、统一管理，要操作规范，会使用礼貌用语。</w:t>
      </w:r>
    </w:p>
    <w:p>
      <w:pPr>
        <w:pStyle w:val="21"/>
        <w:tabs>
          <w:tab w:val="left" w:pos="0"/>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5、乙方管理人员及所有保洁员工应签署《安全责任书》。</w:t>
      </w:r>
    </w:p>
    <w:p>
      <w:pPr>
        <w:pStyle w:val="21"/>
        <w:tabs>
          <w:tab w:val="left" w:pos="0"/>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6、对于甲方检查出的问题，乙方应在甲方规定期限内进行整改，提交整改方案，并按要求提交书面材料报甲乙双方领导。</w:t>
      </w:r>
    </w:p>
    <w:p>
      <w:pPr>
        <w:pStyle w:val="21"/>
        <w:tabs>
          <w:tab w:val="left" w:pos="0"/>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7、乙方应严格服从甲方管理，每日给员工召开班前班后会（通知环境组人员参加 ）并布置当日的工作内容做到及时沟通信息；每周与甲方共同对本周工作进行总结并提交问题整改措施。</w:t>
      </w:r>
    </w:p>
    <w:p>
      <w:pPr>
        <w:pStyle w:val="21"/>
        <w:tabs>
          <w:tab w:val="left" w:pos="0"/>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乙方项目管理需进行每日巡视，并做好巡视记录，对发现的问题及时进行整改及复查工作，随时起到指导和监督的作用，做到日清日毕。按照岗位职责，完成本职工作，不拖沓、不推诿、配合甲方做好对客服务。</w:t>
      </w:r>
    </w:p>
    <w:p>
      <w:pPr>
        <w:pStyle w:val="21"/>
        <w:tabs>
          <w:tab w:val="left" w:pos="0"/>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9、保洁项目经理需提前一周做好每周、每月、每季度、半年度、年度工作计划及专项工作（内容全面，可操作性强），并上交环境部，对出现的相关问题进行研讨和解决。</w:t>
      </w:r>
    </w:p>
    <w:p>
      <w:pPr>
        <w:pStyle w:val="21"/>
        <w:tabs>
          <w:tab w:val="left" w:pos="0"/>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保洁人员应服从上级领导、团结同事、互相帮助、爱护公物、爱岗敬业，在规定时间内保质保量完成任务。保洁人员在工作时间不脱岗、不串岗、不大声喧哗，不做有损公司形象的事，不私自拿取或收受客户财物；对故意损坏、遗失工具或甲方设备设施者需按原价赔偿，所有违纪行为一经发现或被检举，视情节轻重给予相应处分直至辞退；</w:t>
      </w:r>
    </w:p>
    <w:p>
      <w:pPr>
        <w:pStyle w:val="21"/>
        <w:tabs>
          <w:tab w:val="left" w:pos="0"/>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11、合理、妥善处理辞退员工事宜，避免发生劳动纠纷，甲方不承担任何责任。</w:t>
      </w:r>
    </w:p>
    <w:p>
      <w:pPr>
        <w:pStyle w:val="21"/>
        <w:tabs>
          <w:tab w:val="left" w:pos="0"/>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12、乙方以季度付款为节点，对提出的问题、建议进行分析和总结，提出有效的解决措施，及时完善到服务方案及工作计划内，并上交甲方和监管方。</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四、售后服务及培训要求</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 xml:space="preserve">    </w:t>
      </w:r>
      <w:r>
        <w:rPr>
          <w:rFonts w:hint="eastAsia" w:asciiTheme="minorEastAsia" w:hAnsiTheme="minorEastAsia" w:eastAsiaTheme="minorEastAsia" w:cstheme="minorEastAsia"/>
          <w:bCs/>
          <w:color w:val="auto"/>
          <w:sz w:val="21"/>
          <w:szCs w:val="21"/>
          <w:highlight w:val="none"/>
        </w:rPr>
        <w:t>无</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五、交货时间及地点</w:t>
      </w:r>
    </w:p>
    <w:p>
      <w:pPr>
        <w:adjustRightInd w:val="0"/>
        <w:spacing w:line="360" w:lineRule="atLeast"/>
        <w:ind w:firstLine="480"/>
        <w:jc w:val="left"/>
        <w:textAlignment w:val="baseline"/>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服务期限：2年</w:t>
      </w:r>
    </w:p>
    <w:p>
      <w:pPr>
        <w:adjustRightInd w:val="0"/>
        <w:spacing w:line="360" w:lineRule="atLeast"/>
        <w:ind w:firstLine="480"/>
        <w:jc w:val="left"/>
        <w:textAlignment w:val="baseline"/>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服务地点：北京市丰台区南四环西路 119 号</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六、验收服务要求</w:t>
      </w:r>
    </w:p>
    <w:p>
      <w:pPr>
        <w:autoSpaceDE w:val="0"/>
        <w:autoSpaceDN w:val="0"/>
        <w:adjustRightInd w:val="0"/>
        <w:snapToGrid w:val="0"/>
        <w:spacing w:line="360" w:lineRule="auto"/>
        <w:ind w:firstLine="413" w:firstLineChars="197"/>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考核表</w:t>
      </w:r>
    </w:p>
    <w:tbl>
      <w:tblPr>
        <w:tblStyle w:val="9"/>
        <w:tblW w:w="9526"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218"/>
        <w:gridCol w:w="959"/>
        <w:gridCol w:w="2205"/>
        <w:gridCol w:w="1575"/>
        <w:gridCol w:w="705"/>
        <w:gridCol w:w="795"/>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9526" w:type="dxa"/>
            <w:gridSpan w:val="8"/>
            <w:shd w:val="clear" w:color="auto" w:fill="BEBEBE"/>
            <w:noWrap w:val="0"/>
            <w:vAlign w:val="center"/>
          </w:tcPr>
          <w:p>
            <w:pPr>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一．人员考核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824" w:type="dxa"/>
            <w:gridSpan w:val="2"/>
            <w:shd w:val="clear" w:color="auto" w:fill="FFFFFF"/>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出勤人数</w:t>
            </w:r>
          </w:p>
        </w:tc>
        <w:tc>
          <w:tcPr>
            <w:tcW w:w="3164" w:type="dxa"/>
            <w:gridSpan w:val="2"/>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575" w:type="dxa"/>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出勤率</w:t>
            </w:r>
          </w:p>
        </w:tc>
        <w:tc>
          <w:tcPr>
            <w:tcW w:w="2963" w:type="dxa"/>
            <w:gridSpan w:val="3"/>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526" w:type="dxa"/>
            <w:gridSpan w:val="8"/>
            <w:shd w:val="clear" w:color="auto" w:fill="BEBEBE"/>
            <w:noWrap w:val="0"/>
            <w:vAlign w:val="center"/>
          </w:tcPr>
          <w:p>
            <w:pPr>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二．服务质量考核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序号</w:t>
            </w:r>
          </w:p>
        </w:tc>
        <w:tc>
          <w:tcPr>
            <w:tcW w:w="1218"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考核项目</w:t>
            </w:r>
          </w:p>
        </w:tc>
        <w:tc>
          <w:tcPr>
            <w:tcW w:w="959"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分值</w:t>
            </w:r>
          </w:p>
        </w:tc>
        <w:tc>
          <w:tcPr>
            <w:tcW w:w="4485" w:type="dxa"/>
            <w:gridSpan w:val="3"/>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标准</w:t>
            </w:r>
          </w:p>
        </w:tc>
        <w:tc>
          <w:tcPr>
            <w:tcW w:w="795"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得分</w:t>
            </w:r>
          </w:p>
        </w:tc>
        <w:tc>
          <w:tcPr>
            <w:tcW w:w="1463"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vMerge w:val="restart"/>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p>
        </w:tc>
        <w:tc>
          <w:tcPr>
            <w:tcW w:w="1218" w:type="dxa"/>
            <w:vMerge w:val="restart"/>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 日常清洁</w:t>
            </w:r>
          </w:p>
        </w:tc>
        <w:tc>
          <w:tcPr>
            <w:tcW w:w="959" w:type="dxa"/>
            <w:vMerge w:val="restart"/>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30分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楼内公共区域地库：</w:t>
            </w:r>
            <w:r>
              <w:rPr>
                <w:rFonts w:hint="eastAsia" w:asciiTheme="minorEastAsia" w:hAnsiTheme="minorEastAsia" w:eastAsiaTheme="minorEastAsia" w:cstheme="minorEastAsia"/>
                <w:color w:val="auto"/>
                <w:sz w:val="21"/>
                <w:szCs w:val="21"/>
                <w:highlight w:val="none"/>
              </w:rPr>
              <w:t>地面光亮、无污渍、无杂物、无异味，垃圾无堆积、无遗漏、垃圾桶定制摆放、外表光亮，雨搭及玻璃（室内及地库出入口）光亮、无手印、无积尘，墙壁、顶棚、出风口、灯具、楼顶定期清洁、无杂物、无灰尘，标识及公共设施（挂号机、售卖机、花盆等）清洁、无积尘，分诊台及候诊椅摆放整齐，表面擦拭干净，定期做彻底清洁等。  不符合要求，每人次扣0.5分</w:t>
            </w:r>
          </w:p>
        </w:tc>
        <w:tc>
          <w:tcPr>
            <w:tcW w:w="795" w:type="dxa"/>
            <w:vMerge w:val="restart"/>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63" w:type="dxa"/>
            <w:vMerge w:val="restart"/>
            <w:noWrap w:val="0"/>
            <w:vAlign w:val="center"/>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1218"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959"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治疗室、药疗室、医生办公室、行政办公室、其他功能性房：</w:t>
            </w:r>
            <w:r>
              <w:rPr>
                <w:rFonts w:hint="eastAsia" w:asciiTheme="minorEastAsia" w:hAnsiTheme="minorEastAsia" w:eastAsiaTheme="minorEastAsia" w:cstheme="minorEastAsia"/>
                <w:color w:val="auto"/>
                <w:sz w:val="21"/>
                <w:szCs w:val="21"/>
                <w:highlight w:val="none"/>
              </w:rPr>
              <w:t>遵守院规、清洁后保证地面无污渍，无杂物、无卫生死角，家具、壁架等无尘土，对清洁项目进行消毒，清洁、无污渍、垃圾无堆积、医疗垃圾按院感染办规定处理。  不符合要求，每人次扣0.5分</w:t>
            </w:r>
          </w:p>
        </w:tc>
        <w:tc>
          <w:tcPr>
            <w:tcW w:w="795"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1463"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1218"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959"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楼梯、电梯：</w:t>
            </w:r>
            <w:r>
              <w:rPr>
                <w:rFonts w:hint="eastAsia" w:asciiTheme="minorEastAsia" w:hAnsiTheme="minorEastAsia" w:eastAsiaTheme="minorEastAsia" w:cstheme="minorEastAsia"/>
                <w:color w:val="auto"/>
                <w:sz w:val="21"/>
                <w:szCs w:val="21"/>
                <w:highlight w:val="none"/>
              </w:rPr>
              <w:t>清洁、楼梯扶手光亮、无污渍、无垃圾堆放，电梯轿厢内清洁、顶面定期打蜡、无污渍、无卫生死角。   不符合要求，每人次扣0.5分</w:t>
            </w:r>
          </w:p>
        </w:tc>
        <w:tc>
          <w:tcPr>
            <w:tcW w:w="795"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1463"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1218"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959"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诊室：</w:t>
            </w:r>
            <w:r>
              <w:rPr>
                <w:rFonts w:hint="eastAsia" w:asciiTheme="minorEastAsia" w:hAnsiTheme="minorEastAsia" w:eastAsiaTheme="minorEastAsia" w:cstheme="minorEastAsia"/>
                <w:color w:val="auto"/>
                <w:sz w:val="21"/>
                <w:szCs w:val="21"/>
                <w:highlight w:val="none"/>
              </w:rPr>
              <w:t>清洁、无污渍、医疗垃圾无遗漏、堆放、诊桌，椅（“一桌一巾”消毒擦拭）。不符合要求，每人次扣0.5分</w:t>
            </w:r>
          </w:p>
        </w:tc>
        <w:tc>
          <w:tcPr>
            <w:tcW w:w="795"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1463"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606"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1218"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959"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4485" w:type="dxa"/>
            <w:gridSpan w:val="3"/>
            <w:noWrap w:val="0"/>
            <w:vAlign w:val="center"/>
          </w:tcPr>
          <w:p>
            <w:pPr>
              <w:rPr>
                <w:rFonts w:hint="eastAsia" w:asciiTheme="minorEastAsia" w:hAnsiTheme="minorEastAsia" w:eastAsiaTheme="minorEastAsia" w:cstheme="minorEastAsia"/>
                <w:color w:val="auto"/>
                <w:sz w:val="21"/>
                <w:szCs w:val="21"/>
                <w:highlight w:val="none"/>
              </w:rPr>
            </w:pP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手术室、ICU：</w:t>
            </w:r>
            <w:r>
              <w:rPr>
                <w:rFonts w:hint="eastAsia" w:asciiTheme="minorEastAsia" w:hAnsiTheme="minorEastAsia" w:eastAsiaTheme="minorEastAsia" w:cstheme="minorEastAsia"/>
                <w:color w:val="auto"/>
                <w:sz w:val="21"/>
                <w:szCs w:val="21"/>
                <w:highlight w:val="none"/>
              </w:rPr>
              <w:t>符合消毒隔离要求清洁，无死角、无污渍。不符合要求，每人次扣0.5分</w:t>
            </w:r>
          </w:p>
        </w:tc>
        <w:tc>
          <w:tcPr>
            <w:tcW w:w="795"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1463"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vMerge w:val="restart"/>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w:t>
            </w:r>
          </w:p>
        </w:tc>
        <w:tc>
          <w:tcPr>
            <w:tcW w:w="1218" w:type="dxa"/>
            <w:vMerge w:val="restart"/>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卫生间清洁</w:t>
            </w: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卫生间无异味、无蚊蝇、无积水、清洁记录按要求填写、耗材供应充足、卫生洁具每日全面清洁消毒、无投诉。不符合要求，每人次扣0.5分</w:t>
            </w:r>
          </w:p>
        </w:tc>
        <w:tc>
          <w:tcPr>
            <w:tcW w:w="795"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63" w:type="dxa"/>
            <w:noWrap w:val="0"/>
            <w:vAlign w:val="center"/>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1218"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专人负责清洁维护，保持墙面瓷砖、门窗无明显灰尘、无小广告，天花板、灯具目视无明显灰尘，地面无水渍、无尿液、无纸屑、无烟头，镜面明亮，面台、洗手池、水龙头无水渍、无痰渍，大、小便器无尿碱、内外洁净、喷水嘴洁净流畅，烘手器、皂液盒、隔板、顶板、手纸架无印迹、污渍、光亮洁净，纸篓内污物量不超过桶体三分之二。不符合要求，每人次扣0.5分</w:t>
            </w:r>
          </w:p>
        </w:tc>
        <w:tc>
          <w:tcPr>
            <w:tcW w:w="795"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63" w:type="dxa"/>
            <w:noWrap w:val="0"/>
            <w:vAlign w:val="center"/>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w:t>
            </w:r>
          </w:p>
        </w:tc>
        <w:tc>
          <w:tcPr>
            <w:tcW w:w="1218"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环境专项</w:t>
            </w: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PVC打蜡、石材养护、地毯清洗等按照合同要求执行。不符合要求，每人次扣0.5分</w:t>
            </w:r>
          </w:p>
        </w:tc>
        <w:tc>
          <w:tcPr>
            <w:tcW w:w="795" w:type="dxa"/>
            <w:noWrap w:val="0"/>
            <w:vAlign w:val="center"/>
          </w:tcPr>
          <w:p>
            <w:pPr>
              <w:jc w:val="left"/>
              <w:rPr>
                <w:rFonts w:hint="eastAsia" w:asciiTheme="minorEastAsia" w:hAnsiTheme="minorEastAsia" w:eastAsiaTheme="minorEastAsia" w:cstheme="minorEastAsia"/>
                <w:b/>
                <w:color w:val="auto"/>
                <w:sz w:val="21"/>
                <w:szCs w:val="21"/>
                <w:highlight w:val="none"/>
              </w:rPr>
            </w:pPr>
          </w:p>
        </w:tc>
        <w:tc>
          <w:tcPr>
            <w:tcW w:w="1463" w:type="dxa"/>
            <w:noWrap w:val="0"/>
            <w:vAlign w:val="center"/>
          </w:tcPr>
          <w:p>
            <w:pPr>
              <w:jc w:val="left"/>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4</w:t>
            </w:r>
          </w:p>
        </w:tc>
        <w:tc>
          <w:tcPr>
            <w:tcW w:w="1218"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员工管理</w:t>
            </w: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10分</w:t>
            </w:r>
          </w:p>
        </w:tc>
        <w:tc>
          <w:tcPr>
            <w:tcW w:w="4485" w:type="dxa"/>
            <w:gridSpan w:val="3"/>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执行员工岗位纪律、按时打卡、准时到岗、见到医护人员主动避让、问好，出勤率良好。仪容仪表、行为举止、语言规范符合要求。不得做与工作无关的事：上岗不得吸烟、吃零食、嚼口香糖。吹口哨、听收录机、玩手机、接（打）私人电话，与人闲聊、大声喧哗或与人争吵、打瞌睡等。接受医院及上级管理部门监督、检查。遵纪守法、遵守操作规程、遵守劳动纪律、遵守医院规章制度，不得扰乱医院正常工作秩序，按工作规程操作对投诉及时整改。不符合要求，每人次扣0.5分</w:t>
            </w:r>
          </w:p>
        </w:tc>
        <w:tc>
          <w:tcPr>
            <w:tcW w:w="795"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w:t>
            </w:r>
          </w:p>
        </w:tc>
        <w:tc>
          <w:tcPr>
            <w:tcW w:w="1218"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制度执行</w:t>
            </w: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制度上墙，按时召开班会、总结会、培训会、按规定进行交接班，定期培训、考核，按时提交各类报表、现场管理符合5S要求、记录填写完善。保洁工作车干净整洁，停放得当，“小心地滑”警示牌干净，摆放整齐，保洁设备，由专人负责使用，注意工作时，尽量不要妨碍医护人员行走，保洁棉织品集中洗涤消毒分类、分区使用，消毒剂、洗涤剂、机械保洁维护剂等必需的易耗物品，需使用符合国家质量及环保标准认证正规厂家生产的品牌类产品。不符合要求，每人次扣0.5分</w:t>
            </w:r>
          </w:p>
        </w:tc>
        <w:tc>
          <w:tcPr>
            <w:tcW w:w="795"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6</w:t>
            </w:r>
          </w:p>
        </w:tc>
        <w:tc>
          <w:tcPr>
            <w:tcW w:w="1218"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走动管理</w:t>
            </w: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管每周走遍辖区1次；经理每月走遍全楼1次，有走动管理痕迹。管理人员对一线保洁人员有针对性的指导、帮助及一对一开展专项培训。在岗的员工具备节约用水、节约用电、随手开关窗的意识和行为。不符合要求，每人次扣0.5分</w:t>
            </w:r>
          </w:p>
        </w:tc>
        <w:tc>
          <w:tcPr>
            <w:tcW w:w="795"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tcBorders>
              <w:bottom w:val="single" w:color="auto" w:sz="4" w:space="0"/>
            </w:tcBorders>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7</w:t>
            </w:r>
          </w:p>
        </w:tc>
        <w:tc>
          <w:tcPr>
            <w:tcW w:w="1218" w:type="dxa"/>
            <w:tcBorders>
              <w:bottom w:val="single" w:color="auto" w:sz="4" w:space="0"/>
            </w:tcBorders>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安全管理</w:t>
            </w:r>
          </w:p>
        </w:tc>
        <w:tc>
          <w:tcPr>
            <w:tcW w:w="959"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5分</w:t>
            </w:r>
          </w:p>
        </w:tc>
        <w:tc>
          <w:tcPr>
            <w:tcW w:w="4485" w:type="dxa"/>
            <w:gridSpan w:val="3"/>
            <w:tcBorders>
              <w:bottom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员工签订安全责任书、开展风险隐患识别及安全隐患排查，责任到人，定期进行培训、排查、整改。根据功能区域需要为员工配备基本的个人安全防护用品，如口罩、手套、帽子、围裙、胶鞋等。高空作业实施安全措施。按规定进行消毒，并做消毒记录。洁净工作按区域存放，并贴有色标。雨雪等恶劣天气采取有效防滑措施。进行湿拖、洗地机作业、雨天时要在作业区醒目位置放置告示牌防止病人滑倒或绊倒。医疗垃圾的清运必须指定专人，做好专业防护，佩戴专用手套、帽子、隔离衣，按照采购人规定的时间、路线及操作规程，发现医疗垃圾泄露及锐器扎伤时，及时上报，具备现场应急处理的能力。不符合要求，每人次扣0.5分</w:t>
            </w:r>
          </w:p>
        </w:tc>
        <w:tc>
          <w:tcPr>
            <w:tcW w:w="795"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tcBorders>
              <w:bottom w:val="single" w:color="auto" w:sz="4" w:space="0"/>
            </w:tcBorders>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lang w:bidi="ar"/>
              </w:rPr>
              <w:t>8</w:t>
            </w:r>
          </w:p>
        </w:tc>
        <w:tc>
          <w:tcPr>
            <w:tcW w:w="1218" w:type="dxa"/>
            <w:tcBorders>
              <w:bottom w:val="single" w:color="auto" w:sz="4" w:space="0"/>
            </w:tcBorders>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lang w:bidi="ar"/>
              </w:rPr>
              <w:t>质量管理</w:t>
            </w:r>
          </w:p>
        </w:tc>
        <w:tc>
          <w:tcPr>
            <w:tcW w:w="959"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bidi="ar"/>
              </w:rPr>
              <w:t>10分</w:t>
            </w:r>
          </w:p>
        </w:tc>
        <w:tc>
          <w:tcPr>
            <w:tcW w:w="4485" w:type="dxa"/>
            <w:gridSpan w:val="3"/>
            <w:tcBorders>
              <w:bottom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bidi="ar"/>
              </w:rPr>
              <w:t>能够随时迎接上级及院方的各种检查、配合院方完成接待活动，无差错。针对采购人及监管方检查问题整改及时，及时反馈，改进措施有效。按照采购人要求，按时提交工作总结报告。不符合要求，每人次扣0.5分</w:t>
            </w:r>
          </w:p>
        </w:tc>
        <w:tc>
          <w:tcPr>
            <w:tcW w:w="795"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06"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rPr>
              <w:t>9</w:t>
            </w:r>
          </w:p>
        </w:tc>
        <w:tc>
          <w:tcPr>
            <w:tcW w:w="1218"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rPr>
              <w:t>服务质量</w:t>
            </w:r>
          </w:p>
        </w:tc>
        <w:tc>
          <w:tcPr>
            <w:tcW w:w="959"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rPr>
              <w:t>10分</w:t>
            </w:r>
          </w:p>
        </w:tc>
        <w:tc>
          <w:tcPr>
            <w:tcW w:w="4485" w:type="dxa"/>
            <w:gridSpan w:val="3"/>
            <w:tcBorders>
              <w:bottom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rPr>
              <w:t>应急响应、接单及时率、完成质量、反馈及时率、医患评价及投诉处理  。不符合要求，每人次扣0.5分，视情节及影响力酌情扣分</w:t>
            </w:r>
          </w:p>
        </w:tc>
        <w:tc>
          <w:tcPr>
            <w:tcW w:w="795"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824" w:type="dxa"/>
            <w:gridSpan w:val="2"/>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得分</w:t>
            </w:r>
          </w:p>
        </w:tc>
        <w:tc>
          <w:tcPr>
            <w:tcW w:w="959" w:type="dxa"/>
            <w:noWrap w:val="0"/>
            <w:vAlign w:val="center"/>
          </w:tcPr>
          <w:p>
            <w:pPr>
              <w:ind w:firstLine="211"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100</w:t>
            </w:r>
            <w:r>
              <w:rPr>
                <w:rFonts w:hint="eastAsia" w:asciiTheme="minorEastAsia" w:hAnsiTheme="minorEastAsia" w:eastAsiaTheme="minorEastAsia" w:cstheme="minorEastAsia"/>
                <w:color w:val="auto"/>
                <w:sz w:val="21"/>
                <w:szCs w:val="21"/>
                <w:highlight w:val="none"/>
              </w:rPr>
              <w:t>分</w:t>
            </w:r>
          </w:p>
        </w:tc>
        <w:tc>
          <w:tcPr>
            <w:tcW w:w="6743" w:type="dxa"/>
            <w:gridSpan w:val="5"/>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trPr>
        <w:tc>
          <w:tcPr>
            <w:tcW w:w="2783" w:type="dxa"/>
            <w:gridSpan w:val="3"/>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监管人意见</w:t>
            </w:r>
          </w:p>
        </w:tc>
        <w:tc>
          <w:tcPr>
            <w:tcW w:w="6743" w:type="dxa"/>
            <w:gridSpan w:val="5"/>
            <w:noWrap w:val="0"/>
            <w:vAlign w:val="center"/>
          </w:tcPr>
          <w:p>
            <w:pPr>
              <w:jc w:val="center"/>
              <w:rPr>
                <w:rFonts w:hint="eastAsia" w:asciiTheme="minorEastAsia" w:hAnsiTheme="minorEastAsia" w:eastAsiaTheme="minorEastAsia" w:cstheme="minorEastAsia"/>
                <w:color w:val="auto"/>
                <w:sz w:val="21"/>
                <w:szCs w:val="21"/>
                <w:highlight w:val="none"/>
              </w:rPr>
            </w:pPr>
          </w:p>
          <w:p>
            <w:pPr>
              <w:jc w:val="center"/>
              <w:rPr>
                <w:rFonts w:hint="eastAsia" w:asciiTheme="minorEastAsia" w:hAnsiTheme="minorEastAsia" w:eastAsiaTheme="minorEastAsia" w:cstheme="minorEastAsia"/>
                <w:color w:val="auto"/>
                <w:sz w:val="21"/>
                <w:szCs w:val="21"/>
                <w:highlight w:val="none"/>
              </w:rPr>
            </w:pPr>
          </w:p>
          <w:p>
            <w:pPr>
              <w:jc w:val="center"/>
              <w:rPr>
                <w:rFonts w:hint="eastAsia" w:asciiTheme="minorEastAsia" w:hAnsiTheme="minorEastAsia" w:eastAsiaTheme="minorEastAsia" w:cstheme="minorEastAsia"/>
                <w:color w:val="auto"/>
                <w:sz w:val="21"/>
                <w:szCs w:val="21"/>
                <w:highlight w:val="none"/>
              </w:rPr>
            </w:pPr>
          </w:p>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trPr>
        <w:tc>
          <w:tcPr>
            <w:tcW w:w="2783" w:type="dxa"/>
            <w:gridSpan w:val="3"/>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总务与规划建设处</w:t>
            </w:r>
          </w:p>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意见</w:t>
            </w:r>
          </w:p>
        </w:tc>
        <w:tc>
          <w:tcPr>
            <w:tcW w:w="6743" w:type="dxa"/>
            <w:gridSpan w:val="5"/>
            <w:noWrap w:val="0"/>
            <w:vAlign w:val="center"/>
          </w:tcPr>
          <w:p>
            <w:pPr>
              <w:jc w:val="center"/>
              <w:rPr>
                <w:rFonts w:hint="eastAsia" w:asciiTheme="minorEastAsia" w:hAnsiTheme="minorEastAsia" w:eastAsiaTheme="minorEastAsia" w:cstheme="minorEastAsia"/>
                <w:b/>
                <w:color w:val="auto"/>
                <w:sz w:val="21"/>
                <w:szCs w:val="21"/>
                <w:highlight w:val="none"/>
              </w:rPr>
            </w:pPr>
          </w:p>
          <w:p>
            <w:pPr>
              <w:jc w:val="center"/>
              <w:rPr>
                <w:rFonts w:hint="eastAsia" w:asciiTheme="minorEastAsia" w:hAnsiTheme="minorEastAsia" w:eastAsiaTheme="minorEastAsia" w:cstheme="minorEastAsia"/>
                <w:b/>
                <w:color w:val="auto"/>
                <w:sz w:val="21"/>
                <w:szCs w:val="21"/>
                <w:highlight w:val="none"/>
              </w:rPr>
            </w:pPr>
          </w:p>
          <w:p>
            <w:pPr>
              <w:jc w:val="center"/>
              <w:rPr>
                <w:rFonts w:hint="eastAsia" w:asciiTheme="minorEastAsia" w:hAnsiTheme="minorEastAsia" w:eastAsiaTheme="minorEastAsia" w:cstheme="minorEastAsia"/>
                <w:b/>
                <w:color w:val="auto"/>
                <w:sz w:val="21"/>
                <w:szCs w:val="21"/>
                <w:highlight w:val="none"/>
              </w:rPr>
            </w:pPr>
          </w:p>
          <w:p>
            <w:pPr>
              <w:jc w:val="center"/>
              <w:rPr>
                <w:rFonts w:hint="eastAsia" w:asciiTheme="minorEastAsia" w:hAnsiTheme="minorEastAsia" w:eastAsiaTheme="minorEastAsia" w:cstheme="minorEastAsia"/>
                <w:b/>
                <w:color w:val="auto"/>
                <w:sz w:val="21"/>
                <w:szCs w:val="21"/>
                <w:highlight w:val="none"/>
              </w:rPr>
            </w:pPr>
          </w:p>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1" w:hRule="atLeast"/>
        </w:trPr>
        <w:tc>
          <w:tcPr>
            <w:tcW w:w="9526" w:type="dxa"/>
            <w:gridSpan w:val="8"/>
            <w:noWrap w:val="0"/>
            <w:vAlign w:val="top"/>
          </w:tcPr>
          <w:p>
            <w:pP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说  明：</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1.临床满意度项由一站式服务部评价打分；</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考核结果90≤X＜100分，属于基本符合要求，可正常支付合同款；</w:t>
            </w:r>
          </w:p>
          <w:p>
            <w:pPr>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考核结果80≤X＜90分，扣除考核期间应付合同款的1%作为违约金；</w:t>
            </w:r>
          </w:p>
          <w:p>
            <w:pPr>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考核结果70≤X＜80分，扣除考核期间应付合同款的2%作为违约金；</w:t>
            </w:r>
          </w:p>
          <w:p>
            <w:pPr>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考核结果60≤X＜70分，扣除考核期间应付合同款的5%作为违约金；       </w:t>
            </w:r>
          </w:p>
          <w:p>
            <w:pPr>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考核结果X＜60，扣除考核期间应付合同款的10%作为违约金；</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3.如连续两次出现低于60分的情况，监管部门将向医院通报解除本合同；</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4.如当月出现工作进度严重拖期，发生重大质量、安全、经济（劳资）纠纷、群体性时间及违反国家法律、法规和合同约定的，经考核执行部门确定，则月度考核为0。</w:t>
            </w:r>
          </w:p>
        </w:tc>
      </w:tr>
    </w:tbl>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七、付款方式</w:t>
      </w:r>
    </w:p>
    <w:p>
      <w:pPr>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结算及付款方式</w:t>
      </w:r>
    </w:p>
    <w:p>
      <w:pPr>
        <w:ind w:firstLine="476" w:firstLineChars="22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1、按季度结算和付款方式：</w:t>
      </w:r>
    </w:p>
    <w:p>
      <w:pPr>
        <w:ind w:firstLine="476" w:firstLineChars="22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结算方式：每季度开始的前10日内，乙方与甲方就乙方上季度合同的履行情况、乙方员工的出勤情况、甲方考核结果及每月的人员变动确认书协商一致后，依据本合同的约定共同对人员费用、PVC石材地面养护费用进行结算。甲方及乙方意见不一致时，以甲方意见为最后结算依据。双方共同书面签署《合同履行结算单》；</w:t>
      </w:r>
    </w:p>
    <w:p>
      <w:pPr>
        <w:ind w:firstLine="476" w:firstLineChars="22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（2）甲方按下发物业服务费的形式向乙方支付。每月双方签署确认的《合同履行结算单》，为上季度的物业服务费的实发数额；</w:t>
      </w:r>
    </w:p>
    <w:p>
      <w:pPr>
        <w:ind w:firstLine="476" w:firstLineChars="22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在每季度开始的10日内，乙方向甲方交付双方签署的《合同履行结算单》后方可办理付款手续，甲方审核后，在本季度开始第一个月的25日之前支付上季度物业服务费用；乙方应在办理付款手续时提交等额的有效发票。</w:t>
      </w:r>
    </w:p>
    <w:p>
      <w:pPr>
        <w:ind w:firstLine="476" w:firstLineChars="22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2、甲方以转账方式向乙方支付物业服务费，乙方账户如下：</w:t>
      </w:r>
    </w:p>
    <w:p>
      <w:pPr>
        <w:ind w:firstLine="420" w:firstLineChars="200"/>
        <w:rPr>
          <w:rFonts w:hint="eastAsia" w:asciiTheme="minorEastAsia" w:hAnsiTheme="minorEastAsia" w:eastAsiaTheme="minorEastAsia" w:cstheme="minorEastAsia"/>
          <w:bCs/>
          <w:color w:val="auto"/>
          <w:sz w:val="21"/>
          <w:szCs w:val="21"/>
          <w:highlight w:val="none"/>
          <w:u w:val="single"/>
        </w:rPr>
      </w:pPr>
      <w:r>
        <w:rPr>
          <w:rFonts w:hint="eastAsia" w:asciiTheme="minorEastAsia" w:hAnsiTheme="minorEastAsia" w:eastAsiaTheme="minorEastAsia" w:cstheme="minorEastAsia"/>
          <w:bCs/>
          <w:color w:val="auto"/>
          <w:sz w:val="21"/>
          <w:szCs w:val="21"/>
          <w:highlight w:val="none"/>
        </w:rPr>
        <w:t>乙方的银行账号：</w:t>
      </w:r>
      <w:r>
        <w:rPr>
          <w:rFonts w:hint="eastAsia" w:asciiTheme="minorEastAsia" w:hAnsiTheme="minorEastAsia" w:eastAsiaTheme="minorEastAsia" w:cstheme="minorEastAsia"/>
          <w:bCs/>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bCs/>
          <w:color w:val="auto"/>
          <w:sz w:val="21"/>
          <w:szCs w:val="21"/>
          <w:highlight w:val="none"/>
          <w:u w:val="single"/>
        </w:rPr>
        <w:t xml:space="preserve"> </w:t>
      </w:r>
    </w:p>
    <w:p>
      <w:pPr>
        <w:ind w:firstLine="555"/>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账户名称：</w:t>
      </w:r>
      <w:r>
        <w:rPr>
          <w:rFonts w:hint="eastAsia" w:asciiTheme="minorEastAsia" w:hAnsiTheme="minorEastAsia" w:eastAsiaTheme="minorEastAsia" w:cstheme="minorEastAsia"/>
          <w:bCs/>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bCs/>
          <w:color w:val="auto"/>
          <w:sz w:val="21"/>
          <w:szCs w:val="21"/>
          <w:highlight w:val="none"/>
        </w:rPr>
        <w:t xml:space="preserve"> </w:t>
      </w:r>
    </w:p>
    <w:p>
      <w:pPr>
        <w:ind w:firstLine="555"/>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开户银行：</w:t>
      </w:r>
      <w:r>
        <w:rPr>
          <w:rFonts w:hint="eastAsia" w:asciiTheme="minorEastAsia" w:hAnsiTheme="minorEastAsia" w:eastAsiaTheme="minorEastAsia" w:cstheme="minorEastAsia"/>
          <w:color w:val="auto"/>
          <w:sz w:val="21"/>
          <w:szCs w:val="21"/>
          <w:highlight w:val="none"/>
          <w:u w:val="single"/>
        </w:rPr>
        <w:t xml:space="preserve">                                   </w:t>
      </w: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p>
    <w:p>
      <w:pPr>
        <w:adjustRightInd w:val="0"/>
        <w:jc w:val="left"/>
        <w:textAlignment w:val="baseline"/>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第三包：</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一、采购清单</w:t>
      </w:r>
    </w:p>
    <w:tbl>
      <w:tblPr>
        <w:tblStyle w:val="9"/>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477"/>
        <w:gridCol w:w="1789"/>
        <w:gridCol w:w="1545"/>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序号</w:t>
            </w:r>
          </w:p>
        </w:tc>
        <w:tc>
          <w:tcPr>
            <w:tcW w:w="2477"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货物或服务名称</w:t>
            </w:r>
          </w:p>
        </w:tc>
        <w:tc>
          <w:tcPr>
            <w:tcW w:w="1789"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数量</w:t>
            </w:r>
          </w:p>
        </w:tc>
        <w:tc>
          <w:tcPr>
            <w:tcW w:w="1545"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单位</w:t>
            </w:r>
          </w:p>
        </w:tc>
        <w:tc>
          <w:tcPr>
            <w:tcW w:w="2035"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备注（核心产品）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2477" w:type="dxa"/>
            <w:noWrap w:val="0"/>
            <w:vAlign w:val="top"/>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北京天坛医院卫生保洁服务三标段</w:t>
            </w:r>
          </w:p>
        </w:tc>
        <w:tc>
          <w:tcPr>
            <w:tcW w:w="1789" w:type="dxa"/>
            <w:noWrap w:val="0"/>
            <w:vAlign w:val="top"/>
          </w:tcPr>
          <w:p>
            <w:pPr>
              <w:rPr>
                <w:rFonts w:hint="eastAsia" w:asciiTheme="minorEastAsia" w:hAnsiTheme="minorEastAsia" w:eastAsiaTheme="minorEastAsia" w:cstheme="minorEastAsia"/>
                <w:color w:val="auto"/>
                <w:sz w:val="21"/>
                <w:szCs w:val="21"/>
                <w:highlight w:val="none"/>
              </w:rPr>
            </w:pPr>
          </w:p>
        </w:tc>
        <w:tc>
          <w:tcPr>
            <w:tcW w:w="1545" w:type="dxa"/>
            <w:noWrap w:val="0"/>
            <w:vAlign w:val="top"/>
          </w:tcPr>
          <w:p>
            <w:pPr>
              <w:rPr>
                <w:rFonts w:hint="eastAsia" w:asciiTheme="minorEastAsia" w:hAnsiTheme="minorEastAsia" w:eastAsiaTheme="minorEastAsia" w:cstheme="minorEastAsia"/>
                <w:color w:val="auto"/>
                <w:sz w:val="21"/>
                <w:szCs w:val="21"/>
                <w:highlight w:val="none"/>
              </w:rPr>
            </w:pPr>
          </w:p>
        </w:tc>
        <w:tc>
          <w:tcPr>
            <w:tcW w:w="2035" w:type="dxa"/>
            <w:noWrap w:val="0"/>
            <w:vAlign w:val="top"/>
          </w:tcPr>
          <w:p>
            <w:pPr>
              <w:rPr>
                <w:rFonts w:hint="eastAsia" w:asciiTheme="minorEastAsia" w:hAnsiTheme="minorEastAsia" w:eastAsiaTheme="minorEastAsia" w:cstheme="minorEastAsia"/>
                <w:color w:val="auto"/>
                <w:sz w:val="21"/>
                <w:szCs w:val="21"/>
                <w:highlight w:val="none"/>
              </w:rPr>
            </w:pPr>
          </w:p>
        </w:tc>
      </w:tr>
    </w:tbl>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二、项目背景或简况</w:t>
      </w:r>
    </w:p>
    <w:p>
      <w:pPr>
        <w:adjustRightInd w:val="0"/>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rPr>
        <w:t>三标段预算金额</w:t>
      </w:r>
      <w:r>
        <w:rPr>
          <w:rFonts w:hint="eastAsia" w:asciiTheme="minorEastAsia" w:hAnsiTheme="minorEastAsia" w:eastAsiaTheme="minorEastAsia" w:cstheme="minorEastAsia"/>
          <w:color w:val="auto"/>
          <w:sz w:val="21"/>
          <w:szCs w:val="21"/>
          <w:highlight w:val="none"/>
          <w:lang w:val="en-US" w:eastAsia="zh-CN"/>
        </w:rPr>
        <w:t>737.94</w:t>
      </w:r>
      <w:r>
        <w:rPr>
          <w:rFonts w:hint="eastAsia" w:asciiTheme="minorEastAsia" w:hAnsiTheme="minorEastAsia" w:eastAsiaTheme="minorEastAsia" w:cstheme="minorEastAsia"/>
          <w:color w:val="auto"/>
          <w:sz w:val="21"/>
          <w:szCs w:val="21"/>
          <w:highlight w:val="none"/>
        </w:rPr>
        <w:t>万元</w:t>
      </w:r>
      <w:r>
        <w:rPr>
          <w:rFonts w:hint="eastAsia" w:asciiTheme="minorEastAsia" w:hAnsiTheme="minorEastAsia" w:eastAsiaTheme="minorEastAsia" w:cstheme="minorEastAsia"/>
          <w:color w:val="auto"/>
          <w:sz w:val="21"/>
          <w:szCs w:val="21"/>
          <w:highlight w:val="none"/>
          <w:lang w:val="en-US" w:eastAsia="zh-CN"/>
        </w:rPr>
        <w:t>/年</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服务期限</w:t>
      </w:r>
      <w:r>
        <w:rPr>
          <w:rFonts w:hint="eastAsia" w:asciiTheme="minorEastAsia" w:hAnsiTheme="minorEastAsia" w:eastAsiaTheme="minorEastAsia" w:cstheme="minorEastAsia"/>
          <w:color w:val="auto"/>
          <w:sz w:val="21"/>
          <w:szCs w:val="21"/>
          <w:highlight w:val="none"/>
          <w:lang w:val="en-US" w:eastAsia="zh-CN"/>
        </w:rPr>
        <w:t>两年，合同一年一签，</w:t>
      </w:r>
      <w:r>
        <w:rPr>
          <w:rFonts w:hint="eastAsia" w:asciiTheme="minorEastAsia" w:hAnsiTheme="minorEastAsia" w:eastAsiaTheme="minorEastAsia" w:cstheme="minorEastAsia"/>
          <w:color w:val="auto"/>
          <w:sz w:val="21"/>
          <w:szCs w:val="21"/>
          <w:highlight w:val="none"/>
        </w:rPr>
        <w:t>服务范围为</w:t>
      </w:r>
      <w:r>
        <w:rPr>
          <w:rFonts w:hint="eastAsia" w:asciiTheme="minorEastAsia" w:hAnsiTheme="minorEastAsia" w:eastAsiaTheme="minorEastAsia" w:cstheme="minorEastAsia"/>
          <w:color w:val="auto"/>
          <w:kern w:val="0"/>
          <w:sz w:val="21"/>
          <w:szCs w:val="21"/>
          <w:highlight w:val="none"/>
        </w:rPr>
        <w:t>为B区、C区及两区外围区域，B区清洁面积为62017平方米，包括行政科研楼、研究所、国际部及地下车库等；C区清洁面积为24804平方米，主要包括教学楼和忠诚楼；B区、C区外围面积为21059平方米。AB连廊及地下连廊面积为4333平方米</w:t>
      </w:r>
      <w:r>
        <w:rPr>
          <w:rFonts w:hint="eastAsia" w:asciiTheme="minorEastAsia" w:hAnsiTheme="minorEastAsia" w:eastAsiaTheme="minorEastAsia" w:cstheme="minorEastAsia"/>
          <w:color w:val="auto"/>
          <w:sz w:val="21"/>
          <w:szCs w:val="21"/>
          <w:highlight w:val="none"/>
        </w:rPr>
        <w:t>。</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三、技术参数要求（技术指标包括性能、规格、材质等，但不能指定品牌）、服务要求</w:t>
      </w:r>
    </w:p>
    <w:p>
      <w:pPr>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技术需求</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一、服务范围</w:t>
      </w:r>
    </w:p>
    <w:p>
      <w:pPr>
        <w:autoSpaceDE w:val="0"/>
        <w:autoSpaceDN w:val="0"/>
        <w:adjustRightInd w:val="0"/>
        <w:snapToGrid w:val="0"/>
        <w:ind w:firstLine="42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此包服务范围为B区、C区及两区外围区域，B区清洁面积为62017平方米，包括行政科研楼、研究所、国际部及地下车库等；C区清洁面积为24804平方米，主要包括教学楼和忠诚楼；B区、C区外围面积为21059平方米。AB连廊及地下连廊面积为4333平方米。</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二、</w:t>
      </w:r>
      <w:r>
        <w:rPr>
          <w:rFonts w:hint="eastAsia" w:asciiTheme="minorEastAsia" w:hAnsiTheme="minorEastAsia" w:eastAsiaTheme="minorEastAsia" w:cstheme="minorEastAsia"/>
          <w:b/>
          <w:color w:val="auto"/>
          <w:sz w:val="21"/>
          <w:szCs w:val="21"/>
          <w:highlight w:val="none"/>
        </w:rPr>
        <w:t>服务内容</w:t>
      </w:r>
    </w:p>
    <w:p>
      <w:pPr>
        <w:autoSpaceDE w:val="0"/>
        <w:autoSpaceDN w:val="0"/>
        <w:adjustRightInd w:val="0"/>
        <w:snapToGrid w:val="0"/>
        <w:ind w:firstLine="420" w:firstLineChars="200"/>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1、负责服务范围内全部楼宇室内环境及物体表面清洁消毒工作，消毒应达到国家卫健委相关标准的要求，在医管中心等上级单位检查中达到合格标准。室外道路清扫及标示牌、台面等环境表面清洁，生活垃圾、医疗废物的分类、收集、清运工作。根据医院要求，做好服务范围内的生活垃圾分类、计量、引导等工作。</w:t>
      </w:r>
    </w:p>
    <w:p>
      <w:pPr>
        <w:autoSpaceDE w:val="0"/>
        <w:autoSpaceDN w:val="0"/>
        <w:adjustRightInd w:val="0"/>
        <w:snapToGrid w:val="0"/>
        <w:ind w:firstLine="420" w:firstLineChars="200"/>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2、负责服务范围内各种材质地面清洁养护，包括PVC地面清洗、抛光、打蜡，石材地面清洗、翻新、结晶养护，电梯地面及地面标识的打蜡、保养等。</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3、负责</w:t>
      </w:r>
      <w:r>
        <w:rPr>
          <w:rFonts w:hint="eastAsia" w:asciiTheme="minorEastAsia" w:hAnsiTheme="minorEastAsia" w:eastAsiaTheme="minorEastAsia" w:cstheme="minorEastAsia"/>
          <w:bCs/>
          <w:color w:val="auto"/>
          <w:kern w:val="0"/>
          <w:sz w:val="21"/>
          <w:szCs w:val="21"/>
          <w:highlight w:val="none"/>
        </w:rPr>
        <w:t>服务范围内</w:t>
      </w:r>
      <w:r>
        <w:rPr>
          <w:rFonts w:hint="eastAsia" w:asciiTheme="minorEastAsia" w:hAnsiTheme="minorEastAsia" w:eastAsiaTheme="minorEastAsia" w:cstheme="minorEastAsia"/>
          <w:color w:val="auto"/>
          <w:sz w:val="21"/>
          <w:szCs w:val="21"/>
          <w:highlight w:val="none"/>
        </w:rPr>
        <w:t>公区候诊椅、电梯、自助设备设施等表面的清洁与消毒（包括但不限于：共享售卖机、挂号机、导诊机、手机充电桩等）。消毒应满足医院院感管理要求。</w:t>
      </w:r>
    </w:p>
    <w:p>
      <w:pPr>
        <w:ind w:firstLine="420" w:firstLineChars="200"/>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4、负责</w:t>
      </w:r>
      <w:r>
        <w:rPr>
          <w:rFonts w:hint="eastAsia" w:asciiTheme="minorEastAsia" w:hAnsiTheme="minorEastAsia" w:eastAsiaTheme="minorEastAsia" w:cstheme="minorEastAsia"/>
          <w:bCs/>
          <w:color w:val="auto"/>
          <w:kern w:val="0"/>
          <w:sz w:val="21"/>
          <w:szCs w:val="21"/>
          <w:highlight w:val="none"/>
        </w:rPr>
        <w:t>服务范围</w:t>
      </w:r>
      <w:r>
        <w:rPr>
          <w:rFonts w:hint="eastAsia" w:asciiTheme="minorEastAsia" w:hAnsiTheme="minorEastAsia" w:eastAsiaTheme="minorEastAsia" w:cstheme="minorEastAsia"/>
          <w:color w:val="auto"/>
          <w:sz w:val="21"/>
          <w:szCs w:val="21"/>
          <w:highlight w:val="none"/>
        </w:rPr>
        <w:t>内所有雨搭、车库出入口玻璃表面、院内外围路灯进行定期清洁，必要时，可使用升降机，确保使用安全</w:t>
      </w:r>
      <w:r>
        <w:rPr>
          <w:rFonts w:hint="eastAsia" w:asciiTheme="minorEastAsia" w:hAnsiTheme="minorEastAsia" w:eastAsiaTheme="minorEastAsia" w:cstheme="minorEastAsia"/>
          <w:bCs/>
          <w:color w:val="auto"/>
          <w:kern w:val="0"/>
          <w:sz w:val="21"/>
          <w:szCs w:val="21"/>
          <w:highlight w:val="none"/>
        </w:rPr>
        <w:t>。</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kern w:val="0"/>
          <w:sz w:val="21"/>
          <w:szCs w:val="21"/>
          <w:highlight w:val="none"/>
        </w:rPr>
        <w:t>5、卫生保洁服务中各类设备、消耗品、客用品、防滑地垫、防撞条等由服务厂家提供，不另行计算费用。</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6、负责协助处理</w:t>
      </w:r>
      <w:r>
        <w:rPr>
          <w:rFonts w:hint="eastAsia" w:asciiTheme="minorEastAsia" w:hAnsiTheme="minorEastAsia" w:eastAsiaTheme="minorEastAsia" w:cstheme="minorEastAsia"/>
          <w:bCs/>
          <w:color w:val="auto"/>
          <w:kern w:val="0"/>
          <w:sz w:val="21"/>
          <w:szCs w:val="21"/>
          <w:highlight w:val="none"/>
        </w:rPr>
        <w:t>服务范围</w:t>
      </w:r>
      <w:r>
        <w:rPr>
          <w:rFonts w:hint="eastAsia" w:asciiTheme="minorEastAsia" w:hAnsiTheme="minorEastAsia" w:eastAsiaTheme="minorEastAsia" w:cstheme="minorEastAsia"/>
          <w:color w:val="auto"/>
          <w:sz w:val="21"/>
          <w:szCs w:val="21"/>
          <w:highlight w:val="none"/>
        </w:rPr>
        <w:t>内的应急突发事件处理及重大活动的保障。</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7、参与</w:t>
      </w:r>
      <w:r>
        <w:rPr>
          <w:rFonts w:hint="eastAsia" w:asciiTheme="minorEastAsia" w:hAnsiTheme="minorEastAsia" w:eastAsiaTheme="minorEastAsia" w:cstheme="minorEastAsia"/>
          <w:bCs/>
          <w:color w:val="auto"/>
          <w:kern w:val="0"/>
          <w:sz w:val="21"/>
          <w:szCs w:val="21"/>
          <w:highlight w:val="none"/>
        </w:rPr>
        <w:t>服务范围内</w:t>
      </w:r>
      <w:r>
        <w:rPr>
          <w:rFonts w:hint="eastAsia" w:asciiTheme="minorEastAsia" w:hAnsiTheme="minorEastAsia" w:eastAsiaTheme="minorEastAsia" w:cstheme="minorEastAsia"/>
          <w:color w:val="auto"/>
          <w:sz w:val="21"/>
          <w:szCs w:val="21"/>
          <w:highlight w:val="none"/>
        </w:rPr>
        <w:t>水、电、空调节能管理，工作中注重节约用水、节约用电、随手关窗等。</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8、协助医院开展后勤信息化建设，配合使用信息化软件，从而更好的提升服务质量。</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9、负责</w:t>
      </w:r>
      <w:r>
        <w:rPr>
          <w:rFonts w:hint="eastAsia" w:asciiTheme="minorEastAsia" w:hAnsiTheme="minorEastAsia" w:eastAsiaTheme="minorEastAsia" w:cstheme="minorEastAsia"/>
          <w:bCs/>
          <w:color w:val="auto"/>
          <w:kern w:val="0"/>
          <w:sz w:val="21"/>
          <w:szCs w:val="21"/>
          <w:highlight w:val="none"/>
        </w:rPr>
        <w:t>服务范围</w:t>
      </w:r>
      <w:r>
        <w:rPr>
          <w:rFonts w:hint="eastAsia" w:asciiTheme="minorEastAsia" w:hAnsiTheme="minorEastAsia" w:eastAsiaTheme="minorEastAsia" w:cstheme="minorEastAsia"/>
          <w:color w:val="auto"/>
          <w:sz w:val="21"/>
          <w:szCs w:val="21"/>
          <w:highlight w:val="none"/>
        </w:rPr>
        <w:t>内物品搬运工作。</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10、负责</w:t>
      </w:r>
      <w:r>
        <w:rPr>
          <w:rFonts w:hint="eastAsia" w:asciiTheme="minorEastAsia" w:hAnsiTheme="minorEastAsia" w:eastAsiaTheme="minorEastAsia" w:cstheme="minorEastAsia"/>
          <w:bCs/>
          <w:color w:val="auto"/>
          <w:kern w:val="0"/>
          <w:sz w:val="21"/>
          <w:szCs w:val="21"/>
          <w:highlight w:val="none"/>
        </w:rPr>
        <w:t>服务范围</w:t>
      </w:r>
      <w:r>
        <w:rPr>
          <w:rFonts w:hint="eastAsia" w:asciiTheme="minorEastAsia" w:hAnsiTheme="minorEastAsia" w:eastAsiaTheme="minorEastAsia" w:cstheme="minorEastAsia"/>
          <w:color w:val="auto"/>
          <w:sz w:val="21"/>
          <w:szCs w:val="21"/>
          <w:highlight w:val="none"/>
        </w:rPr>
        <w:t>内控烟宣传工作。</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11、负责</w:t>
      </w:r>
      <w:r>
        <w:rPr>
          <w:rFonts w:hint="eastAsia" w:asciiTheme="minorEastAsia" w:hAnsiTheme="minorEastAsia" w:eastAsiaTheme="minorEastAsia" w:cstheme="minorEastAsia"/>
          <w:bCs/>
          <w:color w:val="auto"/>
          <w:kern w:val="0"/>
          <w:sz w:val="21"/>
          <w:szCs w:val="21"/>
          <w:highlight w:val="none"/>
        </w:rPr>
        <w:t>服务范围</w:t>
      </w:r>
      <w:r>
        <w:rPr>
          <w:rFonts w:hint="eastAsia" w:asciiTheme="minorEastAsia" w:hAnsiTheme="minorEastAsia" w:eastAsiaTheme="minorEastAsia" w:cstheme="minorEastAsia"/>
          <w:color w:val="auto"/>
          <w:sz w:val="21"/>
          <w:szCs w:val="21"/>
          <w:highlight w:val="none"/>
        </w:rPr>
        <w:t>内特殊天气情况下如雨雪天的安全保障工作，及时清理院内地面水渍、路面积水、积雪，做好铲冰除雪等工作。同时需要做好地面防滑措施和地面湿滑的提示工作。</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w:t>
      </w:r>
      <w:r>
        <w:rPr>
          <w:rFonts w:hint="eastAsia" w:asciiTheme="minorEastAsia" w:hAnsiTheme="minorEastAsia" w:eastAsiaTheme="minorEastAsia" w:cstheme="minorEastAsia"/>
          <w:color w:val="auto"/>
          <w:sz w:val="21"/>
          <w:szCs w:val="21"/>
          <w:highlight w:val="none"/>
          <w:lang w:eastAsia="zh-CN"/>
        </w:rPr>
        <w:t>公共区域保洁员同时负责保洁区域的巡视，有设备设施损坏、丢失的，应及时打电话保修</w:t>
      </w:r>
      <w:r>
        <w:rPr>
          <w:rFonts w:hint="eastAsia" w:asciiTheme="minorEastAsia" w:hAnsiTheme="minorEastAsia" w:eastAsiaTheme="minorEastAsia" w:cstheme="minorEastAsia"/>
          <w:color w:val="auto"/>
          <w:sz w:val="21"/>
          <w:szCs w:val="21"/>
          <w:highlight w:val="none"/>
        </w:rPr>
        <w:t>。</w:t>
      </w:r>
    </w:p>
    <w:p>
      <w:pPr>
        <w:pStyle w:val="2"/>
        <w:ind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13、乙方如违反消防相关规定或因12345、医院8585投诉被定为有责任的，按照医院相关制度予以处罚，从服务费中扣除。</w:t>
      </w:r>
    </w:p>
    <w:p>
      <w:pPr>
        <w:pStyle w:val="2"/>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bidi="ar-SA"/>
        </w:rPr>
        <w:t>14、针对公共卫生事件，应组建消毒大队，提供超雾化喷雾器等消毒设备和含氯消毒剂、二氧化氯消毒剂等，以完成终末消毒工作。</w:t>
      </w:r>
    </w:p>
    <w:p>
      <w:pP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三、</w:t>
      </w:r>
      <w:r>
        <w:rPr>
          <w:rFonts w:hint="eastAsia" w:asciiTheme="minorEastAsia" w:hAnsiTheme="minorEastAsia" w:eastAsiaTheme="minorEastAsia" w:cstheme="minorEastAsia"/>
          <w:b/>
          <w:color w:val="auto"/>
          <w:sz w:val="21"/>
          <w:szCs w:val="21"/>
          <w:highlight w:val="none"/>
        </w:rPr>
        <w:t>卫生保洁服务项目</w:t>
      </w:r>
      <w:r>
        <w:rPr>
          <w:rFonts w:hint="eastAsia" w:asciiTheme="minorEastAsia" w:hAnsiTheme="minorEastAsia" w:eastAsiaTheme="minorEastAsia" w:cstheme="minorEastAsia"/>
          <w:b/>
          <w:bCs/>
          <w:color w:val="auto"/>
          <w:kern w:val="0"/>
          <w:sz w:val="21"/>
          <w:szCs w:val="21"/>
          <w:highlight w:val="none"/>
        </w:rPr>
        <w:t>要求</w:t>
      </w:r>
    </w:p>
    <w:p>
      <w:pP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color w:val="auto"/>
          <w:sz w:val="21"/>
          <w:szCs w:val="21"/>
          <w:highlight w:val="none"/>
        </w:rPr>
        <w:t>（一）总体要求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1、乙方管理要求</w:t>
      </w:r>
      <w:r>
        <w:rPr>
          <w:rFonts w:hint="eastAsia" w:asciiTheme="minorEastAsia" w:hAnsiTheme="minorEastAsia" w:eastAsiaTheme="minorEastAsia" w:cstheme="minorEastAsia"/>
          <w:b/>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rPr>
        <w:t>需具备承担三级甲等综合医院保洁服务需求的能力，需能够执行甲方规定的保洁服务管理要求，根据功能区域需要，乙方应为员工配备基本的个人安全防护用品，如一次性外科和防护口罩、一次性手套、工作帽和一次性医用帽、一次性隔离衣、一次性防护服、一次性鞋套、一次性靴套、护目镜（屏）、围裙、胶鞋等。</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2、保洁用具用品使用要求：</w:t>
      </w:r>
    </w:p>
    <w:p>
      <w:pPr>
        <w:numPr>
          <w:ilvl w:val="0"/>
          <w:numId w:val="1"/>
        </w:numPr>
        <w:adjustRightInd w:val="0"/>
        <w:snapToGrid w:val="0"/>
        <w:ind w:firstLine="1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每个卫生间需配备喷香剂、卫生纸、洗手液、小便滤洁； </w:t>
      </w:r>
    </w:p>
    <w:p>
      <w:pPr>
        <w:numPr>
          <w:ilvl w:val="0"/>
          <w:numId w:val="1"/>
        </w:numPr>
        <w:adjustRightInd w:val="0"/>
        <w:snapToGrid w:val="0"/>
        <w:ind w:firstLine="1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保洁棉织品集中洗涤消毒，毛巾至少分5色，分类、分区使用；</w:t>
      </w:r>
    </w:p>
    <w:p>
      <w:pPr>
        <w:numPr>
          <w:ilvl w:val="0"/>
          <w:numId w:val="1"/>
        </w:numPr>
        <w:adjustRightInd w:val="0"/>
        <w:snapToGrid w:val="0"/>
        <w:ind w:firstLine="1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保洁服务使用的垃圾袋(黑色和黄色)、消毒剂、洗涤剂、机械保洁维护剂和客用品等消耗物品均包含在合同金额内；</w:t>
      </w:r>
    </w:p>
    <w:p>
      <w:pPr>
        <w:numPr>
          <w:ilvl w:val="0"/>
          <w:numId w:val="1"/>
        </w:numPr>
        <w:adjustRightInd w:val="0"/>
        <w:snapToGrid w:val="0"/>
        <w:ind w:firstLine="120"/>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上述物品应使用符合国家质量及环保标准认证，由正规厂家生产的品牌类产品，产品质量等同于金佰利品牌；</w:t>
      </w:r>
    </w:p>
    <w:p>
      <w:pPr>
        <w:numPr>
          <w:ilvl w:val="0"/>
          <w:numId w:val="1"/>
        </w:numPr>
        <w:adjustRightInd w:val="0"/>
        <w:snapToGrid w:val="0"/>
        <w:ind w:firstLine="1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垃圾桶由甲方提供</w:t>
      </w:r>
      <w:r>
        <w:rPr>
          <w:rFonts w:hint="eastAsia" w:asciiTheme="minorEastAsia" w:hAnsiTheme="minorEastAsia" w:eastAsiaTheme="minorEastAsia" w:cstheme="minorEastAsia"/>
          <w:b/>
          <w:bCs/>
          <w:color w:val="auto"/>
          <w:kern w:val="0"/>
          <w:sz w:val="21"/>
          <w:szCs w:val="21"/>
          <w:highlight w:val="none"/>
        </w:rPr>
        <w:t>。</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3、清洁设备要求</w:t>
      </w:r>
      <w:r>
        <w:rPr>
          <w:rFonts w:hint="eastAsia" w:asciiTheme="minorEastAsia" w:hAnsiTheme="minorEastAsia" w:eastAsiaTheme="minorEastAsia" w:cstheme="minorEastAsia"/>
          <w:color w:val="auto"/>
          <w:kern w:val="0"/>
          <w:sz w:val="21"/>
          <w:szCs w:val="21"/>
          <w:highlight w:val="none"/>
          <w:lang w:eastAsia="zh-CN"/>
        </w:rPr>
        <w:t>及清洁必要设备数量表</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清洁设备配备应包括但不限于吸水吸尘机、</w:t>
      </w:r>
      <w:r>
        <w:rPr>
          <w:rFonts w:hint="eastAsia" w:asciiTheme="minorEastAsia" w:hAnsiTheme="minorEastAsia" w:eastAsiaTheme="minorEastAsia" w:cstheme="minorEastAsia"/>
          <w:color w:val="auto"/>
          <w:kern w:val="0"/>
          <w:sz w:val="21"/>
          <w:szCs w:val="21"/>
          <w:highlight w:val="none"/>
          <w:lang w:val="en-US" w:eastAsia="zh-CN"/>
        </w:rPr>
        <w:t>洗地机</w:t>
      </w:r>
      <w:r>
        <w:rPr>
          <w:rFonts w:hint="eastAsia" w:asciiTheme="minorEastAsia" w:hAnsiTheme="minorEastAsia" w:eastAsiaTheme="minorEastAsia" w:cstheme="minorEastAsia"/>
          <w:color w:val="auto"/>
          <w:kern w:val="0"/>
          <w:sz w:val="21"/>
          <w:szCs w:val="21"/>
          <w:highlight w:val="none"/>
        </w:rPr>
        <w:t>、吹风机、多功能清洁车、吸尘器、</w:t>
      </w:r>
      <w:r>
        <w:rPr>
          <w:rFonts w:hint="eastAsia" w:asciiTheme="minorEastAsia" w:hAnsiTheme="minorEastAsia" w:eastAsiaTheme="minorEastAsia" w:cstheme="minorEastAsia"/>
          <w:color w:val="auto"/>
          <w:kern w:val="0"/>
          <w:sz w:val="21"/>
          <w:szCs w:val="21"/>
          <w:highlight w:val="none"/>
          <w:lang w:val="en-US" w:eastAsia="zh-CN"/>
        </w:rPr>
        <w:t>高压水枪</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单刷机</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抛光机</w:t>
      </w:r>
      <w:r>
        <w:rPr>
          <w:rFonts w:hint="eastAsia" w:asciiTheme="minorEastAsia" w:hAnsiTheme="minorEastAsia" w:eastAsiaTheme="minorEastAsia" w:cstheme="minorEastAsia"/>
          <w:color w:val="auto"/>
          <w:kern w:val="0"/>
          <w:sz w:val="21"/>
          <w:szCs w:val="21"/>
          <w:highlight w:val="none"/>
        </w:rPr>
        <w:t>等，数量、型号、品质应适用于本项目，乙方建立设备台账，供甲方随时抽查。清洁设备由乙方自行配备、维护、维修、使用。</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p>
    <w:tbl>
      <w:tblPr>
        <w:tblStyle w:val="9"/>
        <w:tblW w:w="84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35"/>
        <w:gridCol w:w="2505"/>
        <w:gridCol w:w="2385"/>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430" w:type="dxa"/>
            <w:gridSpan w:val="4"/>
            <w:tcBorders>
              <w:top w:val="single" w:color="auto" w:sz="4" w:space="0"/>
              <w:left w:val="single" w:color="auto" w:sz="4" w:space="0"/>
              <w:bottom w:val="nil"/>
              <w:right w:val="single" w:color="auto"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清洁必要设备数量表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335"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序号</w:t>
            </w:r>
          </w:p>
        </w:tc>
        <w:tc>
          <w:tcPr>
            <w:tcW w:w="250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设备名称</w:t>
            </w:r>
          </w:p>
        </w:tc>
        <w:tc>
          <w:tcPr>
            <w:tcW w:w="238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adjustRightInd w:val="0"/>
              <w:snapToGrid w:val="0"/>
              <w:ind w:firstLine="630" w:firstLineChars="3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设备数量/台（推荐数量）</w:t>
            </w:r>
          </w:p>
        </w:tc>
        <w:tc>
          <w:tcPr>
            <w:tcW w:w="2205"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设备年限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3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1</w:t>
            </w:r>
          </w:p>
        </w:tc>
        <w:tc>
          <w:tcPr>
            <w:tcW w:w="250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吸水吸尘机</w:t>
            </w:r>
          </w:p>
        </w:tc>
        <w:tc>
          <w:tcPr>
            <w:tcW w:w="238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6</w:t>
            </w:r>
          </w:p>
        </w:tc>
        <w:tc>
          <w:tcPr>
            <w:tcW w:w="220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2</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洗地机</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3</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吹风机</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2</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多功能清洁车</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44</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5</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吸尘器</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1</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6</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高压水枪</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1</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7</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单刷机</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5</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8</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 xml:space="preserve">   抛光机</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1</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全新（五年折旧）</w:t>
            </w:r>
          </w:p>
        </w:tc>
      </w:tr>
    </w:tbl>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4、保洁人员要求：</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现场服务含管理人员总人数不低于97人，</w:t>
      </w:r>
      <w:r>
        <w:rPr>
          <w:rFonts w:hint="eastAsia" w:asciiTheme="minorEastAsia" w:hAnsiTheme="minorEastAsia" w:eastAsiaTheme="minorEastAsia" w:cstheme="minorEastAsia"/>
          <w:color w:val="auto"/>
          <w:kern w:val="0"/>
          <w:sz w:val="21"/>
          <w:szCs w:val="21"/>
          <w:highlight w:val="none"/>
        </w:rPr>
        <w:t>必须具备初中以上文化程度，18－55岁之间，身体健康，</w:t>
      </w:r>
      <w:r>
        <w:rPr>
          <w:rFonts w:hint="eastAsia" w:asciiTheme="minorEastAsia" w:hAnsiTheme="minorEastAsia" w:eastAsiaTheme="minorEastAsia" w:cstheme="minorEastAsia"/>
          <w:color w:val="auto"/>
          <w:sz w:val="21"/>
          <w:szCs w:val="21"/>
          <w:highlight w:val="none"/>
        </w:rPr>
        <w:t>在院内工作所有保洁人员均需持有由当地疾病预防控制中心办理的“北京市公共卫生从业人员健康体检合格证”</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sz w:val="21"/>
          <w:szCs w:val="21"/>
          <w:highlight w:val="none"/>
        </w:rPr>
        <w:t>政审合格，本人及家庭或直系亲属无不良记录，一律经背景审查合格，采取实名制并签订国家规定的劳动合同、签订安全生产责任书等相关文件</w:t>
      </w:r>
      <w:r>
        <w:rPr>
          <w:rFonts w:hint="eastAsia" w:asciiTheme="minorEastAsia" w:hAnsiTheme="minorEastAsia" w:eastAsiaTheme="minorEastAsia" w:cstheme="minorEastAsia"/>
          <w:color w:val="auto"/>
          <w:kern w:val="0"/>
          <w:sz w:val="21"/>
          <w:szCs w:val="21"/>
          <w:highlight w:val="none"/>
        </w:rPr>
        <w:t>。</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管理人员有三甲医院工作经验及现场培训能力</w:t>
      </w:r>
      <w:r>
        <w:rPr>
          <w:rFonts w:hint="eastAsia" w:asciiTheme="minorEastAsia" w:hAnsiTheme="minorEastAsia" w:eastAsiaTheme="minorEastAsia" w:cstheme="minorEastAsia"/>
          <w:color w:val="auto"/>
          <w:kern w:val="0"/>
          <w:sz w:val="21"/>
          <w:szCs w:val="21"/>
          <w:highlight w:val="none"/>
          <w:lang w:eastAsia="zh-CN"/>
        </w:rPr>
        <w:t>，且</w:t>
      </w:r>
      <w:r>
        <w:rPr>
          <w:rFonts w:hint="eastAsia" w:asciiTheme="minorEastAsia" w:hAnsiTheme="minorEastAsia" w:eastAsiaTheme="minorEastAsia" w:cstheme="minorEastAsia"/>
          <w:color w:val="auto"/>
          <w:kern w:val="0"/>
          <w:sz w:val="21"/>
          <w:szCs w:val="21"/>
          <w:highlight w:val="none"/>
        </w:rPr>
        <w:t>至少一人应参加消毒员培训并获得培训证书</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服务人员对工作认真负责，服从管理，诚实、踏实、肯干、有连续工作一年以上的能力，挂胸牌着工装（乙方提供），应熟知保洁区域的功能划分，掌握工作操作规程和相关的消毒隔离基本知识并严格执行。所有服务人员均由乙方进行岗位知识培训后上岗。</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乙方配置的管理岗位应与保洁员日常管理相匹配，应保证保洁员配置充足，完成招标文件要求的各项服务内容。并且提供为本项目配备的管理岗（应包括项目经理和项目主管）人数和普通岗人数，管理岗人员的年龄、学历、业绩、资质等情况，普通岗人员的</w:t>
      </w:r>
      <w:r>
        <w:rPr>
          <w:rFonts w:hint="eastAsia" w:asciiTheme="minorEastAsia" w:hAnsiTheme="minorEastAsia" w:eastAsiaTheme="minorEastAsia" w:cstheme="minorEastAsia"/>
          <w:color w:val="auto"/>
          <w:kern w:val="0"/>
          <w:sz w:val="21"/>
          <w:szCs w:val="21"/>
          <w:highlight w:val="none"/>
        </w:rPr>
        <w:t>数量、年龄、身高、文化程度、工作经验</w:t>
      </w:r>
      <w:r>
        <w:rPr>
          <w:rFonts w:hint="eastAsia" w:asciiTheme="minorEastAsia" w:hAnsiTheme="minorEastAsia" w:eastAsiaTheme="minorEastAsia" w:cstheme="minorEastAsia"/>
          <w:color w:val="auto"/>
          <w:sz w:val="21"/>
          <w:szCs w:val="21"/>
          <w:highlight w:val="none"/>
        </w:rPr>
        <w:t>等情况。</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合理安排人员设置及工作时间，按照岗位设置定岗定编，每天工作开始时间不得晚于6：30，每天工作结束时间不得早于18：00，特殊岗位（手术室、导管手术室、ICU、隔离病房等）另有规定的，按规定执行；根据医院院感工作要求，各岗位保洁员应相对固定，特别是重点区域保洁员</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保洁员分级管理，可分为初、中、高三级，考核合格才能晋级</w:t>
      </w:r>
      <w:r>
        <w:rPr>
          <w:rFonts w:hint="eastAsia" w:asciiTheme="minorEastAsia" w:hAnsiTheme="minorEastAsia" w:eastAsiaTheme="minorEastAsia" w:cstheme="minorEastAsia"/>
          <w:color w:val="auto"/>
          <w:kern w:val="0"/>
          <w:sz w:val="21"/>
          <w:szCs w:val="21"/>
          <w:highlight w:val="none"/>
          <w:lang w:eastAsia="zh-CN"/>
        </w:rPr>
        <w:t>，重点区域（</w:t>
      </w:r>
      <w:r>
        <w:rPr>
          <w:rFonts w:hint="eastAsia" w:asciiTheme="minorEastAsia" w:hAnsiTheme="minorEastAsia" w:eastAsiaTheme="minorEastAsia" w:cstheme="minorEastAsia"/>
          <w:color w:val="auto"/>
          <w:kern w:val="0"/>
          <w:sz w:val="21"/>
          <w:szCs w:val="21"/>
          <w:highlight w:val="none"/>
        </w:rPr>
        <w:t>手术室、ICU、血透等</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应由高级保洁员承担或至少达到一定比例，在指导下完成环境清洁消毒工作</w:t>
      </w:r>
      <w:r>
        <w:rPr>
          <w:rFonts w:hint="eastAsia" w:asciiTheme="minorEastAsia" w:hAnsiTheme="minorEastAsia" w:eastAsiaTheme="minorEastAsia" w:cstheme="minorEastAsia"/>
          <w:color w:val="auto"/>
          <w:kern w:val="0"/>
          <w:sz w:val="21"/>
          <w:szCs w:val="21"/>
          <w:highlight w:val="none"/>
          <w:lang w:eastAsia="zh-CN"/>
        </w:rPr>
        <w:t>，新入职员工不得直接安排至重点区域工作</w:t>
      </w:r>
      <w:r>
        <w:rPr>
          <w:rFonts w:hint="eastAsia" w:asciiTheme="minorEastAsia" w:hAnsiTheme="minorEastAsia" w:eastAsiaTheme="minorEastAsia" w:cstheme="minorEastAsia"/>
          <w:color w:val="auto"/>
          <w:kern w:val="0"/>
          <w:sz w:val="21"/>
          <w:szCs w:val="21"/>
          <w:highlight w:val="none"/>
        </w:rPr>
        <w:t>。固定手术室保洁人员，其人员数量不应少于38人；人流量大的公共卫生间要做到有专人清洁（男卫生间由男保洁员打扫、女卫生间由女保洁员打扫），合理设置必要的机动人员及必要的人员储备，以满足甲方的应急保洁需求。根据实际工作需要，基本满足全周7天工作。</w:t>
      </w:r>
    </w:p>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6、管理人员应主动加强巡视（主管每周不得少于两次、经理每月不少于两次），增加巡视频次，善于发现问题并积极整改，同时对于甲方或监管方提出的问题能做到举一反三，不断提升服务质量。</w:t>
      </w:r>
    </w:p>
    <w:tbl>
      <w:tblPr>
        <w:tblStyle w:val="9"/>
        <w:tblW w:w="84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60"/>
        <w:gridCol w:w="4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43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保洁服务项目三标段岗位配置表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4260" w:type="dxa"/>
            <w:tcBorders>
              <w:top w:val="single" w:color="auto" w:sz="4" w:space="0"/>
              <w:left w:val="single" w:color="auto" w:sz="4" w:space="0"/>
              <w:bottom w:val="single" w:color="auto" w:sz="4" w:space="0"/>
              <w:right w:val="single" w:color="000000" w:sz="4" w:space="0"/>
            </w:tcBorders>
            <w:shd w:val="clear" w:color="auto" w:fill="D9D9D9"/>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区  域</w:t>
            </w:r>
          </w:p>
        </w:tc>
        <w:tc>
          <w:tcPr>
            <w:tcW w:w="4170" w:type="dxa"/>
            <w:tcBorders>
              <w:top w:val="single" w:color="auto" w:sz="4" w:space="0"/>
              <w:left w:val="single" w:color="000000" w:sz="4" w:space="0"/>
              <w:bottom w:val="single" w:color="auto" w:sz="4" w:space="0"/>
              <w:right w:val="single" w:color="auto" w:sz="4" w:space="0"/>
            </w:tcBorders>
            <w:shd w:val="clear" w:color="auto" w:fill="D9D9D9"/>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建议人员配置总数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426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B1区-研究所及行政楼</w:t>
            </w:r>
          </w:p>
        </w:tc>
        <w:tc>
          <w:tcPr>
            <w:tcW w:w="4170"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426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B2区-国际部</w:t>
            </w:r>
          </w:p>
        </w:tc>
        <w:tc>
          <w:tcPr>
            <w:tcW w:w="41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4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C1区-教学宿舍楼</w:t>
            </w:r>
          </w:p>
        </w:tc>
        <w:tc>
          <w:tcPr>
            <w:tcW w:w="4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4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C2区-忠诚楼</w:t>
            </w:r>
          </w:p>
        </w:tc>
        <w:tc>
          <w:tcPr>
            <w:tcW w:w="417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AB连廊及地下步行梯、通道、专项、搬运工、管理人员</w:t>
            </w:r>
          </w:p>
        </w:tc>
        <w:tc>
          <w:tcPr>
            <w:tcW w:w="4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4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合计</w:t>
            </w:r>
          </w:p>
        </w:tc>
        <w:tc>
          <w:tcPr>
            <w:tcW w:w="4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 xml:space="preserve">    97</w:t>
            </w:r>
          </w:p>
        </w:tc>
      </w:tr>
    </w:tbl>
    <w:p>
      <w:pPr>
        <w:adjustRightInd w:val="0"/>
        <w:snapToGrid w:val="0"/>
        <w:ind w:firstLine="420" w:firstLineChars="200"/>
        <w:rPr>
          <w:rFonts w:hint="eastAsia" w:asciiTheme="minorEastAsia" w:hAnsiTheme="minorEastAsia" w:eastAsiaTheme="minorEastAsia" w:cstheme="minorEastAsia"/>
          <w:color w:val="auto"/>
          <w:kern w:val="0"/>
          <w:sz w:val="21"/>
          <w:szCs w:val="21"/>
          <w:highlight w:val="none"/>
        </w:rPr>
      </w:pPr>
    </w:p>
    <w:p>
      <w:pPr>
        <w:pStyle w:val="4"/>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sz w:val="21"/>
          <w:szCs w:val="21"/>
          <w:highlight w:val="none"/>
        </w:rPr>
        <w:t xml:space="preserve"> </w:t>
      </w:r>
      <w:r>
        <w:rPr>
          <w:rFonts w:hint="eastAsia" w:asciiTheme="minorEastAsia" w:hAnsiTheme="minorEastAsia" w:eastAsiaTheme="minorEastAsia" w:cstheme="minorEastAsia"/>
          <w:b/>
          <w:color w:val="auto"/>
          <w:kern w:val="0"/>
          <w:sz w:val="21"/>
          <w:szCs w:val="21"/>
          <w:highlight w:val="none"/>
        </w:rPr>
        <w:t>（二）员工基本素质要求</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1、仪容仪表：统一着工装、工鞋（乙方提供），穿着整洁，仪表端庄。</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2、行为举止：精神饱满、诚实稳重、言谈举止文明、不大声喧哗。</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3、文明礼貌，尊重他人、态度和蔼、保护病人隐私、使用文明用语。</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4、遵纪守法、遵守操作规程、遵守劳动纪律、遵守医院规章制度。</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5、具备医院保洁基本知识，岗前培训考核合格后上岗，保障病人及医疗环境安全，做好个人防护。</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6、工装要求</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（1）保洁服装由甲方核定服装样式及颜色，乙方支付服装费用；</w:t>
      </w:r>
    </w:p>
    <w:p>
      <w:pPr>
        <w:adjustRightInd w:val="0"/>
        <w:snapToGrid w:val="0"/>
        <w:ind w:firstLine="420" w:firstLineChars="20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color w:val="auto"/>
          <w:kern w:val="10"/>
          <w:sz w:val="21"/>
          <w:szCs w:val="21"/>
          <w:highlight w:val="none"/>
        </w:rPr>
        <w:t>（2）保洁服装由乙方负责清洗，清洁费用由乙方自付，每周至少清洗2次。</w:t>
      </w:r>
    </w:p>
    <w:p>
      <w:pPr>
        <w:adjustRightInd w:val="0"/>
        <w:snapToGrid w:val="0"/>
        <w:rPr>
          <w:rFonts w:hint="eastAsia" w:asciiTheme="minorEastAsia" w:hAnsiTheme="minorEastAsia" w:eastAsiaTheme="minorEastAsia" w:cstheme="minorEastAsia"/>
          <w:color w:val="auto"/>
          <w:kern w:val="10"/>
          <w:sz w:val="21"/>
          <w:szCs w:val="21"/>
          <w:highlight w:val="none"/>
        </w:rPr>
      </w:pPr>
      <w:r>
        <w:rPr>
          <w:rFonts w:hint="eastAsia" w:asciiTheme="minorEastAsia" w:hAnsiTheme="minorEastAsia" w:eastAsiaTheme="minorEastAsia" w:cstheme="minorEastAsia"/>
          <w:b/>
          <w:color w:val="auto"/>
          <w:kern w:val="0"/>
          <w:sz w:val="21"/>
          <w:szCs w:val="21"/>
          <w:highlight w:val="none"/>
        </w:rPr>
        <w:t>（三）卫生保洁标准</w:t>
      </w:r>
      <w:r>
        <w:rPr>
          <w:rFonts w:hint="eastAsia" w:asciiTheme="minorEastAsia" w:hAnsiTheme="minorEastAsia" w:eastAsiaTheme="minorEastAsia" w:cstheme="minorEastAsia"/>
          <w:b/>
          <w:color w:val="auto"/>
          <w:sz w:val="21"/>
          <w:szCs w:val="21"/>
          <w:highlight w:val="none"/>
        </w:rPr>
        <w:t xml:space="preserve">          </w:t>
      </w:r>
    </w:p>
    <w:p>
      <w:pPr>
        <w:autoSpaceDE w:val="0"/>
        <w:autoSpaceDN w:val="0"/>
        <w:adjustRightInd w:val="0"/>
        <w:snapToGrid w:val="0"/>
        <w:ind w:firstLine="422" w:firstLineChars="200"/>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1、楼内大厅、走廊保洁标准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(1)地面：表面洁净、无尘土、污迹、烟头、纸屑、油渍及垃圾</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(2)墙面，踢脚线：无尘土、污迹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(3)照明灯具：无尘土</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10"/>
          <w:sz w:val="21"/>
          <w:szCs w:val="21"/>
          <w:highlight w:val="none"/>
        </w:rPr>
        <w:t>(4)</w:t>
      </w:r>
      <w:r>
        <w:rPr>
          <w:rFonts w:hint="eastAsia" w:asciiTheme="minorEastAsia" w:hAnsiTheme="minorEastAsia" w:eastAsiaTheme="minorEastAsia" w:cstheme="minorEastAsia"/>
          <w:color w:val="auto"/>
          <w:kern w:val="0"/>
          <w:sz w:val="21"/>
          <w:szCs w:val="21"/>
          <w:highlight w:val="none"/>
        </w:rPr>
        <w:t>各房间门，通道门：无尘土、污迹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10"/>
          <w:sz w:val="21"/>
          <w:szCs w:val="21"/>
          <w:highlight w:val="none"/>
        </w:rPr>
        <w:t>(5)</w:t>
      </w:r>
      <w:r>
        <w:rPr>
          <w:rFonts w:hint="eastAsia" w:asciiTheme="minorEastAsia" w:hAnsiTheme="minorEastAsia" w:eastAsiaTheme="minorEastAsia" w:cstheme="minorEastAsia"/>
          <w:color w:val="auto"/>
          <w:kern w:val="0"/>
          <w:sz w:val="21"/>
          <w:szCs w:val="21"/>
          <w:highlight w:val="none"/>
        </w:rPr>
        <w:t>不锈钢面：污点、污渍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(6)装饰物：盆、座、框表洁净无尘土，墙饰物等表面无尘土</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(7)垃圾桶：桶内垃圾不超过容积的2/3，内外表面洁净</w:t>
      </w:r>
    </w:p>
    <w:p>
      <w:pPr>
        <w:tabs>
          <w:tab w:val="center" w:pos="4153"/>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(8)候诊椅、护士站：摆放整齐，表面洁净、无尘土、污迹、烟头、纸屑、油渍及垃圾</w:t>
      </w:r>
    </w:p>
    <w:p>
      <w:pPr>
        <w:tabs>
          <w:tab w:val="center" w:pos="4153"/>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(9)院内自助挂号机、ATM机等辅助就诊设施及便民服务设施：无尘土、污迹、油渍及垃圾</w:t>
      </w:r>
    </w:p>
    <w:p>
      <w:pPr>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18"/>
          <w:sz w:val="21"/>
          <w:szCs w:val="21"/>
          <w:highlight w:val="none"/>
        </w:rPr>
        <w:t>(10)公共区域消火栓：定期清洁、无尘土、污迹</w:t>
      </w:r>
    </w:p>
    <w:p>
      <w:pPr>
        <w:autoSpaceDE w:val="0"/>
        <w:autoSpaceDN w:val="0"/>
        <w:adjustRightInd w:val="0"/>
        <w:snapToGrid w:val="0"/>
        <w:ind w:firstLine="422" w:firstLineChars="200"/>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2、公共区域、教学楼及病房卫生间保洁标准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(1)卫生间：无异味、蚊蝇</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(2)地面：无尘土、碎纸、垃圾、烟头、积水、尿迹、污迹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(3)洗手池：池壁无污垢、痰迹及头发等不洁物</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(4)水龙头：无印迹、尘土、污物</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(5)洗手池台面：无水迹、尘土、污渍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(6)镜面：无水点、水迹、尘土、污迹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(7)小便器：无尿碱、水锈、印迹（黄渍）、污渍、喷水嘴洁净流畅。</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(8)大便器：内外洁净、无大便痕迹、污垢黄迹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(9)手纸架：无印迹、污渍、光亮洁净</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(10)纸篓：污物量不超过桶体２／３，内外表面洁净</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(11)墙面，踢脚线：无尘土、污迹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(12)顶板：无尘土、污迹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(13)隔板：无尘土、污迹、手印、笔迹、小广告</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(14)门板，把手：无尘土、污迹、手印、笔迹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(15)皂液盒：无水迹、尘土、污物，按时清洗消毒</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(16)烘手器：无水迹、尘土、污渍</w:t>
      </w:r>
    </w:p>
    <w:p>
      <w:pPr>
        <w:ind w:firstLine="420" w:firstLineChars="200"/>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(17)通风口定期保洁、无灰尘</w:t>
      </w:r>
    </w:p>
    <w:p>
      <w:pPr>
        <w:ind w:firstLine="420" w:firstLineChars="200"/>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(18)洗手液、滤洁、卫生纸及时补充，定期更换喷香罐</w:t>
      </w:r>
    </w:p>
    <w:p>
      <w:pPr>
        <w:ind w:firstLine="420" w:firstLineChars="200"/>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(19)保洁工具干净、摆放整齐，用完归位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(20)设施损坏及时登记、报修</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(21)门急诊卫生间专人进行值守，保持清洁无异味。</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18"/>
          <w:sz w:val="21"/>
          <w:szCs w:val="21"/>
          <w:highlight w:val="none"/>
        </w:rPr>
      </w:pPr>
      <w:r>
        <w:rPr>
          <w:rFonts w:hint="eastAsia" w:asciiTheme="minorEastAsia" w:hAnsiTheme="minorEastAsia" w:eastAsiaTheme="minorEastAsia" w:cstheme="minorEastAsia"/>
          <w:color w:val="auto"/>
          <w:kern w:val="18"/>
          <w:sz w:val="21"/>
          <w:szCs w:val="21"/>
          <w:highlight w:val="none"/>
        </w:rPr>
        <w:t>(2</w:t>
      </w:r>
      <w:r>
        <w:rPr>
          <w:rFonts w:hint="eastAsia" w:asciiTheme="minorEastAsia" w:hAnsiTheme="minorEastAsia" w:eastAsiaTheme="minorEastAsia" w:cstheme="minorEastAsia"/>
          <w:color w:val="auto"/>
          <w:kern w:val="18"/>
          <w:sz w:val="21"/>
          <w:szCs w:val="21"/>
          <w:highlight w:val="none"/>
          <w:lang w:val="en-US" w:eastAsia="zh-CN"/>
        </w:rPr>
        <w:t>2</w:t>
      </w:r>
      <w:r>
        <w:rPr>
          <w:rFonts w:hint="eastAsia" w:asciiTheme="minorEastAsia" w:hAnsiTheme="minorEastAsia" w:eastAsiaTheme="minorEastAsia" w:cstheme="minorEastAsia"/>
          <w:color w:val="auto"/>
          <w:kern w:val="18"/>
          <w:sz w:val="21"/>
          <w:szCs w:val="21"/>
          <w:highlight w:val="none"/>
        </w:rPr>
        <w:t>)</w:t>
      </w:r>
      <w:r>
        <w:rPr>
          <w:rFonts w:hint="eastAsia" w:asciiTheme="minorEastAsia" w:hAnsiTheme="minorEastAsia" w:eastAsiaTheme="minorEastAsia" w:cstheme="minorEastAsia"/>
          <w:color w:val="auto"/>
          <w:kern w:val="18"/>
          <w:sz w:val="21"/>
          <w:szCs w:val="21"/>
          <w:highlight w:val="none"/>
          <w:lang w:eastAsia="zh-CN"/>
        </w:rPr>
        <w:t>售卖机、挂号机等设备的日常清洁消毒</w:t>
      </w:r>
      <w:r>
        <w:rPr>
          <w:rFonts w:hint="eastAsia" w:asciiTheme="minorEastAsia" w:hAnsiTheme="minorEastAsia" w:eastAsiaTheme="minorEastAsia" w:cstheme="minorEastAsia"/>
          <w:color w:val="auto"/>
          <w:kern w:val="18"/>
          <w:sz w:val="21"/>
          <w:szCs w:val="21"/>
          <w:highlight w:val="none"/>
        </w:rPr>
        <w:t>。</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3、步行梯保洁标准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(1)地面：无尘土、痰迹、碎纸、烟头及垃圾杂物</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(2)墙面，踢脚线：无污迹、小广告</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(3)消防设备：表面无尘土、整洁</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(4)楼梯，电梯间，窗框，坡道：地面无尘土、烟头、痰迹、垃圾及杂物，扶手和窗框无尘土、污渍、小广告</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4、病区保洁标准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(1)地面：洁净、光亮、无尘土、烟头、痰迹、碎纸、烟头及垃圾杂物</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(2)墙面，踢脚线：无尘土、污迹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(3)窗户：明亮、无积灰</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(4)天花板：无蜘蛛网、无积灰</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(5)病床，床头柜，床架：无尘土、积灰、污渍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(6)壁柜：无积灰、污渍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(7)灯具：无厚积尘土</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(8)患者出院后</w:t>
      </w:r>
      <w:r>
        <w:rPr>
          <w:rFonts w:hint="eastAsia" w:asciiTheme="minorEastAsia" w:hAnsiTheme="minorEastAsia" w:eastAsiaTheme="minorEastAsia" w:cstheme="minorEastAsia"/>
          <w:color w:val="auto"/>
          <w:kern w:val="0"/>
          <w:sz w:val="21"/>
          <w:szCs w:val="21"/>
          <w:highlight w:val="none"/>
          <w:lang w:eastAsia="zh-CN"/>
        </w:rPr>
        <w:t>，床具一床一巾应进行终末消毒流程（需对保洁人员开展培训，按照要求完成）</w:t>
      </w:r>
      <w:r>
        <w:rPr>
          <w:rFonts w:hint="eastAsia" w:asciiTheme="minorEastAsia" w:hAnsiTheme="minorEastAsia" w:eastAsiaTheme="minorEastAsia" w:cstheme="minorEastAsia"/>
          <w:color w:val="auto"/>
          <w:kern w:val="0"/>
          <w:sz w:val="21"/>
          <w:szCs w:val="21"/>
          <w:highlight w:val="none"/>
        </w:rPr>
        <w:t>。不得私自处理病人遗留的物品</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(9)及时清理杂物和垃圾，待处理的杂物及垃圾堆放不得超过30分钟。</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(10)污物间：无异味、垃圾，室内物品摆放整洁，保洁用具分类洗消、规范悬挂晾晒、有序放置。</w:t>
      </w:r>
      <w:r>
        <w:rPr>
          <w:rFonts w:hint="eastAsia" w:asciiTheme="minorEastAsia" w:hAnsiTheme="minorEastAsia" w:eastAsiaTheme="minorEastAsia" w:cstheme="minorEastAsia"/>
          <w:b/>
          <w:color w:val="auto"/>
          <w:kern w:val="0"/>
          <w:sz w:val="21"/>
          <w:szCs w:val="21"/>
          <w:highlight w:val="none"/>
        </w:rPr>
        <w:t xml:space="preserve"> </w:t>
      </w:r>
    </w:p>
    <w:p>
      <w:pPr>
        <w:autoSpaceDE w:val="0"/>
        <w:autoSpaceDN w:val="0"/>
        <w:adjustRightInd w:val="0"/>
        <w:snapToGrid w:val="0"/>
        <w:ind w:firstLine="413" w:firstLineChars="196"/>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5、生活区、浴室、示教室及行政办公区（含护士站）保洁标准：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(1)桌椅面、窗台：无尘土、污渍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(2)地面、地毯：无污迹、异味、碎屑、渣土，云石地面清抹干净</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(3)墙面、踢脚线：无污渍、锈斑、积土</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(4)画框等饰物（手可触及）：无尘土、污渍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(5)洗手池、水龙头：无污迹、水印、锈斑</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(6)垃圾桶、碎纸机：量不超过桶体２／３，并保持桶体表面洁净</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6、手术室、ICU保洁标准：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（1）地面、墙面：光亮、无污渍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（2）门把手、桌面、窗台、治疗袋（消毒擦拭）、墙体附属物：清洁、无污渍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（3）电话机、洗手池：清洁、无污渍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（4）垃圾桶（清理、换污物袋）：无堆积、无遗漏</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（5）手术间（擦拭消毒）地面、无影灯、手术床、台面、墙面：符合消毒隔离要求清洁，手术完毕立即清理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（6）辅助间（擦拭消毒）:符合消毒隔离要求清洁</w:t>
      </w:r>
    </w:p>
    <w:p>
      <w:pPr>
        <w:autoSpaceDE w:val="0"/>
        <w:autoSpaceDN w:val="0"/>
        <w:adjustRightInd w:val="0"/>
        <w:snapToGrid w:val="0"/>
        <w:ind w:firstLine="420" w:firstLineChars="200"/>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（7）更衣室、洗澡间、办公区（擦拭消毒）:符合消毒隔离要求清洁</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7、玻璃清洁标准：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(1)对医院内所有房间、公共区域内侧玻璃进行清洁，无尘土、无水印、无污迹。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(2)对医院内所有房间、公共区域外侧玻璃（只限于一层）进行清洁，无尘土、无水印、无污迹。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(3)对辖区内所有雨搭、车库出入口玻璃表面进行清洁，无尘土、无水印、无污迹。</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8、车库环境卫生要求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(1)车库内无纸屑、塑料袋、小广告、烟头、痰迹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(2)车库内雨天及时清扫疏通，无积水，主要交通要道要有防滑措施。</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(3)车库内雪天及时清理，无积雪、积冰，主要交通要道要有防滑融冰措施。</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(4)地库内垃圾桶每日擦拭保持桶体表面洁净无污垢、痰渍，垃圾每日清理两次，量不超过桶体2/3，桶内垃圾袋及时更换。</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(5)车库排水沟每周清理，不发生封堵、阻塞现象。</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(6)车库地面每周刷洗一次，保证地面指示标识清晰。</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9、庭院内外环境卫生标准：</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(1)院内及门前三包地段无纸屑、塑料袋、小广告、烟头、痰迹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(2)院内及门前三包地段雨天及时清扫疏通，无积水，主要交通要道要有防滑措施。</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(3)院内及门前三包地段雪天及时清理，无积雪、积冰，主要交通要道要有防滑融冰措施。</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(4)院内垃圾桶每日擦拭保持桶体表面洁净无污垢、痰渍，垃圾每日清理两次，量不超过桶体2/3，桶内垃圾袋及时更换。</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(5)院内地面雨篦子每日清理，不发生封堵、阻塞现象。</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(6)院内绿地花园内无烟头、垃圾</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(7)院内楼群阳光走廊顶、露台面洁净，无烟头、垃圾。</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10、专项工作要求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专项清洁保洁工作：负责各楼层PVC地面清洁，石材日常清洗、高空管道</w:t>
      </w:r>
      <w:r>
        <w:rPr>
          <w:rFonts w:hint="eastAsia" w:asciiTheme="minorEastAsia" w:hAnsiTheme="minorEastAsia" w:eastAsiaTheme="minorEastAsia" w:cstheme="minorEastAsia"/>
          <w:color w:val="auto"/>
          <w:kern w:val="0"/>
          <w:sz w:val="21"/>
          <w:szCs w:val="21"/>
          <w:highlight w:val="none"/>
          <w:lang w:eastAsia="zh-CN"/>
        </w:rPr>
        <w:t>、紫外线灯</w:t>
      </w:r>
      <w:r>
        <w:rPr>
          <w:rFonts w:hint="eastAsia" w:asciiTheme="minorEastAsia" w:hAnsiTheme="minorEastAsia" w:eastAsiaTheme="minorEastAsia" w:cstheme="minorEastAsia"/>
          <w:color w:val="auto"/>
          <w:kern w:val="0"/>
          <w:sz w:val="21"/>
          <w:szCs w:val="21"/>
          <w:highlight w:val="none"/>
        </w:rPr>
        <w:t>及天花板、室内玻璃幕墙、雨搭、院区外围地面和围墙清洗，负责部分车库环形坡道的清洁；</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(1)凡在施工过程中产生噪音、粉尘、异味等对医患造成影响的工作，需安排在夜间进行；</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(2)石材整体清洗要求每年不低于两次，局部污染需立即处理，待周末或节假日时进行整体清洗，如遇重大接待、参观等事宜可适时增加清洁频次；</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(3)专项工作前需做好相应的成品保护，施工后需对施工区域做好卫生清洁和设备、设施的恢复；</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(4)重点工程机房进行计划性清洁，详情见重点工程机房清洁计划；</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(5)依据甲方实际情况随时调整工作内容，乙方应无条件满足甲方要求，并及时有效的完成</w:t>
      </w:r>
    </w:p>
    <w:p>
      <w:pPr>
        <w:autoSpaceDE w:val="0"/>
        <w:autoSpaceDN w:val="0"/>
        <w:adjustRightInd w:val="0"/>
        <w:snapToGrid w:val="0"/>
        <w:ind w:firstLine="422" w:firstLineChars="200"/>
        <w:jc w:val="left"/>
        <w:rPr>
          <w:rFonts w:hint="eastAsia" w:asciiTheme="minorEastAsia" w:hAnsiTheme="minorEastAsia" w:eastAsiaTheme="minorEastAsia" w:cstheme="minorEastAsia"/>
          <w:color w:val="auto"/>
          <w:kern w:val="0"/>
          <w:sz w:val="21"/>
          <w:szCs w:val="21"/>
          <w:highlight w:val="none"/>
        </w:rPr>
        <w:sectPr>
          <w:footerReference r:id="rId5" w:type="default"/>
          <w:pgSz w:w="11906" w:h="16838"/>
          <w:pgMar w:top="1474" w:right="1701" w:bottom="1134" w:left="1701" w:header="851" w:footer="992" w:gutter="0"/>
          <w:cols w:space="720" w:num="1"/>
          <w:docGrid w:type="lines" w:linePitch="312" w:charSpace="0"/>
        </w:sectPr>
      </w:pPr>
      <w:r>
        <w:rPr>
          <w:rFonts w:hint="eastAsia" w:asciiTheme="minorEastAsia" w:hAnsiTheme="minorEastAsia" w:eastAsiaTheme="minorEastAsia" w:cstheme="minorEastAsia"/>
          <w:b/>
          <w:color w:val="auto"/>
          <w:kern w:val="0"/>
          <w:sz w:val="21"/>
          <w:szCs w:val="21"/>
          <w:highlight w:val="none"/>
        </w:rPr>
        <w:t>（</w:t>
      </w:r>
      <w:r>
        <w:rPr>
          <w:rFonts w:hint="eastAsia" w:asciiTheme="minorEastAsia" w:hAnsiTheme="minorEastAsia" w:eastAsiaTheme="minorEastAsia" w:cstheme="minorEastAsia"/>
          <w:b/>
          <w:color w:val="auto"/>
          <w:kern w:val="0"/>
          <w:sz w:val="21"/>
          <w:szCs w:val="21"/>
          <w:highlight w:val="none"/>
          <w:lang w:eastAsia="zh-CN"/>
        </w:rPr>
        <w:t>四</w:t>
      </w:r>
      <w:r>
        <w:rPr>
          <w:rFonts w:hint="eastAsia" w:asciiTheme="minorEastAsia" w:hAnsiTheme="minorEastAsia" w:eastAsiaTheme="minorEastAsia" w:cstheme="minorEastAsia"/>
          <w:b/>
          <w:color w:val="auto"/>
          <w:kern w:val="0"/>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如发现3次以上同一问题或同一类型问题，将扣除本付款周期应付款的1%作为违约金。</w:t>
      </w:r>
    </w:p>
    <w:p>
      <w:pPr>
        <w:ind w:firstLine="207" w:firstLineChars="98"/>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清洁计划包含但不限于以下所列内容（请根据区域划分，详细安排计划，以B区科研楼部分区域为例）：</w:t>
      </w:r>
    </w:p>
    <w:p>
      <w:pPr>
        <w:ind w:firstLine="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区域：地下</w:t>
      </w:r>
    </w:p>
    <w:tbl>
      <w:tblPr>
        <w:tblStyle w:val="9"/>
        <w:tblW w:w="11394" w:type="dxa"/>
        <w:tblInd w:w="0" w:type="dxa"/>
        <w:tblLayout w:type="fixed"/>
        <w:tblCellMar>
          <w:top w:w="0" w:type="dxa"/>
          <w:left w:w="108" w:type="dxa"/>
          <w:bottom w:w="0" w:type="dxa"/>
          <w:right w:w="108" w:type="dxa"/>
        </w:tblCellMar>
      </w:tblPr>
      <w:tblGrid>
        <w:gridCol w:w="2635"/>
        <w:gridCol w:w="936"/>
        <w:gridCol w:w="1080"/>
        <w:gridCol w:w="1080"/>
        <w:gridCol w:w="1080"/>
        <w:gridCol w:w="1136"/>
        <w:gridCol w:w="1080"/>
        <w:gridCol w:w="1080"/>
        <w:gridCol w:w="1287"/>
      </w:tblGrid>
      <w:tr>
        <w:tblPrEx>
          <w:tblLayout w:type="fixed"/>
          <w:tblCellMar>
            <w:top w:w="0" w:type="dxa"/>
            <w:left w:w="108" w:type="dxa"/>
            <w:bottom w:w="0" w:type="dxa"/>
            <w:right w:w="108" w:type="dxa"/>
          </w:tblCellMar>
        </w:tblPrEx>
        <w:trPr>
          <w:trHeight w:val="285" w:hRule="atLeast"/>
        </w:trPr>
        <w:tc>
          <w:tcPr>
            <w:tcW w:w="2635" w:type="dxa"/>
            <w:tcBorders>
              <w:top w:val="single" w:color="auto" w:sz="8" w:space="0"/>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936" w:type="dxa"/>
            <w:tcBorders>
              <w:top w:val="single" w:color="auto" w:sz="8" w:space="0"/>
              <w:left w:val="nil"/>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108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1080" w:type="dxa"/>
            <w:tcBorders>
              <w:top w:val="single" w:color="auto" w:sz="8"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1080" w:type="dxa"/>
            <w:tcBorders>
              <w:top w:val="single" w:color="auto" w:sz="8"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1136" w:type="dxa"/>
            <w:tcBorders>
              <w:top w:val="single" w:color="auto" w:sz="8"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1080" w:type="dxa"/>
            <w:tcBorders>
              <w:top w:val="single" w:color="auto" w:sz="8" w:space="0"/>
              <w:left w:val="nil"/>
              <w:bottom w:val="single" w:color="auto" w:sz="4" w:space="0"/>
              <w:right w:val="nil"/>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1080" w:type="dxa"/>
            <w:tcBorders>
              <w:top w:val="single" w:color="auto" w:sz="8"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287" w:type="dxa"/>
            <w:tcBorders>
              <w:top w:val="single" w:color="auto" w:sz="8" w:space="0"/>
              <w:left w:val="nil"/>
              <w:bottom w:val="nil"/>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上下车道弯道地面</w:t>
            </w:r>
          </w:p>
        </w:tc>
        <w:tc>
          <w:tcPr>
            <w:tcW w:w="9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single" w:color="auto" w:sz="4" w:space="0"/>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车场内设施设备</w:t>
            </w:r>
          </w:p>
        </w:tc>
        <w:tc>
          <w:tcPr>
            <w:tcW w:w="9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人防楼梯</w:t>
            </w:r>
          </w:p>
        </w:tc>
        <w:tc>
          <w:tcPr>
            <w:tcW w:w="9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挡车器擦拭</w:t>
            </w:r>
          </w:p>
        </w:tc>
        <w:tc>
          <w:tcPr>
            <w:tcW w:w="9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nil"/>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消防楼梯</w:t>
            </w:r>
          </w:p>
        </w:tc>
        <w:tc>
          <w:tcPr>
            <w:tcW w:w="9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踢脚线</w:t>
            </w:r>
          </w:p>
        </w:tc>
        <w:tc>
          <w:tcPr>
            <w:tcW w:w="9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nil"/>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减速器</w:t>
            </w:r>
          </w:p>
        </w:tc>
        <w:tc>
          <w:tcPr>
            <w:tcW w:w="9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nil"/>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货梯间墙壁及天花</w:t>
            </w:r>
          </w:p>
        </w:tc>
        <w:tc>
          <w:tcPr>
            <w:tcW w:w="936"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single" w:color="auto" w:sz="4" w:space="0"/>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single" w:color="auto" w:sz="4" w:space="0"/>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20" w:hRule="atLeast"/>
        </w:trPr>
        <w:tc>
          <w:tcPr>
            <w:tcW w:w="2635" w:type="dxa"/>
            <w:tcBorders>
              <w:top w:val="nil"/>
              <w:left w:val="single" w:color="auto" w:sz="8" w:space="0"/>
              <w:bottom w:val="single" w:color="auto" w:sz="8"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卫生间及浴室大清</w:t>
            </w:r>
          </w:p>
        </w:tc>
        <w:tc>
          <w:tcPr>
            <w:tcW w:w="936" w:type="dxa"/>
            <w:tcBorders>
              <w:top w:val="single" w:color="auto" w:sz="4" w:space="0"/>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080"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080"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080"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136"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080" w:type="dxa"/>
            <w:tcBorders>
              <w:top w:val="nil"/>
              <w:left w:val="nil"/>
              <w:bottom w:val="single" w:color="auto" w:sz="8"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080" w:type="dxa"/>
            <w:tcBorders>
              <w:top w:val="nil"/>
              <w:left w:val="single" w:color="auto" w:sz="4" w:space="0"/>
              <w:bottom w:val="single" w:color="auto" w:sz="8"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287" w:type="dxa"/>
            <w:tcBorders>
              <w:top w:val="nil"/>
              <w:left w:val="single" w:color="auto" w:sz="4"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635"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减速带</w:t>
            </w:r>
          </w:p>
        </w:tc>
        <w:tc>
          <w:tcPr>
            <w:tcW w:w="93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635"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安全门及闭门器</w:t>
            </w:r>
          </w:p>
        </w:tc>
        <w:tc>
          <w:tcPr>
            <w:tcW w:w="93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3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bl>
    <w:p>
      <w:pPr>
        <w:ind w:firstLine="60"/>
        <w:rPr>
          <w:rFonts w:hint="eastAsia" w:asciiTheme="minorEastAsia" w:hAnsiTheme="minorEastAsia" w:eastAsiaTheme="minorEastAsia" w:cstheme="minorEastAsia"/>
          <w:color w:val="auto"/>
          <w:sz w:val="21"/>
          <w:szCs w:val="21"/>
          <w:highlight w:val="none"/>
        </w:rPr>
      </w:pPr>
    </w:p>
    <w:p>
      <w:pPr>
        <w:ind w:firstLine="60"/>
        <w:rPr>
          <w:rFonts w:hint="eastAsia" w:asciiTheme="minorEastAsia" w:hAnsiTheme="minorEastAsia" w:eastAsiaTheme="minorEastAsia" w:cstheme="minorEastAsia"/>
          <w:color w:val="auto"/>
          <w:sz w:val="21"/>
          <w:szCs w:val="21"/>
          <w:highlight w:val="none"/>
        </w:rPr>
      </w:pPr>
    </w:p>
    <w:p>
      <w:pPr>
        <w:ind w:firstLine="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区域：楼宇外围</w:t>
      </w:r>
    </w:p>
    <w:tbl>
      <w:tblPr>
        <w:tblStyle w:val="9"/>
        <w:tblW w:w="11475" w:type="dxa"/>
        <w:tblInd w:w="0" w:type="dxa"/>
        <w:tblLayout w:type="fixed"/>
        <w:tblCellMar>
          <w:top w:w="0" w:type="dxa"/>
          <w:left w:w="108" w:type="dxa"/>
          <w:bottom w:w="0" w:type="dxa"/>
          <w:right w:w="108" w:type="dxa"/>
        </w:tblCellMar>
      </w:tblPr>
      <w:tblGrid>
        <w:gridCol w:w="2635"/>
        <w:gridCol w:w="1136"/>
        <w:gridCol w:w="1060"/>
        <w:gridCol w:w="1080"/>
        <w:gridCol w:w="1080"/>
        <w:gridCol w:w="1080"/>
        <w:gridCol w:w="1037"/>
        <w:gridCol w:w="1080"/>
        <w:gridCol w:w="1287"/>
      </w:tblGrid>
      <w:tr>
        <w:tblPrEx>
          <w:tblLayout w:type="fixed"/>
          <w:tblCellMar>
            <w:top w:w="0" w:type="dxa"/>
            <w:left w:w="108" w:type="dxa"/>
            <w:bottom w:w="0" w:type="dxa"/>
            <w:right w:w="108" w:type="dxa"/>
          </w:tblCellMar>
        </w:tblPrEx>
        <w:trPr>
          <w:trHeight w:val="285" w:hRule="atLeast"/>
        </w:trPr>
        <w:tc>
          <w:tcPr>
            <w:tcW w:w="2635"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1136"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106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108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108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108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1037"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108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287" w:type="dxa"/>
            <w:tcBorders>
              <w:top w:val="single" w:color="auto" w:sz="8" w:space="0"/>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所有外围墙面</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3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草坪灯及地灯</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3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绿坡道冲洗</w:t>
            </w:r>
          </w:p>
        </w:tc>
        <w:tc>
          <w:tcPr>
            <w:tcW w:w="113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3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7"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bl>
    <w:p>
      <w:pPr>
        <w:ind w:firstLine="60"/>
        <w:rPr>
          <w:rFonts w:hint="eastAsia" w:asciiTheme="minorEastAsia" w:hAnsiTheme="minorEastAsia" w:eastAsiaTheme="minorEastAsia" w:cstheme="minorEastAsia"/>
          <w:color w:val="auto"/>
          <w:sz w:val="21"/>
          <w:szCs w:val="21"/>
          <w:highlight w:val="none"/>
        </w:rPr>
      </w:pPr>
    </w:p>
    <w:p>
      <w:pPr>
        <w:ind w:firstLine="60"/>
        <w:rPr>
          <w:rFonts w:hint="eastAsia" w:asciiTheme="minorEastAsia" w:hAnsiTheme="minorEastAsia" w:eastAsiaTheme="minorEastAsia" w:cstheme="minorEastAsia"/>
          <w:color w:val="auto"/>
          <w:sz w:val="21"/>
          <w:szCs w:val="21"/>
          <w:highlight w:val="none"/>
        </w:rPr>
      </w:pPr>
    </w:p>
    <w:p>
      <w:pPr>
        <w:ind w:firstLine="60"/>
        <w:rPr>
          <w:rFonts w:hint="eastAsia" w:asciiTheme="minorEastAsia" w:hAnsiTheme="minorEastAsia" w:eastAsiaTheme="minorEastAsia" w:cstheme="minorEastAsia"/>
          <w:color w:val="auto"/>
          <w:sz w:val="21"/>
          <w:szCs w:val="21"/>
          <w:highlight w:val="none"/>
        </w:rPr>
      </w:pPr>
    </w:p>
    <w:p>
      <w:pPr>
        <w:ind w:firstLine="60"/>
        <w:rPr>
          <w:rFonts w:hint="eastAsia" w:asciiTheme="minorEastAsia" w:hAnsiTheme="minorEastAsia" w:eastAsiaTheme="minorEastAsia" w:cstheme="minorEastAsia"/>
          <w:color w:val="auto"/>
          <w:sz w:val="21"/>
          <w:szCs w:val="21"/>
          <w:highlight w:val="none"/>
        </w:rPr>
      </w:pPr>
    </w:p>
    <w:p>
      <w:pPr>
        <w:ind w:firstLine="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区域：大厅</w:t>
      </w:r>
    </w:p>
    <w:tbl>
      <w:tblPr>
        <w:tblStyle w:val="9"/>
        <w:tblW w:w="12182" w:type="dxa"/>
        <w:tblInd w:w="0" w:type="dxa"/>
        <w:tblLayout w:type="fixed"/>
        <w:tblCellMar>
          <w:top w:w="0" w:type="dxa"/>
          <w:left w:w="108" w:type="dxa"/>
          <w:bottom w:w="0" w:type="dxa"/>
          <w:right w:w="108" w:type="dxa"/>
        </w:tblCellMar>
      </w:tblPr>
      <w:tblGrid>
        <w:gridCol w:w="2635"/>
        <w:gridCol w:w="1136"/>
        <w:gridCol w:w="1240"/>
        <w:gridCol w:w="1281"/>
        <w:gridCol w:w="1080"/>
        <w:gridCol w:w="1080"/>
        <w:gridCol w:w="1080"/>
        <w:gridCol w:w="1080"/>
        <w:gridCol w:w="1570"/>
      </w:tblGrid>
      <w:tr>
        <w:tblPrEx>
          <w:tblLayout w:type="fixed"/>
          <w:tblCellMar>
            <w:top w:w="0" w:type="dxa"/>
            <w:left w:w="108" w:type="dxa"/>
            <w:bottom w:w="0" w:type="dxa"/>
            <w:right w:w="108" w:type="dxa"/>
          </w:tblCellMar>
        </w:tblPrEx>
        <w:trPr>
          <w:trHeight w:val="285" w:hRule="atLeast"/>
        </w:trPr>
        <w:tc>
          <w:tcPr>
            <w:tcW w:w="2635"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1136"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1240" w:type="dxa"/>
            <w:tcBorders>
              <w:top w:val="single" w:color="auto" w:sz="8"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1281" w:type="dxa"/>
            <w:tcBorders>
              <w:top w:val="single" w:color="auto" w:sz="8"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108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108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108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108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570" w:type="dxa"/>
            <w:tcBorders>
              <w:top w:val="single" w:color="auto" w:sz="8" w:space="0"/>
              <w:left w:val="nil"/>
              <w:bottom w:val="nil"/>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85" w:hRule="atLeast"/>
        </w:trPr>
        <w:tc>
          <w:tcPr>
            <w:tcW w:w="2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大厅玻璃墙幕</w:t>
            </w:r>
          </w:p>
        </w:tc>
        <w:tc>
          <w:tcPr>
            <w:tcW w:w="113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40"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70" w:type="dxa"/>
            <w:tcBorders>
              <w:top w:val="single" w:color="auto" w:sz="4" w:space="0"/>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干净明亮</w:t>
            </w:r>
          </w:p>
        </w:tc>
      </w:tr>
      <w:tr>
        <w:tblPrEx>
          <w:tblLayout w:type="fixed"/>
          <w:tblCellMar>
            <w:top w:w="0" w:type="dxa"/>
            <w:left w:w="108" w:type="dxa"/>
            <w:bottom w:w="0" w:type="dxa"/>
            <w:right w:w="108" w:type="dxa"/>
          </w:tblCellMar>
        </w:tblPrEx>
        <w:trPr>
          <w:trHeight w:val="285" w:hRule="atLeast"/>
        </w:trPr>
        <w:tc>
          <w:tcPr>
            <w:tcW w:w="2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卫生间大清</w:t>
            </w:r>
          </w:p>
        </w:tc>
        <w:tc>
          <w:tcPr>
            <w:tcW w:w="113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4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single" w:color="auto" w:sz="4" w:space="0"/>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70"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货梯间墙壁及天花</w:t>
            </w:r>
          </w:p>
        </w:tc>
        <w:tc>
          <w:tcPr>
            <w:tcW w:w="1136"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single" w:color="auto" w:sz="4" w:space="0"/>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70"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安全门及闭门器</w:t>
            </w:r>
          </w:p>
        </w:tc>
        <w:tc>
          <w:tcPr>
            <w:tcW w:w="113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40"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70"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走廊顶部</w:t>
            </w:r>
          </w:p>
        </w:tc>
        <w:tc>
          <w:tcPr>
            <w:tcW w:w="113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40" w:type="dxa"/>
            <w:tcBorders>
              <w:top w:val="single" w:color="auto" w:sz="4" w:space="0"/>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8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bl>
    <w:p>
      <w:pPr>
        <w:ind w:firstLine="60"/>
        <w:rPr>
          <w:rFonts w:hint="eastAsia" w:asciiTheme="minorEastAsia" w:hAnsiTheme="minorEastAsia" w:eastAsiaTheme="minorEastAsia" w:cstheme="minorEastAsia"/>
          <w:color w:val="auto"/>
          <w:sz w:val="21"/>
          <w:szCs w:val="21"/>
          <w:highlight w:val="none"/>
        </w:rPr>
      </w:pPr>
    </w:p>
    <w:p>
      <w:pPr>
        <w:ind w:firstLine="60"/>
        <w:rPr>
          <w:rFonts w:hint="eastAsia" w:asciiTheme="minorEastAsia" w:hAnsiTheme="minorEastAsia" w:eastAsiaTheme="minorEastAsia" w:cstheme="minorEastAsia"/>
          <w:color w:val="auto"/>
          <w:sz w:val="21"/>
          <w:szCs w:val="21"/>
          <w:highlight w:val="none"/>
        </w:rPr>
      </w:pPr>
    </w:p>
    <w:p>
      <w:pPr>
        <w:ind w:firstLine="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区域：2层—5层</w:t>
      </w:r>
    </w:p>
    <w:tbl>
      <w:tblPr>
        <w:tblStyle w:val="9"/>
        <w:tblW w:w="12337" w:type="dxa"/>
        <w:tblInd w:w="0" w:type="dxa"/>
        <w:tblLayout w:type="fixed"/>
        <w:tblCellMar>
          <w:top w:w="0" w:type="dxa"/>
          <w:left w:w="108" w:type="dxa"/>
          <w:bottom w:w="0" w:type="dxa"/>
          <w:right w:w="108" w:type="dxa"/>
        </w:tblCellMar>
      </w:tblPr>
      <w:tblGrid>
        <w:gridCol w:w="2637"/>
        <w:gridCol w:w="1275"/>
        <w:gridCol w:w="1099"/>
        <w:gridCol w:w="1080"/>
        <w:gridCol w:w="1080"/>
        <w:gridCol w:w="1037"/>
        <w:gridCol w:w="1260"/>
        <w:gridCol w:w="1440"/>
        <w:gridCol w:w="1429"/>
      </w:tblGrid>
      <w:tr>
        <w:tblPrEx>
          <w:tblLayout w:type="fixed"/>
          <w:tblCellMar>
            <w:top w:w="0" w:type="dxa"/>
            <w:left w:w="108" w:type="dxa"/>
            <w:bottom w:w="0" w:type="dxa"/>
            <w:right w:w="108" w:type="dxa"/>
          </w:tblCellMar>
        </w:tblPrEx>
        <w:trPr>
          <w:trHeight w:val="285" w:hRule="atLeast"/>
        </w:trPr>
        <w:tc>
          <w:tcPr>
            <w:tcW w:w="2637"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1275"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1099"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108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108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1037"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1260" w:type="dxa"/>
            <w:tcBorders>
              <w:top w:val="single" w:color="auto" w:sz="8"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1440" w:type="dxa"/>
            <w:tcBorders>
              <w:top w:val="single" w:color="auto" w:sz="8"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429" w:type="dxa"/>
            <w:tcBorders>
              <w:top w:val="single" w:color="auto" w:sz="8" w:space="0"/>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85" w:hRule="atLeast"/>
        </w:trPr>
        <w:tc>
          <w:tcPr>
            <w:tcW w:w="2637"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会议室门外侧</w:t>
            </w:r>
          </w:p>
        </w:tc>
        <w:tc>
          <w:tcPr>
            <w:tcW w:w="1275" w:type="dxa"/>
            <w:tcBorders>
              <w:top w:val="nil"/>
              <w:left w:val="nil"/>
              <w:bottom w:val="nil"/>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3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single" w:color="auto" w:sz="4" w:space="0"/>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7"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安全门及闭门器</w:t>
            </w:r>
          </w:p>
        </w:tc>
        <w:tc>
          <w:tcPr>
            <w:tcW w:w="1275"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3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7"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走廊墙面</w:t>
            </w:r>
          </w:p>
        </w:tc>
        <w:tc>
          <w:tcPr>
            <w:tcW w:w="1275"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3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7" w:type="dxa"/>
            <w:tcBorders>
              <w:top w:val="nil"/>
              <w:left w:val="single" w:color="auto" w:sz="8" w:space="0"/>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机房</w:t>
            </w:r>
          </w:p>
        </w:tc>
        <w:tc>
          <w:tcPr>
            <w:tcW w:w="1275"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37"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single" w:color="auto" w:sz="8"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8"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2637"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卫生间大清</w:t>
            </w:r>
          </w:p>
        </w:tc>
        <w:tc>
          <w:tcPr>
            <w:tcW w:w="1275"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nil"/>
              <w:bottom w:val="single" w:color="auto" w:sz="8"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37"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425" w:hRule="atLeast"/>
        </w:trPr>
        <w:tc>
          <w:tcPr>
            <w:tcW w:w="2637"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客梯厅墙壁及天花</w:t>
            </w:r>
          </w:p>
        </w:tc>
        <w:tc>
          <w:tcPr>
            <w:tcW w:w="1275" w:type="dxa"/>
            <w:tcBorders>
              <w:top w:val="nil"/>
              <w:left w:val="nil"/>
              <w:bottom w:val="nil"/>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single" w:color="auto" w:sz="4" w:space="0"/>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72" w:hRule="atLeast"/>
        </w:trPr>
        <w:tc>
          <w:tcPr>
            <w:tcW w:w="2637" w:type="dxa"/>
            <w:tcBorders>
              <w:top w:val="nil"/>
              <w:left w:val="single" w:color="auto" w:sz="8" w:space="0"/>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公区墙面</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37" w:type="dxa"/>
            <w:tcBorders>
              <w:top w:val="nil"/>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389" w:hRule="atLeast"/>
        </w:trPr>
        <w:tc>
          <w:tcPr>
            <w:tcW w:w="2637"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茶水间热水器底部及托盘</w:t>
            </w:r>
          </w:p>
        </w:tc>
        <w:tc>
          <w:tcPr>
            <w:tcW w:w="1275"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3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nil"/>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single" w:color="auto" w:sz="4" w:space="0"/>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413" w:hRule="atLeast"/>
        </w:trPr>
        <w:tc>
          <w:tcPr>
            <w:tcW w:w="2637" w:type="dxa"/>
            <w:tcBorders>
              <w:top w:val="nil"/>
              <w:left w:val="single" w:color="auto" w:sz="8" w:space="0"/>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诊室内、外区玻璃</w:t>
            </w:r>
          </w:p>
        </w:tc>
        <w:tc>
          <w:tcPr>
            <w:tcW w:w="1275"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nil"/>
              <w:bottom w:val="nil"/>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37" w:type="dxa"/>
            <w:tcBorders>
              <w:top w:val="nil"/>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nil"/>
              <w:left w:val="nil"/>
              <w:bottom w:val="nil"/>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干净明亮</w:t>
            </w:r>
          </w:p>
        </w:tc>
      </w:tr>
      <w:tr>
        <w:tblPrEx>
          <w:tblLayout w:type="fixed"/>
          <w:tblCellMar>
            <w:top w:w="0" w:type="dxa"/>
            <w:left w:w="108" w:type="dxa"/>
            <w:bottom w:w="0" w:type="dxa"/>
            <w:right w:w="108" w:type="dxa"/>
          </w:tblCellMar>
        </w:tblPrEx>
        <w:trPr>
          <w:trHeight w:val="375" w:hRule="atLeast"/>
        </w:trPr>
        <w:tc>
          <w:tcPr>
            <w:tcW w:w="2637"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楼道风口</w:t>
            </w:r>
          </w:p>
        </w:tc>
        <w:tc>
          <w:tcPr>
            <w:tcW w:w="1275"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3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bl>
    <w:p>
      <w:pPr>
        <w:ind w:firstLine="60"/>
        <w:rPr>
          <w:rFonts w:hint="eastAsia" w:asciiTheme="minorEastAsia" w:hAnsiTheme="minorEastAsia" w:eastAsiaTheme="minorEastAsia" w:cstheme="minorEastAsia"/>
          <w:color w:val="auto"/>
          <w:sz w:val="21"/>
          <w:szCs w:val="21"/>
          <w:highlight w:val="none"/>
        </w:rPr>
      </w:pPr>
    </w:p>
    <w:p>
      <w:pPr>
        <w:ind w:firstLine="60"/>
        <w:rPr>
          <w:rFonts w:hint="eastAsia" w:asciiTheme="minorEastAsia" w:hAnsiTheme="minorEastAsia" w:eastAsiaTheme="minorEastAsia" w:cstheme="minorEastAsia"/>
          <w:color w:val="auto"/>
          <w:sz w:val="21"/>
          <w:szCs w:val="21"/>
          <w:highlight w:val="none"/>
        </w:rPr>
      </w:pPr>
    </w:p>
    <w:p>
      <w:pPr>
        <w:ind w:firstLine="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区域：科研楼1-5</w:t>
      </w:r>
    </w:p>
    <w:tbl>
      <w:tblPr>
        <w:tblStyle w:val="9"/>
        <w:tblW w:w="12451" w:type="dxa"/>
        <w:tblInd w:w="0" w:type="dxa"/>
        <w:tblLayout w:type="fixed"/>
        <w:tblCellMar>
          <w:top w:w="0" w:type="dxa"/>
          <w:left w:w="108" w:type="dxa"/>
          <w:bottom w:w="0" w:type="dxa"/>
          <w:right w:w="108" w:type="dxa"/>
        </w:tblCellMar>
      </w:tblPr>
      <w:tblGrid>
        <w:gridCol w:w="3168"/>
        <w:gridCol w:w="995"/>
        <w:gridCol w:w="1099"/>
        <w:gridCol w:w="1260"/>
        <w:gridCol w:w="1260"/>
        <w:gridCol w:w="1080"/>
        <w:gridCol w:w="1080"/>
        <w:gridCol w:w="1080"/>
        <w:gridCol w:w="1429"/>
      </w:tblGrid>
      <w:tr>
        <w:tblPrEx>
          <w:tblLayout w:type="fixed"/>
          <w:tblCellMar>
            <w:top w:w="0" w:type="dxa"/>
            <w:left w:w="108" w:type="dxa"/>
            <w:bottom w:w="0" w:type="dxa"/>
            <w:right w:w="108" w:type="dxa"/>
          </w:tblCellMar>
        </w:tblPrEx>
        <w:trPr>
          <w:trHeight w:val="285" w:hRule="atLeast"/>
        </w:trPr>
        <w:tc>
          <w:tcPr>
            <w:tcW w:w="3168"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995"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1099"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126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126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1080" w:type="dxa"/>
            <w:tcBorders>
              <w:top w:val="single" w:color="auto" w:sz="8"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1080" w:type="dxa"/>
            <w:tcBorders>
              <w:top w:val="single" w:color="auto" w:sz="8"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1080" w:type="dxa"/>
            <w:tcBorders>
              <w:top w:val="single" w:color="auto" w:sz="8"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429" w:type="dxa"/>
            <w:tcBorders>
              <w:top w:val="single" w:color="auto" w:sz="8" w:space="0"/>
              <w:left w:val="nil"/>
              <w:bottom w:val="nil"/>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清洁标准</w:t>
            </w:r>
          </w:p>
        </w:tc>
      </w:tr>
      <w:tr>
        <w:tblPrEx>
          <w:tblLayout w:type="fixed"/>
          <w:tblCellMar>
            <w:top w:w="0" w:type="dxa"/>
            <w:left w:w="108" w:type="dxa"/>
            <w:bottom w:w="0" w:type="dxa"/>
            <w:right w:w="108" w:type="dxa"/>
          </w:tblCellMar>
        </w:tblPrEx>
        <w:trPr>
          <w:trHeight w:val="285" w:hRule="atLeast"/>
        </w:trPr>
        <w:tc>
          <w:tcPr>
            <w:tcW w:w="3168"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卫生间大清</w:t>
            </w:r>
          </w:p>
        </w:tc>
        <w:tc>
          <w:tcPr>
            <w:tcW w:w="995"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single" w:color="auto" w:sz="4" w:space="0"/>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3168"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浴室大清</w:t>
            </w:r>
          </w:p>
        </w:tc>
        <w:tc>
          <w:tcPr>
            <w:tcW w:w="995"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干净明亮</w:t>
            </w:r>
          </w:p>
        </w:tc>
      </w:tr>
      <w:tr>
        <w:tblPrEx>
          <w:tblLayout w:type="fixed"/>
          <w:tblCellMar>
            <w:top w:w="0" w:type="dxa"/>
            <w:left w:w="108" w:type="dxa"/>
            <w:bottom w:w="0" w:type="dxa"/>
            <w:right w:w="108" w:type="dxa"/>
          </w:tblCellMar>
        </w:tblPrEx>
        <w:trPr>
          <w:trHeight w:val="285" w:hRule="atLeast"/>
        </w:trPr>
        <w:tc>
          <w:tcPr>
            <w:tcW w:w="3168" w:type="dxa"/>
            <w:tcBorders>
              <w:top w:val="nil"/>
              <w:left w:val="single" w:color="auto" w:sz="8" w:space="0"/>
              <w:bottom w:val="nil"/>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楼道风口</w:t>
            </w:r>
          </w:p>
        </w:tc>
        <w:tc>
          <w:tcPr>
            <w:tcW w:w="995"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3168"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公区墙面</w:t>
            </w:r>
          </w:p>
        </w:tc>
        <w:tc>
          <w:tcPr>
            <w:tcW w:w="995"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85" w:hRule="atLeast"/>
        </w:trPr>
        <w:tc>
          <w:tcPr>
            <w:tcW w:w="3168"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安全门及闭门器</w:t>
            </w:r>
          </w:p>
        </w:tc>
        <w:tc>
          <w:tcPr>
            <w:tcW w:w="995"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nil"/>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10" w:hRule="atLeast"/>
        </w:trPr>
        <w:tc>
          <w:tcPr>
            <w:tcW w:w="3168" w:type="dxa"/>
            <w:tcBorders>
              <w:top w:val="nil"/>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客梯厅、货梯间墙壁及天花</w:t>
            </w:r>
          </w:p>
        </w:tc>
        <w:tc>
          <w:tcPr>
            <w:tcW w:w="995"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nil"/>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nil"/>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25" w:hRule="atLeast"/>
        </w:trPr>
        <w:tc>
          <w:tcPr>
            <w:tcW w:w="3168"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茶水间热水器底部及托盘</w:t>
            </w:r>
          </w:p>
        </w:tc>
        <w:tc>
          <w:tcPr>
            <w:tcW w:w="995"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single" w:color="auto" w:sz="4" w:space="0"/>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276" w:hRule="atLeast"/>
        </w:trPr>
        <w:tc>
          <w:tcPr>
            <w:tcW w:w="3168"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老板桌打蜡</w:t>
            </w:r>
          </w:p>
        </w:tc>
        <w:tc>
          <w:tcPr>
            <w:tcW w:w="995"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80"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tcBorders>
              <w:top w:val="single" w:color="auto" w:sz="4" w:space="0"/>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Layout w:type="fixed"/>
          <w:tblCellMar>
            <w:top w:w="0" w:type="dxa"/>
            <w:left w:w="108" w:type="dxa"/>
            <w:bottom w:w="0" w:type="dxa"/>
            <w:right w:w="108" w:type="dxa"/>
          </w:tblCellMar>
        </w:tblPrEx>
        <w:trPr>
          <w:trHeight w:val="330" w:hRule="atLeast"/>
        </w:trPr>
        <w:tc>
          <w:tcPr>
            <w:tcW w:w="3168"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沙发皮革护理</w:t>
            </w:r>
          </w:p>
        </w:tc>
        <w:tc>
          <w:tcPr>
            <w:tcW w:w="995" w:type="dxa"/>
            <w:tcBorders>
              <w:top w:val="single" w:color="auto" w:sz="4" w:space="0"/>
              <w:left w:val="nil"/>
              <w:bottom w:val="single" w:color="auto" w:sz="4" w:space="0"/>
              <w:right w:val="nil"/>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09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260"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260"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080" w:type="dxa"/>
            <w:tcBorders>
              <w:top w:val="single" w:color="auto" w:sz="4" w:space="0"/>
              <w:left w:val="nil"/>
              <w:bottom w:val="single" w:color="auto" w:sz="4" w:space="0"/>
              <w:right w:val="nil"/>
            </w:tcBorders>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429" w:type="dxa"/>
            <w:tcBorders>
              <w:top w:val="single" w:color="auto" w:sz="4" w:space="0"/>
              <w:left w:val="single" w:color="auto" w:sz="4" w:space="0"/>
              <w:bottom w:val="single" w:color="auto" w:sz="4" w:space="0"/>
              <w:right w:val="single" w:color="auto" w:sz="8" w:space="0"/>
            </w:tcBorders>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bl>
    <w:p>
      <w:pPr>
        <w:rPr>
          <w:rFonts w:hint="eastAsia" w:asciiTheme="minorEastAsia" w:hAnsiTheme="minorEastAsia" w:eastAsiaTheme="minorEastAsia" w:cstheme="minorEastAsia"/>
          <w:color w:val="auto"/>
          <w:sz w:val="21"/>
          <w:szCs w:val="21"/>
          <w:highlight w:val="none"/>
        </w:rPr>
      </w:pPr>
    </w:p>
    <w:p>
      <w:pPr>
        <w:ind w:firstLine="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入室清洁：</w:t>
      </w:r>
    </w:p>
    <w:tbl>
      <w:tblPr>
        <w:tblStyle w:val="9"/>
        <w:tblW w:w="13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1251"/>
        <w:gridCol w:w="1406"/>
        <w:gridCol w:w="1260"/>
        <w:gridCol w:w="1453"/>
        <w:gridCol w:w="1440"/>
        <w:gridCol w:w="1566"/>
        <w:gridCol w:w="1331"/>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125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140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126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1453"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14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156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133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窗台及扶手</w:t>
            </w:r>
          </w:p>
        </w:tc>
        <w:tc>
          <w:tcPr>
            <w:tcW w:w="125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0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53"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6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3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地图及画框</w:t>
            </w:r>
          </w:p>
        </w:tc>
        <w:tc>
          <w:tcPr>
            <w:tcW w:w="125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0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53"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6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3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隔板缝隙、窗帘</w:t>
            </w:r>
          </w:p>
        </w:tc>
        <w:tc>
          <w:tcPr>
            <w:tcW w:w="125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0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53"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6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3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电话消毒</w:t>
            </w:r>
          </w:p>
        </w:tc>
        <w:tc>
          <w:tcPr>
            <w:tcW w:w="125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0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53"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6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31"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复印机</w:t>
            </w:r>
          </w:p>
        </w:tc>
        <w:tc>
          <w:tcPr>
            <w:tcW w:w="125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0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53"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6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31"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柜子顶部</w:t>
            </w:r>
          </w:p>
        </w:tc>
        <w:tc>
          <w:tcPr>
            <w:tcW w:w="125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0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53"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6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31"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小推柜</w:t>
            </w:r>
          </w:p>
        </w:tc>
        <w:tc>
          <w:tcPr>
            <w:tcW w:w="125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0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53"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6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3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桌子腿</w:t>
            </w:r>
          </w:p>
        </w:tc>
        <w:tc>
          <w:tcPr>
            <w:tcW w:w="125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0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53"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6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3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椅子腿</w:t>
            </w:r>
          </w:p>
        </w:tc>
        <w:tc>
          <w:tcPr>
            <w:tcW w:w="125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0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6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53"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4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56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3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房间门</w:t>
            </w:r>
          </w:p>
        </w:tc>
        <w:tc>
          <w:tcPr>
            <w:tcW w:w="125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0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26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453"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44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56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33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净化器</w:t>
            </w:r>
          </w:p>
        </w:tc>
        <w:tc>
          <w:tcPr>
            <w:tcW w:w="125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0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26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453"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44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56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33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饮水机</w:t>
            </w:r>
          </w:p>
        </w:tc>
        <w:tc>
          <w:tcPr>
            <w:tcW w:w="125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0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26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453"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44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56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33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花盆</w:t>
            </w:r>
          </w:p>
        </w:tc>
        <w:tc>
          <w:tcPr>
            <w:tcW w:w="125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0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26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453"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44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56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33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29" w:type="dxa"/>
            <w:shd w:val="clear" w:color="000000" w:fill="FFFFFF"/>
            <w:noWrap w:val="0"/>
            <w:vAlign w:val="center"/>
          </w:tcPr>
          <w:p>
            <w:pPr>
              <w:ind w:firstLine="105" w:firstLineChars="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40"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卧具</w:t>
            </w:r>
          </w:p>
        </w:tc>
        <w:tc>
          <w:tcPr>
            <w:tcW w:w="125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06"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26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453"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440" w:type="dxa"/>
            <w:shd w:val="clear" w:color="000000" w:fill="FFFFFF"/>
            <w:noWrap w:val="0"/>
            <w:vAlign w:val="center"/>
          </w:tcPr>
          <w:p>
            <w:pPr>
              <w:rPr>
                <w:rFonts w:hint="eastAsia" w:asciiTheme="minorEastAsia" w:hAnsiTheme="minorEastAsia" w:eastAsiaTheme="minorEastAsia" w:cstheme="minorEastAsia"/>
                <w:color w:val="auto"/>
                <w:sz w:val="21"/>
                <w:szCs w:val="21"/>
                <w:highlight w:val="none"/>
              </w:rPr>
            </w:pPr>
          </w:p>
        </w:tc>
        <w:tc>
          <w:tcPr>
            <w:tcW w:w="1566"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331"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29" w:type="dxa"/>
            <w:shd w:val="clear" w:color="000000"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bl>
    <w:p>
      <w:pPr>
        <w:tabs>
          <w:tab w:val="left" w:pos="426"/>
        </w:tabs>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spacing w:before="120" w:line="360" w:lineRule="auto"/>
        <w:ind w:left="359" w:leftChars="171" w:firstLine="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专项保洁：</w:t>
      </w:r>
    </w:p>
    <w:tbl>
      <w:tblPr>
        <w:tblStyle w:val="10"/>
        <w:tblW w:w="13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1260"/>
        <w:gridCol w:w="1260"/>
        <w:gridCol w:w="1260"/>
        <w:gridCol w:w="1080"/>
        <w:gridCol w:w="1080"/>
        <w:gridCol w:w="1260"/>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1260"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1260"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1080"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1080"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1260"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地面PVC清洁</w:t>
            </w: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石材日常清洁及维护</w:t>
            </w: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高空管道及天花板</w:t>
            </w: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室内玻璃幕墙</w:t>
            </w: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雨搭</w:t>
            </w: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外围地面和围墙</w:t>
            </w: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车库直行地面与环形坡道</w:t>
            </w: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电梯、扶梯清洁</w:t>
            </w: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08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260"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top"/>
          </w:tcPr>
          <w:p>
            <w:pPr>
              <w:autoSpaceDE w:val="0"/>
              <w:autoSpaceDN w:val="0"/>
              <w:adjustRightInd w:val="0"/>
              <w:snapToGrid w:val="0"/>
              <w:ind w:left="105" w:leftChars="50" w:right="-105" w:rightChars="-50"/>
              <w:jc w:val="left"/>
              <w:rPr>
                <w:rFonts w:hint="eastAsia" w:asciiTheme="minorEastAsia" w:hAnsiTheme="minorEastAsia" w:eastAsiaTheme="minorEastAsia" w:cstheme="minorEastAsia"/>
                <w:color w:val="auto"/>
                <w:kern w:val="0"/>
                <w:sz w:val="21"/>
                <w:szCs w:val="21"/>
                <w:highlight w:val="none"/>
              </w:rPr>
            </w:pPr>
          </w:p>
        </w:tc>
        <w:tc>
          <w:tcPr>
            <w:tcW w:w="1575" w:type="dxa"/>
            <w:noWrap w:val="0"/>
            <w:vAlign w:val="center"/>
          </w:tcPr>
          <w:p>
            <w:pPr>
              <w:ind w:left="105" w:leftChars="50"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w:t>
            </w:r>
          </w:p>
        </w:tc>
      </w:tr>
    </w:tbl>
    <w:p>
      <w:pPr>
        <w:autoSpaceDE w:val="0"/>
        <w:autoSpaceDN w:val="0"/>
        <w:adjustRightInd w:val="0"/>
        <w:snapToGrid w:val="0"/>
        <w:spacing w:line="360" w:lineRule="auto"/>
        <w:jc w:val="left"/>
        <w:rPr>
          <w:rFonts w:hint="eastAsia" w:asciiTheme="minorEastAsia" w:hAnsiTheme="minorEastAsia" w:eastAsiaTheme="minorEastAsia" w:cstheme="minorEastAsia"/>
          <w:color w:val="auto"/>
          <w:kern w:val="0"/>
          <w:sz w:val="21"/>
          <w:szCs w:val="21"/>
          <w:highlight w:val="none"/>
        </w:rPr>
      </w:pPr>
    </w:p>
    <w:p>
      <w:pPr>
        <w:autoSpaceDE w:val="0"/>
        <w:autoSpaceDN w:val="0"/>
        <w:adjustRightInd w:val="0"/>
        <w:snapToGrid w:val="0"/>
        <w:spacing w:line="360" w:lineRule="auto"/>
        <w:jc w:val="left"/>
        <w:rPr>
          <w:rFonts w:hint="eastAsia" w:asciiTheme="minorEastAsia" w:hAnsiTheme="minorEastAsia" w:eastAsiaTheme="minorEastAsia" w:cstheme="minorEastAsia"/>
          <w:color w:val="auto"/>
          <w:kern w:val="0"/>
          <w:sz w:val="21"/>
          <w:szCs w:val="21"/>
          <w:highlight w:val="none"/>
        </w:rPr>
      </w:pPr>
    </w:p>
    <w:p>
      <w:pPr>
        <w:autoSpaceDE w:val="0"/>
        <w:autoSpaceDN w:val="0"/>
        <w:adjustRightInd w:val="0"/>
        <w:snapToGrid w:val="0"/>
        <w:spacing w:line="360" w:lineRule="auto"/>
        <w:jc w:val="left"/>
        <w:rPr>
          <w:rFonts w:hint="eastAsia" w:asciiTheme="minorEastAsia" w:hAnsiTheme="minorEastAsia" w:eastAsiaTheme="minorEastAsia" w:cstheme="minorEastAsia"/>
          <w:color w:val="auto"/>
          <w:kern w:val="0"/>
          <w:sz w:val="21"/>
          <w:szCs w:val="21"/>
          <w:highlight w:val="none"/>
        </w:rPr>
      </w:pPr>
    </w:p>
    <w:p>
      <w:pPr>
        <w:autoSpaceDE w:val="0"/>
        <w:autoSpaceDN w:val="0"/>
        <w:adjustRightInd w:val="0"/>
        <w:snapToGrid w:val="0"/>
        <w:spacing w:line="360" w:lineRule="auto"/>
        <w:jc w:val="left"/>
        <w:rPr>
          <w:rFonts w:hint="eastAsia" w:asciiTheme="minorEastAsia" w:hAnsiTheme="minorEastAsia" w:eastAsiaTheme="minorEastAsia" w:cstheme="minorEastAsia"/>
          <w:color w:val="auto"/>
          <w:kern w:val="0"/>
          <w:sz w:val="21"/>
          <w:szCs w:val="21"/>
          <w:highlight w:val="none"/>
        </w:rPr>
        <w:sectPr>
          <w:footerReference r:id="rId6" w:type="default"/>
          <w:pgSz w:w="16838" w:h="11906" w:orient="landscape"/>
          <w:pgMar w:top="1800" w:right="1440" w:bottom="1800" w:left="1440" w:header="851" w:footer="992" w:gutter="0"/>
          <w:cols w:space="720" w:num="1"/>
          <w:docGrid w:type="lines" w:linePitch="312" w:charSpace="0"/>
        </w:sectPr>
      </w:pPr>
    </w:p>
    <w:p>
      <w:pPr>
        <w:autoSpaceDE w:val="0"/>
        <w:autoSpaceDN w:val="0"/>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B区重点机房清洁计划：</w:t>
      </w:r>
    </w:p>
    <w:tbl>
      <w:tblPr>
        <w:tblStyle w:val="9"/>
        <w:tblpPr w:leftFromText="180" w:rightFromText="180" w:vertAnchor="page" w:horzAnchor="margin" w:tblpXSpec="center" w:tblpY="2079"/>
        <w:tblW w:w="8781" w:type="dxa"/>
        <w:tblInd w:w="0" w:type="dxa"/>
        <w:tblLayout w:type="fixed"/>
        <w:tblCellMar>
          <w:top w:w="15" w:type="dxa"/>
          <w:left w:w="108" w:type="dxa"/>
          <w:bottom w:w="15" w:type="dxa"/>
          <w:right w:w="108" w:type="dxa"/>
        </w:tblCellMar>
      </w:tblPr>
      <w:tblGrid>
        <w:gridCol w:w="725"/>
        <w:gridCol w:w="2563"/>
        <w:gridCol w:w="1713"/>
        <w:gridCol w:w="1262"/>
        <w:gridCol w:w="1405"/>
        <w:gridCol w:w="1113"/>
      </w:tblGrid>
      <w:tr>
        <w:tblPrEx>
          <w:tblLayout w:type="fixed"/>
          <w:tblCellMar>
            <w:top w:w="15" w:type="dxa"/>
            <w:left w:w="108" w:type="dxa"/>
            <w:bottom w:w="15" w:type="dxa"/>
            <w:right w:w="108" w:type="dxa"/>
          </w:tblCellMar>
        </w:tblPrEx>
        <w:trPr>
          <w:trHeight w:val="327" w:hRule="atLeast"/>
        </w:trPr>
        <w:tc>
          <w:tcPr>
            <w:tcW w:w="725"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序号</w:t>
            </w:r>
          </w:p>
        </w:tc>
        <w:tc>
          <w:tcPr>
            <w:tcW w:w="2563"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项  目</w:t>
            </w:r>
          </w:p>
        </w:tc>
        <w:tc>
          <w:tcPr>
            <w:tcW w:w="1713"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位置</w:t>
            </w:r>
          </w:p>
        </w:tc>
        <w:tc>
          <w:tcPr>
            <w:tcW w:w="1262"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面积㎡</w:t>
            </w:r>
          </w:p>
        </w:tc>
        <w:tc>
          <w:tcPr>
            <w:tcW w:w="1405"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清洁周期</w:t>
            </w:r>
          </w:p>
        </w:tc>
        <w:tc>
          <w:tcPr>
            <w:tcW w:w="1113" w:type="dxa"/>
            <w:tcBorders>
              <w:top w:val="single" w:color="000000" w:sz="4" w:space="0"/>
              <w:left w:val="single" w:color="000000" w:sz="4" w:space="0"/>
              <w:bottom w:val="single" w:color="000000" w:sz="4" w:space="0"/>
              <w:right w:val="single" w:color="000000" w:sz="4" w:space="0"/>
            </w:tcBorders>
            <w:shd w:val="clear" w:color="auto" w:fill="A6A6A6"/>
            <w:noWrap w:val="0"/>
            <w:vAlign w:val="center"/>
          </w:tcPr>
          <w:p>
            <w:pPr>
              <w:widowControl/>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备注</w:t>
            </w: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中水泵房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B2地下二层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地面干净整洁无杂物，地沟内无污物</w:t>
            </w: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给水泵房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B2地下二层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left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热交换站</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B2地下二层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left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物流传输机房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B2地下二层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left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压缩空气机房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B2地下一层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left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负压吸引机房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B2地下一层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left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太阳能机房</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B2楼顶</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left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r>
        <w:tblPrEx>
          <w:tblLayout w:type="fixed"/>
          <w:tblCellMar>
            <w:top w:w="15" w:type="dxa"/>
            <w:left w:w="108" w:type="dxa"/>
            <w:bottom w:w="15" w:type="dxa"/>
            <w:right w:w="108" w:type="dxa"/>
          </w:tblCellMar>
        </w:tblPrEx>
        <w:trPr>
          <w:trHeight w:val="387" w:hRule="atLeast"/>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w:t>
            </w:r>
          </w:p>
        </w:tc>
        <w:tc>
          <w:tcPr>
            <w:tcW w:w="2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冷站</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B2地下二层</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113" w:type="dxa"/>
            <w:vMerge w:val="continue"/>
            <w:tcBorders>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21"/>
                <w:szCs w:val="21"/>
                <w:highlight w:val="none"/>
              </w:rPr>
            </w:pPr>
          </w:p>
        </w:tc>
      </w:tr>
    </w:tbl>
    <w:p>
      <w:pPr>
        <w:autoSpaceDE w:val="0"/>
        <w:autoSpaceDN w:val="0"/>
        <w:adjustRightInd w:val="0"/>
        <w:snapToGrid w:val="0"/>
        <w:spacing w:line="360" w:lineRule="auto"/>
        <w:jc w:val="left"/>
        <w:rPr>
          <w:rFonts w:hint="eastAsia" w:asciiTheme="minorEastAsia" w:hAnsiTheme="minorEastAsia" w:eastAsiaTheme="minorEastAsia" w:cstheme="minorEastAsia"/>
          <w:b/>
          <w:color w:val="auto"/>
          <w:kern w:val="0"/>
          <w:sz w:val="21"/>
          <w:szCs w:val="21"/>
          <w:highlight w:val="none"/>
        </w:rPr>
        <w:sectPr>
          <w:pgSz w:w="11906" w:h="16838"/>
          <w:pgMar w:top="1440" w:right="1800" w:bottom="1440" w:left="1800" w:header="851" w:footer="992" w:gutter="0"/>
          <w:cols w:space="720" w:num="1"/>
          <w:docGrid w:type="lines" w:linePitch="312" w:charSpace="0"/>
        </w:sectPr>
      </w:pPr>
    </w:p>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kern w:val="0"/>
          <w:sz w:val="21"/>
          <w:szCs w:val="21"/>
          <w:highlight w:val="none"/>
        </w:rPr>
        <w:t>（四）地面清洁养护要求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1、对医院楼区内各种材质地面（石材、瓷砖、PVC等、石材地面、PVC地面）进行相应的清洁、维护、保养，地面打蜡每季度一次；石材地面翻新、结晶每年各一次。</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2、对于地面护理和服务所使用的各类清洁剂、蜡、光亮剂等质量均应符合国家有关卫生及环保标准，不得使用任何有害人体健康的清洗用品及原料。上述物料要求具为庄臣品牌或具有同等质量。</w:t>
      </w:r>
    </w:p>
    <w:p>
      <w:pPr>
        <w:widowControl/>
        <w:ind w:left="540" w:leftChars="257"/>
        <w:jc w:val="left"/>
        <w:rPr>
          <w:rStyle w:val="19"/>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color w:val="auto"/>
          <w:sz w:val="21"/>
          <w:szCs w:val="21"/>
          <w:highlight w:val="none"/>
        </w:rPr>
        <w:t>石材翻新及研磨技术要求：</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b/>
          <w:bCs/>
          <w:color w:val="auto"/>
          <w:sz w:val="21"/>
          <w:szCs w:val="21"/>
          <w:highlight w:val="none"/>
        </w:rPr>
        <w:t>室内地面石材</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①</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石材表面亮度以未研磨石材亮度为准。</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②</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表面平整无划痕。</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③</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石材相接部位无高低差，高低差为零。</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④</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施工后的石材表面防滑效果达到国家相关要求。</w:t>
      </w:r>
    </w:p>
    <w:p>
      <w:pPr>
        <w:pStyle w:val="20"/>
        <w:spacing w:before="0" w:beforeAutospacing="0" w:after="0" w:afterAutospacing="0"/>
        <w:ind w:left="540" w:leftChars="257"/>
        <w:jc w:val="both"/>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b/>
          <w:bCs/>
          <w:color w:val="auto"/>
          <w:sz w:val="21"/>
          <w:szCs w:val="21"/>
          <w:highlight w:val="none"/>
        </w:rPr>
        <w:t>室外石材清洗</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⑤</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石材表面油斑清除率80%。</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⑥</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石材表面车轮印迹清除率100%。</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⑦</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其它污染物清除干净。</w:t>
      </w:r>
    </w:p>
    <w:p>
      <w:pPr>
        <w:pStyle w:val="20"/>
        <w:spacing w:before="0" w:beforeAutospacing="0" w:after="0" w:afterAutospacing="0"/>
        <w:ind w:left="540" w:leftChars="257"/>
        <w:rPr>
          <w:rFonts w:hint="eastAsia" w:asciiTheme="minorEastAsia" w:hAnsiTheme="minorEastAsia" w:eastAsiaTheme="minorEastAsia" w:cstheme="minorEastAsia"/>
          <w:color w:val="auto"/>
          <w:sz w:val="21"/>
          <w:szCs w:val="21"/>
          <w:highlight w:val="none"/>
        </w:rPr>
      </w:pPr>
      <w:r>
        <w:rPr>
          <w:rStyle w:val="19"/>
          <w:rFonts w:hint="eastAsia" w:asciiTheme="minorEastAsia" w:hAnsiTheme="minorEastAsia" w:eastAsiaTheme="minorEastAsia" w:cstheme="minorEastAsia"/>
          <w:color w:val="auto"/>
          <w:sz w:val="21"/>
          <w:szCs w:val="21"/>
          <w:highlight w:val="none"/>
        </w:rPr>
        <w:t>⑧</w:t>
      </w:r>
      <w:r>
        <w:rPr>
          <w:rFonts w:hint="eastAsia" w:asciiTheme="minorEastAsia" w:hAnsiTheme="minorEastAsia" w:eastAsiaTheme="minorEastAsia" w:cstheme="minorEastAsia"/>
          <w:color w:val="auto"/>
          <w:sz w:val="21"/>
          <w:szCs w:val="21"/>
          <w:highlight w:val="none"/>
        </w:rPr>
        <w:t> </w:t>
      </w:r>
      <w:r>
        <w:rPr>
          <w:rStyle w:val="19"/>
          <w:rFonts w:hint="eastAsia" w:asciiTheme="minorEastAsia" w:hAnsiTheme="minorEastAsia" w:eastAsiaTheme="minorEastAsia" w:cstheme="minorEastAsia"/>
          <w:color w:val="auto"/>
          <w:sz w:val="21"/>
          <w:szCs w:val="21"/>
          <w:highlight w:val="none"/>
        </w:rPr>
        <w:t>石材表面锈斑清除干净。</w:t>
      </w:r>
    </w:p>
    <w:p>
      <w:pPr>
        <w:ind w:left="540" w:leftChars="257"/>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技术要求：</w:t>
      </w:r>
    </w:p>
    <w:p>
      <w:pPr>
        <w:ind w:left="540" w:leftChars="2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研磨要求</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1、大理石地面研磨材料采用符合国家质量标准的金刚石磨片，石材研磨剂—KP92、结晶粉、云石胶，石材保护剂K2—K3。</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2、工具采用符合国家强制标准的电动工具：大理石研磨机、切割机、调速机。</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3、大理石地面研磨采用第一遍50—100号金刚石磨片研磨，第二遍采用200号—600号金刚石磨片研磨，第三遍采用800—3000号金刚石磨片研磨。</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4、对大理石地面平整度偏差限值的要求为</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①表面平整度1㎜      ②缝格平直2㎜</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③接缝高低差0.5㎜    ④板块间隙宽度1㎜</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5、进入施工现场后，用保护膜对需要打磨的石材周边物体进行遮挡保护，以防施工过程中对周边物体及装饰成品收到污染和损坏。</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6、大理石地面的拼缝要清除彻底，以保证石材的整体效果，不让污物从缝隙中渗入石材中。</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7、根据石材颜色，采用石材颜色相近的云石胶调色填补缝隙及裂纹，使其整体效果一体化。</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8、精磨处理工序，待云石胶凝固后，适用翻新机配以最粗号磨头进行打磨，历经十遍以上不同磨号翻新、抛光处理，以保证石材的光泽持久。</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9、石材防护工序：经抛光处理后对版面做一层防水保护层，以确保适用时污物不再渗入。</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10、工程施工工序应严格按照从粗到细，补缝牢固，颜色一致，剪口研磨，平整与大理石面水平。</w:t>
      </w:r>
    </w:p>
    <w:p>
      <w:pPr>
        <w:ind w:firstLine="413"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结晶要求</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1、大理石地面结晶面采用符合国家质量检验标准合格产品的结晶粉K2—K3。</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2、大理石地面结晶面应清澈，致密、坚硬形成保护层，起到为石材表面加光、加硬的作用，能达到防滑、防水、防油的功效</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3、结晶加硬工序：板面干燥后才可做水晶加硬处理，反复多遍才能达到石材水晶加硬的最佳效果，而且起到防滑工程。经过处理后的石材一般光度基本能达到80度以上。</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4、工程施工结晶工序，应使用专用石材养护剂，使其充分渗透到石材内部并形成保护层（阻水层），从而达到、防污、防腐要求，以提高石材抗风化能力</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5、石材结晶完成面表面洁净、平整、坚实，光亮光滑，透明色泽一致，洁晶面层无裂纹，凹凸不平等现象。</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6、石材完成面结晶处理均匀，尤其是靠在建筑物和装饰物的地面边缘必须处理到位。</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7、石材表面结晶处理所使用的材料符合设计要求，材料必须有产品合格证及检验报告。</w:t>
      </w:r>
    </w:p>
    <w:tbl>
      <w:tblPr>
        <w:tblStyle w:val="9"/>
        <w:tblW w:w="8865" w:type="dxa"/>
        <w:tblInd w:w="0" w:type="dxa"/>
        <w:tblLayout w:type="fixed"/>
        <w:tblCellMar>
          <w:top w:w="15" w:type="dxa"/>
          <w:left w:w="15" w:type="dxa"/>
          <w:bottom w:w="15" w:type="dxa"/>
          <w:right w:w="15" w:type="dxa"/>
        </w:tblCellMar>
      </w:tblPr>
      <w:tblGrid>
        <w:gridCol w:w="4365"/>
        <w:gridCol w:w="1608"/>
        <w:gridCol w:w="1608"/>
        <w:gridCol w:w="1284"/>
      </w:tblGrid>
      <w:tr>
        <w:tblPrEx>
          <w:tblLayout w:type="fixed"/>
          <w:tblCellMar>
            <w:top w:w="15" w:type="dxa"/>
            <w:left w:w="15" w:type="dxa"/>
            <w:bottom w:w="15" w:type="dxa"/>
            <w:right w:w="15" w:type="dxa"/>
          </w:tblCellMar>
        </w:tblPrEx>
        <w:tc>
          <w:tcPr>
            <w:tcW w:w="436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4500" w:type="dxa"/>
            <w:gridSpan w:val="3"/>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翻新完成后标准值</w:t>
            </w:r>
          </w:p>
        </w:tc>
      </w:tr>
      <w:tr>
        <w:tblPrEx>
          <w:tblLayout w:type="fixed"/>
          <w:tblCellMar>
            <w:top w:w="15" w:type="dxa"/>
            <w:left w:w="15" w:type="dxa"/>
            <w:bottom w:w="15" w:type="dxa"/>
            <w:right w:w="15" w:type="dxa"/>
          </w:tblCellMar>
        </w:tblPrEx>
        <w:tc>
          <w:tcPr>
            <w:tcW w:w="4365" w:type="dxa"/>
            <w:vMerge w:val="restart"/>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1、石材表面光泽度</w:t>
            </w: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石材种类</w:t>
            </w: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石材硬度</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光泽度</w:t>
            </w:r>
          </w:p>
        </w:tc>
      </w:tr>
      <w:tr>
        <w:tblPrEx>
          <w:tblLayout w:type="fixed"/>
          <w:tblCellMar>
            <w:top w:w="15" w:type="dxa"/>
            <w:left w:w="15" w:type="dxa"/>
            <w:bottom w:w="15" w:type="dxa"/>
            <w:right w:w="15" w:type="dxa"/>
          </w:tblCellMar>
        </w:tblPrEx>
        <w:tc>
          <w:tcPr>
            <w:tcW w:w="436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大理石</w:t>
            </w: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软质</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≥80°</w:t>
            </w:r>
          </w:p>
        </w:tc>
      </w:tr>
      <w:tr>
        <w:tblPrEx>
          <w:tblLayout w:type="fixed"/>
          <w:tblCellMar>
            <w:top w:w="15" w:type="dxa"/>
            <w:left w:w="15" w:type="dxa"/>
            <w:bottom w:w="15" w:type="dxa"/>
            <w:right w:w="15" w:type="dxa"/>
          </w:tblCellMar>
        </w:tblPrEx>
        <w:tc>
          <w:tcPr>
            <w:tcW w:w="436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硬质</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≥95°</w:t>
            </w:r>
          </w:p>
        </w:tc>
      </w:tr>
      <w:tr>
        <w:tblPrEx>
          <w:tblLayout w:type="fixed"/>
          <w:tblCellMar>
            <w:top w:w="15" w:type="dxa"/>
            <w:left w:w="15" w:type="dxa"/>
            <w:bottom w:w="15" w:type="dxa"/>
            <w:right w:w="15" w:type="dxa"/>
          </w:tblCellMar>
        </w:tblPrEx>
        <w:tc>
          <w:tcPr>
            <w:tcW w:w="436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花岗石</w:t>
            </w: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软质</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≥75°</w:t>
            </w:r>
          </w:p>
        </w:tc>
      </w:tr>
      <w:tr>
        <w:tblPrEx>
          <w:tblLayout w:type="fixed"/>
          <w:tblCellMar>
            <w:top w:w="15" w:type="dxa"/>
            <w:left w:w="15" w:type="dxa"/>
            <w:bottom w:w="15" w:type="dxa"/>
            <w:right w:w="15" w:type="dxa"/>
          </w:tblCellMar>
        </w:tblPrEx>
        <w:tc>
          <w:tcPr>
            <w:tcW w:w="436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硬质</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≥80°</w:t>
            </w:r>
          </w:p>
        </w:tc>
      </w:tr>
      <w:tr>
        <w:tblPrEx>
          <w:tblLayout w:type="fixed"/>
          <w:tblCellMar>
            <w:top w:w="15" w:type="dxa"/>
            <w:left w:w="15" w:type="dxa"/>
            <w:bottom w:w="15" w:type="dxa"/>
            <w:right w:w="15" w:type="dxa"/>
          </w:tblCellMar>
        </w:tblPrEx>
        <w:trPr>
          <w:trHeight w:val="60" w:hRule="atLeast"/>
        </w:trPr>
        <w:tc>
          <w:tcPr>
            <w:tcW w:w="436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p>
        </w:tc>
        <w:tc>
          <w:tcPr>
            <w:tcW w:w="160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致密质</w:t>
            </w:r>
          </w:p>
        </w:tc>
        <w:tc>
          <w:tcPr>
            <w:tcW w:w="1284" w:type="dxa"/>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≥80°</w:t>
            </w:r>
          </w:p>
        </w:tc>
      </w:tr>
      <w:tr>
        <w:tblPrEx>
          <w:tblLayout w:type="fixed"/>
          <w:tblCellMar>
            <w:top w:w="15" w:type="dxa"/>
            <w:left w:w="15" w:type="dxa"/>
            <w:bottom w:w="15" w:type="dxa"/>
            <w:right w:w="15" w:type="dxa"/>
          </w:tblCellMar>
        </w:tblPrEx>
        <w:tc>
          <w:tcPr>
            <w:tcW w:w="4365" w:type="dxa"/>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2、石材表面平整度</w:t>
            </w:r>
          </w:p>
        </w:tc>
        <w:tc>
          <w:tcPr>
            <w:tcW w:w="4500" w:type="dxa"/>
            <w:gridSpan w:val="3"/>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目视佳</w:t>
            </w:r>
          </w:p>
        </w:tc>
      </w:tr>
      <w:tr>
        <w:tblPrEx>
          <w:tblLayout w:type="fixed"/>
          <w:tblCellMar>
            <w:top w:w="15" w:type="dxa"/>
            <w:left w:w="15" w:type="dxa"/>
            <w:bottom w:w="15" w:type="dxa"/>
            <w:right w:w="15" w:type="dxa"/>
          </w:tblCellMar>
        </w:tblPrEx>
        <w:tc>
          <w:tcPr>
            <w:tcW w:w="4365" w:type="dxa"/>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3、石材表面研磨刮线</w:t>
            </w:r>
          </w:p>
        </w:tc>
        <w:tc>
          <w:tcPr>
            <w:tcW w:w="4500" w:type="dxa"/>
            <w:gridSpan w:val="3"/>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无刮线</w:t>
            </w:r>
          </w:p>
        </w:tc>
      </w:tr>
      <w:tr>
        <w:tblPrEx>
          <w:tblLayout w:type="fixed"/>
          <w:tblCellMar>
            <w:top w:w="15" w:type="dxa"/>
            <w:left w:w="15" w:type="dxa"/>
            <w:bottom w:w="15" w:type="dxa"/>
            <w:right w:w="15" w:type="dxa"/>
          </w:tblCellMar>
        </w:tblPrEx>
        <w:trPr>
          <w:trHeight w:val="405" w:hRule="atLeast"/>
        </w:trPr>
        <w:tc>
          <w:tcPr>
            <w:tcW w:w="4365" w:type="dxa"/>
            <w:tcBorders>
              <w:top w:val="single" w:color="000000" w:sz="8" w:space="0"/>
              <w:left w:val="single" w:color="000000" w:sz="8" w:space="0"/>
              <w:bottom w:val="single" w:color="000000" w:sz="8" w:space="0"/>
              <w:right w:val="single" w:color="000000" w:sz="8" w:space="0"/>
            </w:tcBorders>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4、研磨翻新后石材色泽变化</w:t>
            </w:r>
          </w:p>
        </w:tc>
        <w:tc>
          <w:tcPr>
            <w:tcW w:w="4500" w:type="dxa"/>
            <w:gridSpan w:val="3"/>
            <w:tcBorders>
              <w:top w:val="single" w:color="000000" w:sz="8" w:space="0"/>
              <w:left w:val="single" w:color="000000" w:sz="8" w:space="0"/>
              <w:bottom w:val="single" w:color="000000" w:sz="8" w:space="0"/>
              <w:right w:val="single" w:color="000000" w:sz="8" w:space="0"/>
            </w:tcBorders>
            <w:noWrap w:val="0"/>
            <w:vAlign w:val="center"/>
          </w:tcPr>
          <w:p>
            <w:pPr>
              <w:ind w:firstLine="4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色泽亮丽、无烧伤变色</w:t>
            </w:r>
          </w:p>
        </w:tc>
      </w:tr>
    </w:tbl>
    <w:p>
      <w:pP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PVC打蜡要求</w:t>
      </w:r>
      <w:r>
        <w:rPr>
          <w:rFonts w:hint="eastAsia" w:asciiTheme="minorEastAsia" w:hAnsiTheme="minorEastAsia" w:eastAsiaTheme="minorEastAsia" w:cstheme="minorEastAsia"/>
          <w:bCs/>
          <w:color w:val="auto"/>
          <w:sz w:val="21"/>
          <w:szCs w:val="21"/>
          <w:highlight w:val="none"/>
        </w:rPr>
        <w:t xml:space="preserve">  </w:t>
      </w:r>
    </w:p>
    <w:p>
      <w:pPr>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频次要求：为了保持塑胶地板的光洁，首次打蜡至少1底3面共铺4层蜡，保养期可根据情况打蜡2-3层面蜡。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首先用推尘或吸尘器吸尘，清除表面垃圾。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用起蜡水按1∶10稀释后均匀涂在地面上，等5—10分钟，用擦地机加黑色强力起蜡垫去蜡，及时用吸水机将污水吸干。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用清水过洗、吸干，视情况可反复清洗，直到地面不留任何残余蜡液和清洁剂。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pvc地板上3-5层高强面蜡二合一硬光蜡。    </w:t>
      </w:r>
    </w:p>
    <w:p>
      <w:pP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特殊污垢的处理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油污：局部油污，将强力除油剂原液直接倒在毛巾上擦拭;大面积油污，将除油剂按1：10稀释后，用擦地机加红色洗地垫低速清洁。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黑胶印：用喷洁保养蜡配合高速抛光机加白色抛光垫抛光处理。对于时间比较长的黑胶印，可以将强力胶印去除剂直接倒在毛巾上擦拭处理。   </w:t>
      </w:r>
    </w:p>
    <w:p>
      <w:pPr>
        <w:pStyle w:val="21"/>
        <w:numPr>
          <w:ilvl w:val="0"/>
          <w:numId w:val="2"/>
        </w:numPr>
        <w:ind w:left="0" w:firstLine="0" w:firstLineChars="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胶或口香糖：用专业的强力除胶剂直接倒在毛巾上檫拭去除。万能清洁剂:强力除油剂喷洁保养蜡强力胶印去除剂强力除胶剂。</w:t>
      </w:r>
    </w:p>
    <w:p>
      <w:pPr>
        <w:pStyle w:val="21"/>
        <w:ind w:firstLine="413" w:firstLineChars="19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石材日常清洁养护及翻新研磨计划表</w:t>
      </w:r>
    </w:p>
    <w:tbl>
      <w:tblPr>
        <w:tblStyle w:val="9"/>
        <w:tblW w:w="8643" w:type="dxa"/>
        <w:jc w:val="center"/>
        <w:tblInd w:w="0" w:type="dxa"/>
        <w:tblLayout w:type="fixed"/>
        <w:tblCellMar>
          <w:top w:w="0" w:type="dxa"/>
          <w:left w:w="108" w:type="dxa"/>
          <w:bottom w:w="0" w:type="dxa"/>
          <w:right w:w="108" w:type="dxa"/>
        </w:tblCellMar>
      </w:tblPr>
      <w:tblGrid>
        <w:gridCol w:w="1683"/>
        <w:gridCol w:w="699"/>
        <w:gridCol w:w="843"/>
        <w:gridCol w:w="886"/>
        <w:gridCol w:w="720"/>
        <w:gridCol w:w="720"/>
        <w:gridCol w:w="696"/>
        <w:gridCol w:w="1011"/>
        <w:gridCol w:w="1385"/>
      </w:tblGrid>
      <w:tr>
        <w:tblPrEx>
          <w:tblLayout w:type="fixed"/>
          <w:tblCellMar>
            <w:top w:w="0" w:type="dxa"/>
            <w:left w:w="108" w:type="dxa"/>
            <w:bottom w:w="0" w:type="dxa"/>
            <w:right w:w="108" w:type="dxa"/>
          </w:tblCellMar>
        </w:tblPrEx>
        <w:trPr>
          <w:trHeight w:val="288" w:hRule="atLeast"/>
          <w:jc w:val="center"/>
        </w:trPr>
        <w:tc>
          <w:tcPr>
            <w:tcW w:w="1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84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88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69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101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38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88" w:hRule="atLeast"/>
          <w:jc w:val="center"/>
        </w:trPr>
        <w:tc>
          <w:tcPr>
            <w:tcW w:w="1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大堂地面石材</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4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8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69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85" w:type="dxa"/>
            <w:vMerge w:val="restart"/>
            <w:tcBorders>
              <w:top w:val="nil"/>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干净整洁，具体详见技术要求</w:t>
            </w:r>
          </w:p>
        </w:tc>
      </w:tr>
      <w:tr>
        <w:tblPrEx>
          <w:tblLayout w:type="fixed"/>
          <w:tblCellMar>
            <w:top w:w="0" w:type="dxa"/>
            <w:left w:w="108" w:type="dxa"/>
            <w:bottom w:w="0" w:type="dxa"/>
            <w:right w:w="108" w:type="dxa"/>
          </w:tblCellMar>
        </w:tblPrEx>
        <w:trPr>
          <w:trHeight w:val="288" w:hRule="atLeast"/>
          <w:jc w:val="center"/>
        </w:trPr>
        <w:tc>
          <w:tcPr>
            <w:tcW w:w="1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大堂墙面石材</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4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8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69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85" w:type="dxa"/>
            <w:vMerge w:val="continue"/>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rPr>
            </w:pPr>
          </w:p>
        </w:tc>
      </w:tr>
      <w:tr>
        <w:tblPrEx>
          <w:tblLayout w:type="fixed"/>
          <w:tblCellMar>
            <w:top w:w="0" w:type="dxa"/>
            <w:left w:w="108" w:type="dxa"/>
            <w:bottom w:w="0" w:type="dxa"/>
            <w:right w:w="108" w:type="dxa"/>
          </w:tblCellMar>
        </w:tblPrEx>
        <w:trPr>
          <w:trHeight w:val="288" w:hRule="atLeast"/>
          <w:jc w:val="center"/>
        </w:trPr>
        <w:tc>
          <w:tcPr>
            <w:tcW w:w="1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公区通道地面</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4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8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69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85" w:type="dxa"/>
            <w:vMerge w:val="continue"/>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rPr>
            </w:pPr>
          </w:p>
        </w:tc>
      </w:tr>
      <w:tr>
        <w:tblPrEx>
          <w:tblLayout w:type="fixed"/>
          <w:tblCellMar>
            <w:top w:w="0" w:type="dxa"/>
            <w:left w:w="108" w:type="dxa"/>
            <w:bottom w:w="0" w:type="dxa"/>
            <w:right w:w="108" w:type="dxa"/>
          </w:tblCellMar>
        </w:tblPrEx>
        <w:trPr>
          <w:trHeight w:val="288" w:hRule="atLeast"/>
          <w:jc w:val="center"/>
        </w:trPr>
        <w:tc>
          <w:tcPr>
            <w:tcW w:w="1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公区通道墙面</w:t>
            </w:r>
          </w:p>
        </w:tc>
        <w:tc>
          <w:tcPr>
            <w:tcW w:w="699"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4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8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69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01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8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p>
        </w:tc>
      </w:tr>
    </w:tbl>
    <w:p>
      <w:pPr>
        <w:pStyle w:val="21"/>
        <w:ind w:left="-420" w:leftChars="-200" w:firstLine="413" w:firstLineChars="19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PVC地面日常清洁养护及翻新研磨计划表</w:t>
      </w:r>
    </w:p>
    <w:tbl>
      <w:tblPr>
        <w:tblStyle w:val="9"/>
        <w:tblW w:w="9298" w:type="dxa"/>
        <w:jc w:val="center"/>
        <w:tblInd w:w="0" w:type="dxa"/>
        <w:tblLayout w:type="fixed"/>
        <w:tblCellMar>
          <w:top w:w="0" w:type="dxa"/>
          <w:left w:w="108" w:type="dxa"/>
          <w:bottom w:w="0" w:type="dxa"/>
          <w:right w:w="108" w:type="dxa"/>
        </w:tblCellMar>
      </w:tblPr>
      <w:tblGrid>
        <w:gridCol w:w="1956"/>
        <w:gridCol w:w="771"/>
        <w:gridCol w:w="895"/>
        <w:gridCol w:w="867"/>
        <w:gridCol w:w="798"/>
        <w:gridCol w:w="900"/>
        <w:gridCol w:w="862"/>
        <w:gridCol w:w="876"/>
        <w:gridCol w:w="1373"/>
      </w:tblGrid>
      <w:tr>
        <w:tblPrEx>
          <w:tblLayout w:type="fixed"/>
          <w:tblCellMar>
            <w:top w:w="0" w:type="dxa"/>
            <w:left w:w="108" w:type="dxa"/>
            <w:bottom w:w="0" w:type="dxa"/>
            <w:right w:w="108" w:type="dxa"/>
          </w:tblCellMar>
        </w:tblPrEx>
        <w:trPr>
          <w:trHeight w:val="288" w:hRule="atLeast"/>
          <w:jc w:val="center"/>
        </w:trPr>
        <w:tc>
          <w:tcPr>
            <w:tcW w:w="19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77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周一</w:t>
            </w:r>
          </w:p>
        </w:tc>
        <w:tc>
          <w:tcPr>
            <w:tcW w:w="89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周二</w:t>
            </w:r>
          </w:p>
        </w:tc>
        <w:tc>
          <w:tcPr>
            <w:tcW w:w="867"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周三</w:t>
            </w:r>
          </w:p>
        </w:tc>
        <w:tc>
          <w:tcPr>
            <w:tcW w:w="798"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周四</w:t>
            </w:r>
          </w:p>
        </w:tc>
        <w:tc>
          <w:tcPr>
            <w:tcW w:w="90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周五</w:t>
            </w:r>
          </w:p>
        </w:tc>
        <w:tc>
          <w:tcPr>
            <w:tcW w:w="862"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周六</w:t>
            </w:r>
          </w:p>
        </w:tc>
        <w:tc>
          <w:tcPr>
            <w:tcW w:w="87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周日</w:t>
            </w:r>
          </w:p>
        </w:tc>
        <w:tc>
          <w:tcPr>
            <w:tcW w:w="1373"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w:t>
            </w:r>
          </w:p>
        </w:tc>
      </w:tr>
      <w:tr>
        <w:tblPrEx>
          <w:tblLayout w:type="fixed"/>
          <w:tblCellMar>
            <w:top w:w="0" w:type="dxa"/>
            <w:left w:w="108" w:type="dxa"/>
            <w:bottom w:w="0" w:type="dxa"/>
            <w:right w:w="108" w:type="dxa"/>
          </w:tblCellMar>
        </w:tblPrEx>
        <w:trPr>
          <w:trHeight w:val="288" w:hRule="atLeast"/>
          <w:jc w:val="center"/>
        </w:trPr>
        <w:tc>
          <w:tcPr>
            <w:tcW w:w="19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诊室内PVC地面</w:t>
            </w:r>
          </w:p>
        </w:tc>
        <w:tc>
          <w:tcPr>
            <w:tcW w:w="77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9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7"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98"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0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2"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7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73" w:type="dxa"/>
            <w:vMerge w:val="restart"/>
            <w:tcBorders>
              <w:top w:val="nil"/>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干净整洁，具体详见技术要求</w:t>
            </w:r>
          </w:p>
        </w:tc>
      </w:tr>
      <w:tr>
        <w:tblPrEx>
          <w:tblLayout w:type="fixed"/>
          <w:tblCellMar>
            <w:top w:w="0" w:type="dxa"/>
            <w:left w:w="108" w:type="dxa"/>
            <w:bottom w:w="0" w:type="dxa"/>
            <w:right w:w="108" w:type="dxa"/>
          </w:tblCellMar>
        </w:tblPrEx>
        <w:trPr>
          <w:trHeight w:val="288" w:hRule="atLeast"/>
          <w:jc w:val="center"/>
        </w:trPr>
        <w:tc>
          <w:tcPr>
            <w:tcW w:w="19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通道内PVC地面</w:t>
            </w:r>
          </w:p>
        </w:tc>
        <w:tc>
          <w:tcPr>
            <w:tcW w:w="77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9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7"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98"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0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2"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7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73" w:type="dxa"/>
            <w:vMerge w:val="continue"/>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rPr>
            </w:pPr>
          </w:p>
        </w:tc>
      </w:tr>
      <w:tr>
        <w:tblPrEx>
          <w:tblLayout w:type="fixed"/>
          <w:tblCellMar>
            <w:top w:w="0" w:type="dxa"/>
            <w:left w:w="108" w:type="dxa"/>
            <w:bottom w:w="0" w:type="dxa"/>
            <w:right w:w="108" w:type="dxa"/>
          </w:tblCellMar>
        </w:tblPrEx>
        <w:trPr>
          <w:trHeight w:val="288" w:hRule="atLeast"/>
          <w:jc w:val="center"/>
        </w:trPr>
        <w:tc>
          <w:tcPr>
            <w:tcW w:w="19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公区PVC地面</w:t>
            </w:r>
          </w:p>
        </w:tc>
        <w:tc>
          <w:tcPr>
            <w:tcW w:w="771"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95"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7"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98"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900"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62"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76" w:type="dxa"/>
            <w:tcBorders>
              <w:top w:val="single" w:color="auto" w:sz="4" w:space="0"/>
              <w:left w:val="nil"/>
              <w:bottom w:val="single" w:color="auto" w:sz="4" w:space="0"/>
              <w:right w:val="single" w:color="auto" w:sz="4" w:space="0"/>
            </w:tcBorders>
            <w:shd w:val="clear" w:color="auto" w:fill="FFFFFF"/>
            <w:noWrap w:val="0"/>
            <w:vAlign w:val="center"/>
          </w:tcPr>
          <w:p>
            <w:pPr>
              <w:overflowPunct w:val="0"/>
              <w:autoSpaceDE w:val="0"/>
              <w:autoSpaceDN w:val="0"/>
              <w:adjustRightInd w:val="0"/>
              <w:jc w:val="center"/>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373" w:type="dxa"/>
            <w:vMerge w:val="continue"/>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rPr>
            </w:pPr>
          </w:p>
        </w:tc>
      </w:tr>
    </w:tbl>
    <w:p>
      <w:pPr>
        <w:autoSpaceDE w:val="0"/>
        <w:autoSpaceDN w:val="0"/>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（五）其他要求</w:t>
      </w:r>
    </w:p>
    <w:p>
      <w:pPr>
        <w:autoSpaceDE w:val="0"/>
        <w:autoSpaceDN w:val="0"/>
        <w:adjustRightInd w:val="0"/>
        <w:snapToGrid w:val="0"/>
        <w:ind w:firstLine="413" w:firstLineChars="196"/>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1、医疗废物运送要求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(1)医疗废物的清运必须指定专人，做好专业防护，佩戴专用手套、帽子、隔离衣，按照甲方规定的时间、路线及操作规程。</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(2)运送人员在运送医疗废物前，应检查包装袋或容器的标识，标签及封口是否符合要求，不得将不符合要求的医疗废物运送至暂时储存地点。</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(3)运送医疗废物应当使用防渗漏、防遗撒、无锐利边角、易于装卸和清洁的专用运送工具。</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(4)每日运送工作结束后，应当对运送工具进行清洁和消毒。</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(5)隔离的传染病人产生的感染性废物应当使用双层包装物，并及时封存。</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(6)包装袋内的废物不应超过袋子的3/4，并做到包扎完好，每个包装袋或容器上应标明废物产生单位、产生日期、主要内容物、运送目的地及特别说明。</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(7)运送涉疫情医废，应符合医院院感管理要求。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(8)运送医废人员应固定，不得随意更换，乙方应为其定期体检并留存体检报告。</w:t>
      </w:r>
    </w:p>
    <w:p>
      <w:pPr>
        <w:autoSpaceDE w:val="0"/>
        <w:autoSpaceDN w:val="0"/>
        <w:adjustRightInd w:val="0"/>
        <w:snapToGrid w:val="0"/>
        <w:ind w:firstLine="413" w:firstLineChars="196"/>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2、保洁应急能力及医院感染控制的专业管理知识要求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(1)当发生医疗垃圾泄漏事件时，能启动相关应急预案做好泄漏区域的消毒处置，同时报告院总务与规划建设处和院感染管理办公室并填写登记表。</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(2)当清运医疗垃圾发生锐器意外刺伤时，能启动相关应急预案进行初步处理，同时报告院总务与规划建设处和院感染管理办公室并填写登记表。</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(3)当发生重大事件时能及时向院总务与规划建设处报告，并及时协调应对本部门工作，有序保障医疗环境。</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(4)对医院废弃物的处置按照院感规定的标准执行，执行消毒隔离规定，并有制度、有标准，由措施。</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3、夜班具体要求</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（1）病区应安排足够的夜班人员，以确保达到医院质量要求，工作时间为18:00至次日6:30。</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A.地面：表面洁净、无尘土、污迹、烟头、纸屑、血迹及垃圾。</w:t>
      </w:r>
      <w:r>
        <w:rPr>
          <w:rFonts w:hint="eastAsia" w:asciiTheme="minorEastAsia" w:hAnsiTheme="minorEastAsia" w:eastAsiaTheme="minorEastAsia" w:cstheme="minorEastAsia"/>
          <w:bCs/>
          <w:color w:val="auto"/>
          <w:kern w:val="0"/>
          <w:sz w:val="21"/>
          <w:szCs w:val="21"/>
          <w:highlight w:val="none"/>
        </w:rPr>
        <w:t>擦拭地面要用8·4消毒液按比例进行擦拭。</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B.纸篓、不锈钢垃圾桶：不能超越2/3，垃圾袋不能二次使用。</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C.定期清洁卫生地面、卫生死角，包括输液室座椅、床下。</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D.核磁卫生间晚间，彻底清刷一次，并</w:t>
      </w:r>
      <w:r>
        <w:rPr>
          <w:rFonts w:hint="eastAsia" w:asciiTheme="minorEastAsia" w:hAnsiTheme="minorEastAsia" w:eastAsiaTheme="minorEastAsia" w:cstheme="minorEastAsia"/>
          <w:bCs/>
          <w:color w:val="auto"/>
          <w:kern w:val="0"/>
          <w:sz w:val="21"/>
          <w:szCs w:val="21"/>
          <w:highlight w:val="none"/>
        </w:rPr>
        <w:t>使用8·4消毒液，按照使用比例正确使用。</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E.夜班保洁员不能离开工作岗位，有应急工作，随叫随到。</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 病房晚间工作</w:t>
      </w:r>
    </w:p>
    <w:p>
      <w:pPr>
        <w:tabs>
          <w:tab w:val="left" w:pos="1138"/>
          <w:tab w:val="left" w:pos="1696"/>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A.地面：表面洁净、无尘土、污迹、烟头、纸屑、垃圾。</w:t>
      </w:r>
    </w:p>
    <w:p>
      <w:pPr>
        <w:tabs>
          <w:tab w:val="left" w:pos="1138"/>
          <w:tab w:val="left" w:pos="1696"/>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B.纸篓：倾倒纸篓垃圾、周边保持清洁、垃圾袋不能二次使用。</w:t>
      </w:r>
    </w:p>
    <w:p>
      <w:pPr>
        <w:tabs>
          <w:tab w:val="left" w:pos="1138"/>
          <w:tab w:val="left" w:pos="1696"/>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C.盥洗区域：台面、镜面要保持清洁、不垃圾杂物。</w:t>
      </w:r>
    </w:p>
    <w:p>
      <w:pPr>
        <w:tabs>
          <w:tab w:val="left" w:pos="1138"/>
          <w:tab w:val="left" w:pos="1696"/>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D.便器：清洁、无污渍、无异味。</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 外围、垃圾工晚间工作</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A.巡视清扫医技、病房楼门口，烟头、垃圾。</w:t>
      </w:r>
    </w:p>
    <w:p>
      <w:pPr>
        <w:tabs>
          <w:tab w:val="left" w:pos="1138"/>
        </w:tabs>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B.清运病房生活、医疗垃圾。</w:t>
      </w:r>
    </w:p>
    <w:p>
      <w:pPr>
        <w:autoSpaceDE w:val="0"/>
        <w:autoSpaceDN w:val="0"/>
        <w:adjustRightInd w:val="0"/>
        <w:snapToGrid w:val="0"/>
        <w:ind w:firstLine="413" w:firstLineChars="196"/>
        <w:jc w:val="left"/>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4、其它：</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（1）告示牌正确使用，在进行湿拖、洗地机作业、雨天时要在作业区醒目位置放置告示牌，防止病人滑倒或绊倒。</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乙方要为甲方提供不间断保洁管理服务，对ICU、手术室提供24小时保洁服务；对病区安排中班及夜班保洁服务、对医院遇特殊事件安排应急保洁服务对特殊区域；特殊地面进行专项机械保洁（机械设备由保洁公司配备）。</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乙方对行政办公区域负责4层、公共会议室内清洁工作，图书馆、实验室、档案室、展厅等区域每周定期入室清洁一次；对教学区负责专家层10层及退宿学生公寓室内的清洁及所有公共区域内的清洁工作，培训教室及会议室每周定期入室清洁一次。</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（4）乙方对检验科、临床检验室、教学实验室、治疗室、处置换药室等所有检验室、实验室等医疗操作室只负责保洁工作，不负责器械、试管、玻片、导管、操作台面的清洗消毒工作。</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（5）乙方负责建筑内部手可够及处的清洁工作，负责清洁擦拭手及手持工具可够及处玻璃的清洁，频次依具体情况酌情而定；负责清洁擦拭高处灯具、通风口、内墙、拆装窗帘和隔帘（1次/季度）。</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（6）乙方负责生活垃圾、医疗废物的收集、运送至院内暂存处，提供消耗品和垃圾袋。</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（7）乙方负责提供保洁员工和管理人员的服装和工作服的洗涤；提供保洁用的桌巾、尘推、拖布及洗涤消毒剂等服务用品。</w:t>
      </w:r>
    </w:p>
    <w:p>
      <w:pPr>
        <w:autoSpaceDE w:val="0"/>
        <w:autoSpaceDN w:val="0"/>
        <w:adjustRightInd w:val="0"/>
        <w:snapToGrid w:val="0"/>
        <w:ind w:firstLine="420" w:firstLineChars="200"/>
        <w:jc w:val="left"/>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（8）乙方负责出院病人床具床头桌清洁消毒，不负责铺床工作。床具消毒要做到一床一巾。</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（9）乙方使用的所有消毒液产品、浓度，均按院感染办公室规定执行。</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（10）医疗废物和生活垃圾的清运必须封闭式运输，并执行保洁管理办公室规定的时间、线路及操作规程。</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（11）乙方员工要挂牌上岗，服从院保洁管理办公室工作安排，遵守医院各项规章制度。</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（12）保洁范围还包括所有区域中央、集中空调的出风口和回风口。科室内的杂物搬运等。</w:t>
      </w:r>
    </w:p>
    <w:p>
      <w:pPr>
        <w:autoSpaceDE w:val="0"/>
        <w:autoSpaceDN w:val="0"/>
        <w:adjustRightInd w:val="0"/>
        <w:snapToGrid w:val="0"/>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（13）洗地、打蜡、石材养护等专项工作，需安排在节假日及夜间进行，做到零打扰式清洁模式。</w:t>
      </w:r>
    </w:p>
    <w:p>
      <w:pPr>
        <w:widowControl/>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四、卫生保洁考核标准</w:t>
      </w:r>
    </w:p>
    <w:p>
      <w:pPr>
        <w:widowControl/>
        <w:ind w:firstLine="413" w:firstLineChars="196"/>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1、管理要求：</w:t>
      </w:r>
    </w:p>
    <w:p>
      <w:pPr>
        <w:pStyle w:val="21"/>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乙方应按医院规定严格考勤纪律，要求所有保洁人员按要求刷指纹卡记录考勤，保洁经理因故外出，需提前告知甲方管理人员，做好工作安排和考勤记录。每月月底最后一天保洁经理与甲方管理人员应对保洁人员全月考勤签字确认。</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乙方须按合同内人员编制提供综合素质符合甲方要求的保洁服务人员。如因人员缺编造成保洁服务质量下降，保洁公司应承担全部责任；保洁公司招聘的保洁员，按要求提供相关资料（身份证复印件、健康证、无犯罪记录证明）后，方可办理进入医院工作。</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乙方应对保洁管理人员做好岗位职责、管理等方面的培训；应对保洁人员做好入职和岗前培训，确保新入职员工尽快熟悉工作流程、操作标准、礼节礼貌规范、岗位职责、劳动安全、消防安全等内容，培训合格方可上岗，若因个人原因（如未按操作流程或未按甲方要求操作）在工作中发生意外，由乙方承担全部责任。</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（4）保洁人员应遵守甲方《员工守则》内的规章制度，统一着装、统一管理，要操作规范，会使用礼貌用语。</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（5）乙方管理人员及所有保洁员工应签署《安全责任书》。</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（6）对于甲方检查出的问题，乙方应在甲方规定期限内进行整改，提交整改方案，并按要求提交书面材料报甲乙双方领导。</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（7）乙方应严格服从甲方管理，每日给员工召开班前班后会（通知环境组人员参加 ）并布置当日的工作内容做到及时沟通信息；每周与甲方共同对本周工作进行总结并提交问题整改措施。</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乙方项目管理需进行每日巡视，并做好巡视记录，对发现的问题及时进行整改及复查工作，随时起到指导和监督的作用，做到日清日毕。按照岗位职责，完成本职工作，不拖沓、不推诿、配合甲方做好对客服务。</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（9）保洁项目经理需提前一周做好每周、每月、每季度、半年度、年度工作计划及专项工作（内容全面，可操作性强），并上交环境部，对出现的相关问题进行研讨和解决。</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保洁人员应服从上级领导、团结同事、互相帮助、爱护公物、爱岗敬业，在规定时间内保质保量完成任务。保洁人员在工作时间不脱岗、不串岗、不大声喧哗，不做有损公司形象的事，不私自拿取或收受客户财物；对故意损坏、遗失工具或甲方设备设施者需按原价赔偿，所有违纪行为一经发现或被检举，视情节轻重给予相应处分直至辞退；</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（11）合理、妥善处理辞退员工事宜，避免发生劳动纠纷，甲方不承担任何责任。</w:t>
      </w:r>
    </w:p>
    <w:p>
      <w:pPr>
        <w:pStyle w:val="21"/>
        <w:tabs>
          <w:tab w:val="left" w:pos="425"/>
        </w:tabs>
        <w:snapToGrid w:val="0"/>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（12）乙方以季度付款为节点，对提出的问题、建议进行分析和总结，提出有效的解决措施，及时完善到服务方案及工作计划内，并上交甲方和监管方。</w:t>
      </w:r>
    </w:p>
    <w:p>
      <w:pPr>
        <w:autoSpaceDE w:val="0"/>
        <w:autoSpaceDN w:val="0"/>
        <w:adjustRightInd w:val="0"/>
        <w:snapToGrid w:val="0"/>
        <w:spacing w:line="360" w:lineRule="auto"/>
        <w:jc w:val="left"/>
        <w:rPr>
          <w:rFonts w:hint="eastAsia" w:asciiTheme="minorEastAsia" w:hAnsiTheme="minorEastAsia" w:eastAsiaTheme="minorEastAsia" w:cstheme="minorEastAsia"/>
          <w:color w:val="auto"/>
          <w:kern w:val="0"/>
          <w:sz w:val="21"/>
          <w:szCs w:val="21"/>
          <w:highlight w:val="none"/>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四、售后服务及培训要求</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 xml:space="preserve">    </w:t>
      </w:r>
      <w:r>
        <w:rPr>
          <w:rFonts w:hint="eastAsia" w:asciiTheme="minorEastAsia" w:hAnsiTheme="minorEastAsia" w:eastAsiaTheme="minorEastAsia" w:cstheme="minorEastAsia"/>
          <w:bCs/>
          <w:color w:val="auto"/>
          <w:sz w:val="21"/>
          <w:szCs w:val="21"/>
          <w:highlight w:val="none"/>
        </w:rPr>
        <w:t>无</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五、交货时间及地点</w:t>
      </w:r>
    </w:p>
    <w:p>
      <w:pPr>
        <w:adjustRightInd w:val="0"/>
        <w:spacing w:line="360" w:lineRule="atLeast"/>
        <w:ind w:firstLine="480"/>
        <w:jc w:val="left"/>
        <w:textAlignment w:val="baseline"/>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服务期限：2年</w:t>
      </w:r>
    </w:p>
    <w:p>
      <w:pPr>
        <w:adjustRightInd w:val="0"/>
        <w:spacing w:line="360" w:lineRule="atLeast"/>
        <w:ind w:firstLine="480"/>
        <w:jc w:val="left"/>
        <w:textAlignment w:val="baseline"/>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服务地点：北京市丰台区南四环西路 119 号</w:t>
      </w:r>
    </w:p>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六、验收服务要求</w:t>
      </w:r>
    </w:p>
    <w:p>
      <w:pPr>
        <w:autoSpaceDE w:val="0"/>
        <w:autoSpaceDN w:val="0"/>
        <w:adjustRightInd w:val="0"/>
        <w:snapToGrid w:val="0"/>
        <w:spacing w:line="360" w:lineRule="auto"/>
        <w:ind w:firstLine="420" w:firstLineChars="200"/>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考核表</w:t>
      </w:r>
    </w:p>
    <w:tbl>
      <w:tblPr>
        <w:tblStyle w:val="9"/>
        <w:tblW w:w="9526" w:type="dxa"/>
        <w:jc w:val="center"/>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218"/>
        <w:gridCol w:w="959"/>
        <w:gridCol w:w="2205"/>
        <w:gridCol w:w="1575"/>
        <w:gridCol w:w="705"/>
        <w:gridCol w:w="795"/>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9526" w:type="dxa"/>
            <w:gridSpan w:val="8"/>
            <w:shd w:val="clear" w:color="auto" w:fill="BEBEBE"/>
            <w:noWrap w:val="0"/>
            <w:vAlign w:val="center"/>
          </w:tcPr>
          <w:p>
            <w:pPr>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一．人员考核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824" w:type="dxa"/>
            <w:gridSpan w:val="2"/>
            <w:shd w:val="clear" w:color="auto" w:fill="FFFFFF"/>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出勤人数</w:t>
            </w:r>
          </w:p>
        </w:tc>
        <w:tc>
          <w:tcPr>
            <w:tcW w:w="3164" w:type="dxa"/>
            <w:gridSpan w:val="2"/>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575" w:type="dxa"/>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出勤率</w:t>
            </w:r>
          </w:p>
        </w:tc>
        <w:tc>
          <w:tcPr>
            <w:tcW w:w="2963" w:type="dxa"/>
            <w:gridSpan w:val="3"/>
            <w:shd w:val="clear" w:color="auto" w:fill="FFFFFF"/>
            <w:noWrap w:val="0"/>
            <w:vAlign w:val="center"/>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9526" w:type="dxa"/>
            <w:gridSpan w:val="8"/>
            <w:shd w:val="clear" w:color="auto" w:fill="BEBEBE"/>
            <w:noWrap w:val="0"/>
            <w:vAlign w:val="center"/>
          </w:tcPr>
          <w:p>
            <w:pPr>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二．服务质量考核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606"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序号</w:t>
            </w:r>
          </w:p>
        </w:tc>
        <w:tc>
          <w:tcPr>
            <w:tcW w:w="1218"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考核项目</w:t>
            </w:r>
          </w:p>
        </w:tc>
        <w:tc>
          <w:tcPr>
            <w:tcW w:w="959"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分值</w:t>
            </w:r>
          </w:p>
        </w:tc>
        <w:tc>
          <w:tcPr>
            <w:tcW w:w="4485" w:type="dxa"/>
            <w:gridSpan w:val="3"/>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标准</w:t>
            </w:r>
          </w:p>
        </w:tc>
        <w:tc>
          <w:tcPr>
            <w:tcW w:w="795"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得分</w:t>
            </w:r>
          </w:p>
        </w:tc>
        <w:tc>
          <w:tcPr>
            <w:tcW w:w="1463" w:type="dxa"/>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606" w:type="dxa"/>
            <w:vMerge w:val="restart"/>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p>
        </w:tc>
        <w:tc>
          <w:tcPr>
            <w:tcW w:w="1218" w:type="dxa"/>
            <w:vMerge w:val="restart"/>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 xml:space="preserve"> 日常清洁</w:t>
            </w:r>
          </w:p>
        </w:tc>
        <w:tc>
          <w:tcPr>
            <w:tcW w:w="959" w:type="dxa"/>
            <w:vMerge w:val="restart"/>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30分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楼内公共区域、外围及地库：</w:t>
            </w:r>
            <w:r>
              <w:rPr>
                <w:rFonts w:hint="eastAsia" w:asciiTheme="minorEastAsia" w:hAnsiTheme="minorEastAsia" w:eastAsiaTheme="minorEastAsia" w:cstheme="minorEastAsia"/>
                <w:color w:val="auto"/>
                <w:sz w:val="21"/>
                <w:szCs w:val="21"/>
                <w:highlight w:val="none"/>
              </w:rPr>
              <w:t>地面光亮、无污渍、无杂物、无异味，垃圾无堆积、无遗漏、垃圾桶定制摆放、外表光亮，雨搭及玻璃（室内及地库出入口）光亮、无手印、无积尘，墙壁、顶棚、出风口、灯具、楼顶定期清洁、无杂物、无灰尘，标识及公共设施（挂号机、售卖机、花盆等）清洁、无积尘，分诊台及候诊椅摆放整齐，表面擦拭干净，定期做彻底清洁等。  不符合要求，每人次扣0.5分</w:t>
            </w:r>
          </w:p>
        </w:tc>
        <w:tc>
          <w:tcPr>
            <w:tcW w:w="795" w:type="dxa"/>
            <w:vMerge w:val="restart"/>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63" w:type="dxa"/>
            <w:vMerge w:val="restart"/>
            <w:noWrap w:val="0"/>
            <w:vAlign w:val="center"/>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606"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1218"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959"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治疗室、药疗室、医生办公室、行政办公室、其他功能性房：</w:t>
            </w:r>
            <w:r>
              <w:rPr>
                <w:rFonts w:hint="eastAsia" w:asciiTheme="minorEastAsia" w:hAnsiTheme="minorEastAsia" w:eastAsiaTheme="minorEastAsia" w:cstheme="minorEastAsia"/>
                <w:color w:val="auto"/>
                <w:sz w:val="21"/>
                <w:szCs w:val="21"/>
                <w:highlight w:val="none"/>
              </w:rPr>
              <w:t>遵守院规、清洁后保证地面无污渍，无杂物、无卫生死角，家具、壁架等无尘土，对清洁项目进行消毒，清洁、无污渍、垃圾无堆积、医疗垃圾按院感染办规定处理。  不符合要求，每人次扣0.5分</w:t>
            </w:r>
          </w:p>
        </w:tc>
        <w:tc>
          <w:tcPr>
            <w:tcW w:w="795"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1463"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606"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1218"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959"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楼梯、电梯：</w:t>
            </w:r>
            <w:r>
              <w:rPr>
                <w:rFonts w:hint="eastAsia" w:asciiTheme="minorEastAsia" w:hAnsiTheme="minorEastAsia" w:eastAsiaTheme="minorEastAsia" w:cstheme="minorEastAsia"/>
                <w:color w:val="auto"/>
                <w:sz w:val="21"/>
                <w:szCs w:val="21"/>
                <w:highlight w:val="none"/>
              </w:rPr>
              <w:t>清洁、楼梯扶手光亮、无污渍、无垃圾堆放，电梯轿厢内清洁、顶面定期打蜡、无污渍、无卫生死角。   不符合要求，每人次扣0.5分</w:t>
            </w:r>
          </w:p>
        </w:tc>
        <w:tc>
          <w:tcPr>
            <w:tcW w:w="795"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1463"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606"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1218"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959"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诊室：</w:t>
            </w:r>
            <w:r>
              <w:rPr>
                <w:rFonts w:hint="eastAsia" w:asciiTheme="minorEastAsia" w:hAnsiTheme="minorEastAsia" w:eastAsiaTheme="minorEastAsia" w:cstheme="minorEastAsia"/>
                <w:color w:val="auto"/>
                <w:sz w:val="21"/>
                <w:szCs w:val="21"/>
                <w:highlight w:val="none"/>
              </w:rPr>
              <w:t>清洁、无污渍、医疗垃圾无遗漏、堆放、诊桌，椅（“一桌一巾”消毒擦拭）。不符合要求，每人次扣0.5分</w:t>
            </w:r>
          </w:p>
        </w:tc>
        <w:tc>
          <w:tcPr>
            <w:tcW w:w="795"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1463"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606"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1218"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959"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病房及医技检查科室：</w:t>
            </w:r>
            <w:r>
              <w:rPr>
                <w:rFonts w:hint="eastAsia" w:asciiTheme="minorEastAsia" w:hAnsiTheme="minorEastAsia" w:eastAsiaTheme="minorEastAsia" w:cstheme="minorEastAsia"/>
                <w:color w:val="auto"/>
                <w:sz w:val="21"/>
                <w:szCs w:val="21"/>
                <w:highlight w:val="none"/>
              </w:rPr>
              <w:t>“一桌一巾”消毒擦拭，清洁、地面光亮，无污渍、终末消毒严格按照院感要求、擦拭及收到垃圾顺序遵循科室的要求，定期更换毛巾、地巾。不符合要求，每人次扣0.5分</w:t>
            </w:r>
          </w:p>
        </w:tc>
        <w:tc>
          <w:tcPr>
            <w:tcW w:w="795"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1463"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606"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1218"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959" w:type="dxa"/>
            <w:vMerge w:val="continue"/>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手术室、ICU：</w:t>
            </w:r>
            <w:r>
              <w:rPr>
                <w:rFonts w:hint="eastAsia" w:asciiTheme="minorEastAsia" w:hAnsiTheme="minorEastAsia" w:eastAsiaTheme="minorEastAsia" w:cstheme="minorEastAsia"/>
                <w:color w:val="auto"/>
                <w:sz w:val="21"/>
                <w:szCs w:val="21"/>
                <w:highlight w:val="none"/>
              </w:rPr>
              <w:t>符合消毒隔离要求清洁，无死角、无污渍。不符合要求，每人次扣0.5分</w:t>
            </w:r>
          </w:p>
        </w:tc>
        <w:tc>
          <w:tcPr>
            <w:tcW w:w="795"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c>
          <w:tcPr>
            <w:tcW w:w="1463" w:type="dxa"/>
            <w:vMerge w:val="continue"/>
            <w:noWrap w:val="0"/>
            <w:vAlign w:val="center"/>
          </w:tcPr>
          <w:p>
            <w:pPr>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606" w:type="dxa"/>
            <w:vMerge w:val="restart"/>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w:t>
            </w:r>
          </w:p>
        </w:tc>
        <w:tc>
          <w:tcPr>
            <w:tcW w:w="1218" w:type="dxa"/>
            <w:vMerge w:val="restart"/>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卫生间清洁</w:t>
            </w: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卫生间无异味、无蚊蝇、无积水、清洁记录按要求填写、耗材供应充足、卫生洁具每日全面清洁消毒、无投诉。不符合要求，每人次扣0.5分</w:t>
            </w:r>
          </w:p>
        </w:tc>
        <w:tc>
          <w:tcPr>
            <w:tcW w:w="795"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63" w:type="dxa"/>
            <w:noWrap w:val="0"/>
            <w:vAlign w:val="center"/>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606"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1218" w:type="dxa"/>
            <w:vMerge w:val="continue"/>
            <w:noWrap w:val="0"/>
            <w:vAlign w:val="center"/>
          </w:tcPr>
          <w:p>
            <w:pPr>
              <w:jc w:val="center"/>
              <w:rPr>
                <w:rFonts w:hint="eastAsia" w:asciiTheme="minorEastAsia" w:hAnsiTheme="minorEastAsia" w:eastAsiaTheme="minorEastAsia" w:cstheme="minorEastAsia"/>
                <w:bCs/>
                <w:color w:val="auto"/>
                <w:sz w:val="21"/>
                <w:szCs w:val="21"/>
                <w:highlight w:val="none"/>
              </w:rPr>
            </w:pP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专人负责清洁维护，保持墙面瓷砖、门窗无明显灰尘、无小广告，天花板、灯具目视无明显灰尘，地面无水渍、无尿液、无纸屑、无烟头，镜面明亮，面台、洗手池、水龙头无水渍、无痰渍，大、小便器无尿碱、内外洁净、喷水嘴洁净流畅，烘手器、皂液盒、隔板、顶板、手纸架无印迹、污渍、光亮洁净，纸篓内污物量不超过桶体三分之二。不符合要求，每人次扣0.5分</w:t>
            </w:r>
          </w:p>
        </w:tc>
        <w:tc>
          <w:tcPr>
            <w:tcW w:w="795" w:type="dxa"/>
            <w:noWrap w:val="0"/>
            <w:vAlign w:val="center"/>
          </w:tcPr>
          <w:p>
            <w:pPr>
              <w:jc w:val="center"/>
              <w:rPr>
                <w:rFonts w:hint="eastAsia" w:asciiTheme="minorEastAsia" w:hAnsiTheme="minorEastAsia" w:eastAsiaTheme="minorEastAsia" w:cstheme="minorEastAsia"/>
                <w:color w:val="auto"/>
                <w:sz w:val="21"/>
                <w:szCs w:val="21"/>
                <w:highlight w:val="none"/>
              </w:rPr>
            </w:pPr>
          </w:p>
        </w:tc>
        <w:tc>
          <w:tcPr>
            <w:tcW w:w="1463" w:type="dxa"/>
            <w:noWrap w:val="0"/>
            <w:vAlign w:val="center"/>
          </w:tcPr>
          <w:p>
            <w:pPr>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606"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w:t>
            </w:r>
          </w:p>
        </w:tc>
        <w:tc>
          <w:tcPr>
            <w:tcW w:w="1218"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环境专项</w:t>
            </w: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PVC打蜡、石材养护、地毯清洗等按照合同要求执行。不符合要求，每人次扣0.5分</w:t>
            </w:r>
          </w:p>
        </w:tc>
        <w:tc>
          <w:tcPr>
            <w:tcW w:w="795" w:type="dxa"/>
            <w:noWrap w:val="0"/>
            <w:vAlign w:val="center"/>
          </w:tcPr>
          <w:p>
            <w:pPr>
              <w:jc w:val="left"/>
              <w:rPr>
                <w:rFonts w:hint="eastAsia" w:asciiTheme="minorEastAsia" w:hAnsiTheme="minorEastAsia" w:eastAsiaTheme="minorEastAsia" w:cstheme="minorEastAsia"/>
                <w:b/>
                <w:color w:val="auto"/>
                <w:sz w:val="21"/>
                <w:szCs w:val="21"/>
                <w:highlight w:val="none"/>
              </w:rPr>
            </w:pPr>
          </w:p>
        </w:tc>
        <w:tc>
          <w:tcPr>
            <w:tcW w:w="1463" w:type="dxa"/>
            <w:noWrap w:val="0"/>
            <w:vAlign w:val="center"/>
          </w:tcPr>
          <w:p>
            <w:pPr>
              <w:jc w:val="left"/>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606"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4</w:t>
            </w:r>
          </w:p>
        </w:tc>
        <w:tc>
          <w:tcPr>
            <w:tcW w:w="1218"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员工管理</w:t>
            </w: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10分</w:t>
            </w:r>
          </w:p>
        </w:tc>
        <w:tc>
          <w:tcPr>
            <w:tcW w:w="4485" w:type="dxa"/>
            <w:gridSpan w:val="3"/>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执行员工岗位纪律、按时打卡、准时到岗、见到医护人员主动避让、问好，出勤率良好。仪容仪表、行为举止、语言规范符合要求。不得做与工作无关的事：上岗不得吸烟、吃零食、嚼口香糖。吹口哨、听收录机、玩手机、接（打）私人电话，与人闲聊、大声喧哗或与人争吵、打瞌睡等。接受医院及上级管理部门监督、检查。遵纪守法、遵守操作规程、遵守劳动纪律、遵守医院规章制度，不得扰乱医院正常工作秩序，按工作规程操作对投诉及时整改。不符合要求，每人次扣0.5分</w:t>
            </w:r>
          </w:p>
        </w:tc>
        <w:tc>
          <w:tcPr>
            <w:tcW w:w="795"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606"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w:t>
            </w:r>
          </w:p>
        </w:tc>
        <w:tc>
          <w:tcPr>
            <w:tcW w:w="1218"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制度执行</w:t>
            </w: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制度上墙，按时召开班会、总结会、培训会、按规定进行交接班，定期培训、考核，按时提交各类报表、现场管理符合5S要求、记录填写完善。保洁工作车干净整洁，停放得当，“小心地滑”警示牌干净，摆放整齐，保洁设备，由专人负责使用，注意工作时，尽量不要妨碍医护人员行走，保洁棉织品集中洗涤消毒分类、分区使用，消毒剂、洗涤剂、机械保洁维护剂等必需的易耗物品，需使用符合国家质量及环保标准认证正规厂家生产的品牌类产品。不符合要求，每人次扣0.5分</w:t>
            </w:r>
          </w:p>
        </w:tc>
        <w:tc>
          <w:tcPr>
            <w:tcW w:w="795"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606"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6</w:t>
            </w:r>
          </w:p>
        </w:tc>
        <w:tc>
          <w:tcPr>
            <w:tcW w:w="1218" w:type="dxa"/>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走动管理</w:t>
            </w:r>
          </w:p>
        </w:tc>
        <w:tc>
          <w:tcPr>
            <w:tcW w:w="959" w:type="dxa"/>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5分</w:t>
            </w:r>
          </w:p>
        </w:tc>
        <w:tc>
          <w:tcPr>
            <w:tcW w:w="4485" w:type="dxa"/>
            <w:gridSpan w:val="3"/>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管每周走遍辖区1次；经理每月走遍全楼1次，有走动管理痕迹。管理人员对一线保洁人员有针对性的指导、帮助及一对一开展专项培训。在岗的员工具备节约用水、节约用电、随手开关窗的意识和行为。不符合要求，每人次扣0.5分</w:t>
            </w:r>
          </w:p>
        </w:tc>
        <w:tc>
          <w:tcPr>
            <w:tcW w:w="795"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606" w:type="dxa"/>
            <w:tcBorders>
              <w:bottom w:val="single" w:color="auto" w:sz="4" w:space="0"/>
            </w:tcBorders>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7</w:t>
            </w:r>
          </w:p>
        </w:tc>
        <w:tc>
          <w:tcPr>
            <w:tcW w:w="1218" w:type="dxa"/>
            <w:tcBorders>
              <w:bottom w:val="single" w:color="auto" w:sz="4" w:space="0"/>
            </w:tcBorders>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安全管理</w:t>
            </w:r>
          </w:p>
        </w:tc>
        <w:tc>
          <w:tcPr>
            <w:tcW w:w="959"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5分</w:t>
            </w:r>
          </w:p>
        </w:tc>
        <w:tc>
          <w:tcPr>
            <w:tcW w:w="4485" w:type="dxa"/>
            <w:gridSpan w:val="3"/>
            <w:tcBorders>
              <w:bottom w:val="single" w:color="auto" w:sz="4" w:space="0"/>
            </w:tcBorders>
            <w:noWrap w:val="0"/>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员工签订安全责任书、开展风险隐患识别及安全隐患排查，责任到人，定期进行培训、排查、整改。根据功能区域需要为员工配备基本的个人安全防护用品，如口罩、手套、帽子、围裙、胶鞋等。高空作业实施安全措施。按规定进行消毒，并做消毒记录。洁净工作按区域存放，并贴有色标。雨雪等恶劣天气采取有效防滑措施。进行湿拖、洗地机作业、雨天时要在作业区醒目位置放置告示牌防止病人滑倒或绊倒。医疗垃圾的清运必须指定专人，做好专业防护，佩戴专用手套、帽子、隔离衣，按照采购人规定的时间、路线及操作规程，发现医疗垃圾泄露及锐器扎伤时，及时上报，具备现场应急处理的能力。不符合要求，每人次扣0.5分</w:t>
            </w:r>
          </w:p>
        </w:tc>
        <w:tc>
          <w:tcPr>
            <w:tcW w:w="795"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606" w:type="dxa"/>
            <w:tcBorders>
              <w:bottom w:val="single" w:color="auto" w:sz="4" w:space="0"/>
            </w:tcBorders>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lang w:bidi="ar"/>
              </w:rPr>
              <w:t>8</w:t>
            </w:r>
          </w:p>
        </w:tc>
        <w:tc>
          <w:tcPr>
            <w:tcW w:w="1218" w:type="dxa"/>
            <w:tcBorders>
              <w:bottom w:val="single" w:color="auto" w:sz="4" w:space="0"/>
            </w:tcBorders>
            <w:noWrap w:val="0"/>
            <w:vAlign w:val="center"/>
          </w:tcPr>
          <w:p>
            <w:pPr>
              <w:jc w:val="center"/>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lang w:bidi="ar"/>
              </w:rPr>
              <w:t>质量管理</w:t>
            </w:r>
          </w:p>
        </w:tc>
        <w:tc>
          <w:tcPr>
            <w:tcW w:w="959"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bidi="ar"/>
              </w:rPr>
              <w:t>10分</w:t>
            </w:r>
          </w:p>
        </w:tc>
        <w:tc>
          <w:tcPr>
            <w:tcW w:w="4485" w:type="dxa"/>
            <w:gridSpan w:val="3"/>
            <w:tcBorders>
              <w:bottom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bidi="ar"/>
              </w:rPr>
              <w:t>能够随时迎接上级及院方的各种检查、配合院方完成接待活动，无差错。针对采购人及监管方检查问题整改及时，及时反馈，改进措施有效。按照采购人要求，按时提交工作总结报告。不符合要求，每人次扣0.5分</w:t>
            </w:r>
          </w:p>
        </w:tc>
        <w:tc>
          <w:tcPr>
            <w:tcW w:w="795"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606"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rPr>
              <w:t>9</w:t>
            </w:r>
          </w:p>
        </w:tc>
        <w:tc>
          <w:tcPr>
            <w:tcW w:w="1218"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rPr>
              <w:t>服务质量</w:t>
            </w:r>
          </w:p>
        </w:tc>
        <w:tc>
          <w:tcPr>
            <w:tcW w:w="959"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rPr>
              <w:t>10分</w:t>
            </w:r>
          </w:p>
        </w:tc>
        <w:tc>
          <w:tcPr>
            <w:tcW w:w="4485" w:type="dxa"/>
            <w:gridSpan w:val="3"/>
            <w:tcBorders>
              <w:bottom w:val="single" w:color="auto" w:sz="4" w:space="0"/>
            </w:tcBorders>
            <w:noWrap w:val="0"/>
            <w:vAlign w:val="center"/>
          </w:tcPr>
          <w:p>
            <w:pPr>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rPr>
              <w:t>应急响应、接单及时率、完成质量、反馈及时率、医患评价及投诉处理  。不符合要求，每人次扣0.5分，视情节及影响力酌情扣分</w:t>
            </w:r>
          </w:p>
        </w:tc>
        <w:tc>
          <w:tcPr>
            <w:tcW w:w="795"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c>
          <w:tcPr>
            <w:tcW w:w="1463" w:type="dxa"/>
            <w:tcBorders>
              <w:bottom w:val="single" w:color="auto" w:sz="4" w:space="0"/>
            </w:tcBorders>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824" w:type="dxa"/>
            <w:gridSpan w:val="2"/>
            <w:noWrap w:val="0"/>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得分</w:t>
            </w:r>
          </w:p>
        </w:tc>
        <w:tc>
          <w:tcPr>
            <w:tcW w:w="959" w:type="dxa"/>
            <w:noWrap w:val="0"/>
            <w:vAlign w:val="center"/>
          </w:tcPr>
          <w:p>
            <w:pPr>
              <w:ind w:firstLine="211"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100</w:t>
            </w:r>
            <w:r>
              <w:rPr>
                <w:rFonts w:hint="eastAsia" w:asciiTheme="minorEastAsia" w:hAnsiTheme="minorEastAsia" w:eastAsiaTheme="minorEastAsia" w:cstheme="minorEastAsia"/>
                <w:color w:val="auto"/>
                <w:sz w:val="21"/>
                <w:szCs w:val="21"/>
                <w:highlight w:val="none"/>
              </w:rPr>
              <w:t>分</w:t>
            </w:r>
          </w:p>
        </w:tc>
        <w:tc>
          <w:tcPr>
            <w:tcW w:w="6743" w:type="dxa"/>
            <w:gridSpan w:val="5"/>
            <w:noWrap w:val="0"/>
            <w:vAlign w:val="center"/>
          </w:tcPr>
          <w:p>
            <w:pPr>
              <w:jc w:val="center"/>
              <w:rPr>
                <w:rFonts w:hint="eastAsia" w:asciiTheme="minorEastAsia" w:hAnsiTheme="minorEastAsia" w:eastAsiaTheme="minorEastAsia" w:cstheme="min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2783" w:type="dxa"/>
            <w:gridSpan w:val="3"/>
            <w:noWrap w:val="0"/>
            <w:vAlign w:val="center"/>
          </w:tcPr>
          <w:p>
            <w:pPr>
              <w:ind w:firstLine="211" w:firstLineChars="10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监管人意见</w:t>
            </w:r>
          </w:p>
        </w:tc>
        <w:tc>
          <w:tcPr>
            <w:tcW w:w="6743" w:type="dxa"/>
            <w:gridSpan w:val="5"/>
            <w:noWrap w:val="0"/>
            <w:vAlign w:val="center"/>
          </w:tcPr>
          <w:p>
            <w:pPr>
              <w:jc w:val="center"/>
              <w:rPr>
                <w:rFonts w:hint="eastAsia" w:asciiTheme="minorEastAsia" w:hAnsiTheme="minorEastAsia" w:eastAsiaTheme="minorEastAsia" w:cstheme="minorEastAsia"/>
                <w:color w:val="auto"/>
                <w:sz w:val="21"/>
                <w:szCs w:val="21"/>
                <w:highlight w:val="none"/>
              </w:rPr>
            </w:pPr>
          </w:p>
          <w:p>
            <w:pPr>
              <w:jc w:val="center"/>
              <w:rPr>
                <w:rFonts w:hint="eastAsia" w:asciiTheme="minorEastAsia" w:hAnsiTheme="minorEastAsia" w:eastAsiaTheme="minorEastAsia" w:cstheme="minorEastAsia"/>
                <w:color w:val="auto"/>
                <w:sz w:val="21"/>
                <w:szCs w:val="21"/>
                <w:highlight w:val="none"/>
              </w:rPr>
            </w:pPr>
          </w:p>
          <w:p>
            <w:pPr>
              <w:jc w:val="center"/>
              <w:rPr>
                <w:rFonts w:hint="eastAsia" w:asciiTheme="minorEastAsia" w:hAnsiTheme="minorEastAsia" w:eastAsiaTheme="minorEastAsia" w:cstheme="minorEastAsia"/>
                <w:color w:val="auto"/>
                <w:sz w:val="21"/>
                <w:szCs w:val="21"/>
                <w:highlight w:val="none"/>
              </w:rPr>
            </w:pPr>
          </w:p>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jc w:val="center"/>
        </w:trPr>
        <w:tc>
          <w:tcPr>
            <w:tcW w:w="2783" w:type="dxa"/>
            <w:gridSpan w:val="3"/>
            <w:noWrap w:val="0"/>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总务与规划建设处</w:t>
            </w:r>
          </w:p>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意见</w:t>
            </w:r>
          </w:p>
        </w:tc>
        <w:tc>
          <w:tcPr>
            <w:tcW w:w="6743" w:type="dxa"/>
            <w:gridSpan w:val="5"/>
            <w:noWrap w:val="0"/>
            <w:vAlign w:val="center"/>
          </w:tcPr>
          <w:p>
            <w:pPr>
              <w:jc w:val="center"/>
              <w:rPr>
                <w:rFonts w:hint="eastAsia" w:asciiTheme="minorEastAsia" w:hAnsiTheme="minorEastAsia" w:eastAsiaTheme="minorEastAsia" w:cstheme="minorEastAsia"/>
                <w:b/>
                <w:color w:val="auto"/>
                <w:sz w:val="21"/>
                <w:szCs w:val="21"/>
                <w:highlight w:val="none"/>
              </w:rPr>
            </w:pPr>
          </w:p>
          <w:p>
            <w:pPr>
              <w:jc w:val="center"/>
              <w:rPr>
                <w:rFonts w:hint="eastAsia" w:asciiTheme="minorEastAsia" w:hAnsiTheme="minorEastAsia" w:eastAsiaTheme="minorEastAsia" w:cstheme="minorEastAsia"/>
                <w:b/>
                <w:color w:val="auto"/>
                <w:sz w:val="21"/>
                <w:szCs w:val="21"/>
                <w:highlight w:val="none"/>
              </w:rPr>
            </w:pPr>
          </w:p>
          <w:p>
            <w:pPr>
              <w:jc w:val="center"/>
              <w:rPr>
                <w:rFonts w:hint="eastAsia" w:asciiTheme="minorEastAsia" w:hAnsiTheme="minorEastAsia" w:eastAsiaTheme="minorEastAsia" w:cstheme="minorEastAsia"/>
                <w:b/>
                <w:color w:val="auto"/>
                <w:sz w:val="21"/>
                <w:szCs w:val="21"/>
                <w:highlight w:val="none"/>
              </w:rPr>
            </w:pPr>
          </w:p>
          <w:p>
            <w:pPr>
              <w:jc w:val="center"/>
              <w:rPr>
                <w:rFonts w:hint="eastAsia" w:asciiTheme="minorEastAsia" w:hAnsiTheme="minorEastAsia" w:eastAsiaTheme="minorEastAsia" w:cstheme="minorEastAsia"/>
                <w:b/>
                <w:color w:val="auto"/>
                <w:sz w:val="21"/>
                <w:szCs w:val="21"/>
                <w:highlight w:val="none"/>
              </w:rPr>
            </w:pPr>
          </w:p>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1" w:hRule="atLeast"/>
          <w:jc w:val="center"/>
        </w:trPr>
        <w:tc>
          <w:tcPr>
            <w:tcW w:w="9526" w:type="dxa"/>
            <w:gridSpan w:val="8"/>
            <w:noWrap w:val="0"/>
            <w:vAlign w:val="top"/>
          </w:tcPr>
          <w:p>
            <w:pP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说  明：</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1.临床满意度项由一站式服务部评价打分；</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考核结果90≤X＜100分，属于基本符合要求，可正常支付合同款；</w:t>
            </w:r>
          </w:p>
          <w:p>
            <w:pPr>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考核结果80≤X＜90分，扣除考核期间应付合同款的1%作为违约金；</w:t>
            </w:r>
          </w:p>
          <w:p>
            <w:pPr>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考核结果70≤X＜80分，扣除考核期间应付合同款的2%作为违约金；</w:t>
            </w:r>
          </w:p>
          <w:p>
            <w:pPr>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考核结果60≤X＜70分，扣除考核期间应付合同款的5%作为违约金；       </w:t>
            </w:r>
          </w:p>
          <w:p>
            <w:pPr>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考核结果X＜60，扣除考核期间应付合同款的10%作为违约金；</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3.如连续两次出现低于60分的情况，监管部门将向医院通报解除本合同；</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4.如当月出现工作进度严重拖期，发生重大质量、安全、经济（劳资）纠纷、群体性时间及违反国家法律、法规和合同约定的，经考核执行部门确定，则月度考核为0。</w:t>
            </w:r>
          </w:p>
        </w:tc>
      </w:tr>
    </w:tbl>
    <w:p>
      <w:pPr>
        <w:adjustRightInd w:val="0"/>
        <w:spacing w:line="360" w:lineRule="atLeast"/>
        <w:jc w:val="left"/>
        <w:textAlignment w:val="baseline"/>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七、付款方式</w:t>
      </w:r>
    </w:p>
    <w:p>
      <w:pPr>
        <w:ind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结算及付款方式</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1、按季度结算和付款方式：</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结算方式：每季度开始的前10日内，乙方与甲方就乙方上季度合同的履行情况、乙方员工的出勤情况、甲方考核结果及每月的人员变动确认书协商一致后，依据本合同的约定共同对人员费用、PVC石材地面养护费用进行结算。甲方及乙方意见不一致时，以甲方意见为最后结算依据。双方共同书面签署《合同履行结算单》；</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（2）甲方按下发物业服务费的形式向乙方支付。每月双方签署确认的《合同履行结算单》，为上季度的物业服务费的实发数额；</w:t>
      </w:r>
    </w:p>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在每季度开始的10日内，乙方向甲方交付双方签署的《合同履行结算单》后方可办理付款手续，甲方审核后，在本季度开始第一个月的25日之前支付上季度物业服务费用；乙方应在办理付款手续时提交等额的有效发票。</w:t>
      </w:r>
    </w:p>
    <w:p>
      <w:pPr>
        <w:ind w:firstLine="476" w:firstLineChars="22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2、甲方以转账方式向乙方支付物业服务费，乙方账户如下：</w:t>
      </w:r>
    </w:p>
    <w:p>
      <w:pPr>
        <w:ind w:firstLine="420" w:firstLineChars="200"/>
        <w:rPr>
          <w:rFonts w:hint="eastAsia" w:asciiTheme="minorEastAsia" w:hAnsiTheme="minorEastAsia" w:eastAsiaTheme="minorEastAsia" w:cstheme="minorEastAsia"/>
          <w:bCs/>
          <w:color w:val="auto"/>
          <w:sz w:val="21"/>
          <w:szCs w:val="21"/>
          <w:highlight w:val="none"/>
          <w:u w:val="single"/>
        </w:rPr>
      </w:pPr>
      <w:r>
        <w:rPr>
          <w:rFonts w:hint="eastAsia" w:asciiTheme="minorEastAsia" w:hAnsiTheme="minorEastAsia" w:eastAsiaTheme="minorEastAsia" w:cstheme="minorEastAsia"/>
          <w:bCs/>
          <w:color w:val="auto"/>
          <w:sz w:val="21"/>
          <w:szCs w:val="21"/>
          <w:highlight w:val="none"/>
        </w:rPr>
        <w:t>乙方的银行账号：</w:t>
      </w:r>
      <w:r>
        <w:rPr>
          <w:rFonts w:hint="eastAsia" w:asciiTheme="minorEastAsia" w:hAnsiTheme="minorEastAsia" w:eastAsiaTheme="minorEastAsia" w:cstheme="minorEastAsia"/>
          <w:bCs/>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bCs/>
          <w:color w:val="auto"/>
          <w:sz w:val="21"/>
          <w:szCs w:val="21"/>
          <w:highlight w:val="none"/>
          <w:u w:val="single"/>
        </w:rPr>
        <w:t xml:space="preserve"> </w:t>
      </w:r>
    </w:p>
    <w:p>
      <w:pPr>
        <w:ind w:firstLine="555"/>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账户名称：</w:t>
      </w:r>
      <w:r>
        <w:rPr>
          <w:rFonts w:hint="eastAsia" w:asciiTheme="minorEastAsia" w:hAnsiTheme="minorEastAsia" w:eastAsiaTheme="minorEastAsia" w:cstheme="minorEastAsia"/>
          <w:bCs/>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bCs/>
          <w:color w:val="auto"/>
          <w:sz w:val="21"/>
          <w:szCs w:val="21"/>
          <w:highlight w:val="none"/>
        </w:rPr>
        <w:t xml:space="preserve"> </w:t>
      </w:r>
    </w:p>
    <w:p>
      <w:pPr>
        <w:ind w:firstLine="555"/>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开户银行：</w:t>
      </w:r>
      <w:r>
        <w:rPr>
          <w:rFonts w:hint="eastAsia" w:asciiTheme="minorEastAsia" w:hAnsiTheme="minorEastAsia" w:eastAsiaTheme="minorEastAsia" w:cstheme="minorEastAsia"/>
          <w:color w:val="auto"/>
          <w:sz w:val="21"/>
          <w:szCs w:val="21"/>
          <w:highlight w:val="none"/>
          <w:u w:val="single"/>
        </w:rPr>
        <w:t xml:space="preserve">                                   </w:t>
      </w:r>
    </w:p>
    <w:p>
      <w:pPr>
        <w:ind w:firstLine="555"/>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开户银行：</w:t>
      </w:r>
      <w:r>
        <w:rPr>
          <w:rFonts w:hint="eastAsia" w:asciiTheme="minorEastAsia" w:hAnsiTheme="minorEastAsia" w:eastAsiaTheme="minorEastAsia" w:cstheme="minorEastAsia"/>
          <w:color w:val="auto"/>
          <w:sz w:val="21"/>
          <w:szCs w:val="21"/>
          <w:highlight w:val="none"/>
          <w:u w:val="single"/>
        </w:rPr>
        <w:t xml:space="preserve">                                   </w:t>
      </w:r>
    </w:p>
    <w:p>
      <w:pPr>
        <w:spacing w:line="360" w:lineRule="auto"/>
        <w:rPr>
          <w:color w:val="auto"/>
          <w:sz w:val="24"/>
          <w:highlight w:val="none"/>
        </w:rPr>
      </w:pPr>
    </w:p>
    <w:p>
      <w:pPr>
        <w:pStyle w:val="8"/>
        <w:ind w:firstLine="210"/>
        <w:rPr>
          <w:rFonts w:hint="eastAsia" w:asciiTheme="minorEastAsia" w:hAnsiTheme="minorEastAsia" w:eastAsiaTheme="minorEastAsia" w:cstheme="minorEastAsia"/>
          <w:color w:val="auto"/>
          <w:sz w:val="21"/>
          <w:szCs w:val="21"/>
          <w:highlight w:val="none"/>
        </w:rPr>
      </w:pPr>
    </w:p>
    <w:p>
      <w:pPr>
        <w:pStyle w:val="8"/>
        <w:ind w:firstLine="210"/>
        <w:rPr>
          <w:rFonts w:hint="eastAsia" w:asciiTheme="minorEastAsia" w:hAnsiTheme="minorEastAsia" w:eastAsiaTheme="minorEastAsia" w:cstheme="minorEastAsia"/>
          <w:color w:val="auto"/>
          <w:sz w:val="21"/>
          <w:szCs w:val="21"/>
          <w:highlight w:val="none"/>
        </w:rPr>
      </w:pPr>
    </w:p>
    <w:p>
      <w:pPr>
        <w:pStyle w:val="8"/>
        <w:ind w:firstLine="210"/>
        <w:rPr>
          <w:color w:val="auto"/>
          <w:highlight w:val="none"/>
        </w:rPr>
      </w:pPr>
    </w:p>
    <w:p>
      <w:pPr>
        <w:pStyle w:val="8"/>
        <w:ind w:firstLine="210"/>
        <w:rPr>
          <w:color w:val="auto"/>
          <w:highlight w:val="none"/>
        </w:rPr>
      </w:pPr>
    </w:p>
    <w:p>
      <w:pPr>
        <w:pStyle w:val="8"/>
        <w:ind w:firstLine="210"/>
        <w:rPr>
          <w:color w:val="auto"/>
          <w:highlight w:val="none"/>
        </w:rPr>
      </w:pPr>
    </w:p>
    <w:p>
      <w:pPr>
        <w:pStyle w:val="8"/>
        <w:ind w:firstLine="210"/>
        <w:rPr>
          <w:color w:val="auto"/>
          <w:highlight w:val="none"/>
        </w:rPr>
      </w:pPr>
    </w:p>
    <w:p>
      <w:pPr>
        <w:pStyle w:val="8"/>
        <w:ind w:firstLine="210"/>
        <w:rPr>
          <w:color w:val="auto"/>
          <w:highlight w:val="none"/>
        </w:rPr>
      </w:pPr>
    </w:p>
    <w:p>
      <w:pPr>
        <w:pStyle w:val="8"/>
        <w:ind w:firstLine="210"/>
        <w:rPr>
          <w:color w:val="auto"/>
          <w:highlight w:val="none"/>
        </w:rPr>
      </w:pPr>
    </w:p>
    <w:p>
      <w:pPr>
        <w:pStyle w:val="8"/>
        <w:ind w:firstLine="210"/>
        <w:rPr>
          <w:color w:val="auto"/>
          <w:highlight w:val="none"/>
        </w:rPr>
      </w:pPr>
    </w:p>
    <w:p>
      <w:pPr>
        <w:pStyle w:val="8"/>
        <w:ind w:firstLine="210"/>
        <w:rPr>
          <w:color w:val="auto"/>
          <w:highlight w:val="none"/>
        </w:rPr>
      </w:pPr>
    </w:p>
    <w:p>
      <w:pPr>
        <w:pStyle w:val="8"/>
        <w:ind w:firstLine="210"/>
        <w:rPr>
          <w:color w:val="auto"/>
          <w:highlight w:val="none"/>
        </w:rPr>
      </w:pPr>
    </w:p>
    <w:p>
      <w:pPr>
        <w:pStyle w:val="8"/>
        <w:ind w:left="0" w:leftChars="0" w:firstLine="0" w:firstLineChars="0"/>
        <w:jc w:val="center"/>
        <w:rPr>
          <w:b/>
          <w:bCs/>
          <w:color w:val="auto"/>
          <w:highlight w:val="none"/>
        </w:rPr>
      </w:pPr>
      <w:bookmarkStart w:id="1" w:name="_Toc466015314"/>
      <w:r>
        <w:rPr>
          <w:rFonts w:hint="eastAsia" w:ascii="宋体" w:hAnsi="宋体"/>
          <w:b/>
          <w:bCs/>
          <w:color w:val="auto"/>
          <w:sz w:val="24"/>
          <w:highlight w:val="none"/>
        </w:rPr>
        <w:t>评标标准和评标方法</w:t>
      </w:r>
      <w:bookmarkEnd w:id="1"/>
    </w:p>
    <w:p>
      <w:pPr>
        <w:spacing w:line="302"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1、评分方法：采用综合评分法，满分为100分。</w:t>
      </w:r>
    </w:p>
    <w:p>
      <w:pPr>
        <w:spacing w:line="302"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2、价格分采用低价优先法计算，即满足</w:t>
      </w:r>
      <w:r>
        <w:rPr>
          <w:rFonts w:hint="eastAsia" w:asciiTheme="minorEastAsia" w:hAnsiTheme="minorEastAsia" w:eastAsiaTheme="minorEastAsia" w:cstheme="minorEastAsia"/>
          <w:color w:val="auto"/>
          <w:sz w:val="21"/>
          <w:szCs w:val="21"/>
          <w:highlight w:val="none"/>
          <w:lang w:val="en-US" w:eastAsia="zh-CN"/>
        </w:rPr>
        <w:t>招标</w:t>
      </w:r>
      <w:r>
        <w:rPr>
          <w:rFonts w:hint="eastAsia" w:asciiTheme="minorEastAsia" w:hAnsiTheme="minorEastAsia" w:eastAsiaTheme="minorEastAsia" w:cstheme="minorEastAsia"/>
          <w:color w:val="auto"/>
          <w:sz w:val="21"/>
          <w:szCs w:val="21"/>
          <w:highlight w:val="none"/>
        </w:rPr>
        <w:t>文件要求且报价最低的报价为评标基准价，其价格分为满分，其他</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sz w:val="21"/>
          <w:szCs w:val="21"/>
          <w:highlight w:val="none"/>
        </w:rPr>
        <w:t>人的价格分统一按下列公式计算：</w:t>
      </w:r>
    </w:p>
    <w:p>
      <w:pPr>
        <w:spacing w:line="302"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报价得分=（评标基准价/报价）×价格权值×100。</w:t>
      </w:r>
    </w:p>
    <w:p>
      <w:pPr>
        <w:spacing w:line="302"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3、最低报价不作为</w:t>
      </w:r>
      <w:r>
        <w:rPr>
          <w:rFonts w:hint="eastAsia" w:asciiTheme="minorEastAsia" w:hAnsiTheme="minorEastAsia" w:eastAsiaTheme="minorEastAsia" w:cstheme="minorEastAsia"/>
          <w:color w:val="auto"/>
          <w:sz w:val="21"/>
          <w:szCs w:val="21"/>
          <w:highlight w:val="none"/>
          <w:lang w:val="en-US" w:eastAsia="zh-CN"/>
        </w:rPr>
        <w:t>中标</w:t>
      </w:r>
      <w:r>
        <w:rPr>
          <w:rFonts w:hint="eastAsia" w:asciiTheme="minorEastAsia" w:hAnsiTheme="minorEastAsia" w:eastAsiaTheme="minorEastAsia" w:cstheme="minorEastAsia"/>
          <w:color w:val="auto"/>
          <w:sz w:val="21"/>
          <w:szCs w:val="21"/>
          <w:highlight w:val="none"/>
        </w:rPr>
        <w:t>保证。</w:t>
      </w:r>
    </w:p>
    <w:p>
      <w:pPr>
        <w:widowControl/>
        <w:adjustRightInd/>
        <w:spacing w:line="400" w:lineRule="exact"/>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4、本项目对属于小型和微型企业的</w:t>
      </w:r>
      <w:r>
        <w:rPr>
          <w:rFonts w:hint="eastAsia" w:asciiTheme="minorEastAsia" w:hAnsiTheme="minorEastAsia" w:eastAsiaTheme="minorEastAsia" w:cstheme="minorEastAsia"/>
          <w:color w:val="auto"/>
          <w:sz w:val="21"/>
          <w:szCs w:val="21"/>
          <w:highlight w:val="none"/>
          <w:lang w:val="en-US" w:eastAsia="zh-CN"/>
        </w:rPr>
        <w:t>投标人</w:t>
      </w:r>
      <w:r>
        <w:rPr>
          <w:rFonts w:hint="eastAsia" w:asciiTheme="minorEastAsia" w:hAnsiTheme="minorEastAsia" w:eastAsiaTheme="minorEastAsia" w:cstheme="minorEastAsia"/>
          <w:color w:val="auto"/>
          <w:sz w:val="21"/>
          <w:szCs w:val="21"/>
          <w:highlight w:val="none"/>
        </w:rPr>
        <w:t>人的报价给予10%的扣除，用扣除后的价格参与评审。</w:t>
      </w:r>
    </w:p>
    <w:p>
      <w:pPr>
        <w:widowControl/>
        <w:adjustRightInd/>
        <w:spacing w:line="400" w:lineRule="exact"/>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5、具体评分标准：</w:t>
      </w:r>
    </w:p>
    <w:tbl>
      <w:tblPr>
        <w:tblStyle w:val="9"/>
        <w:tblW w:w="85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484"/>
        <w:gridCol w:w="1002"/>
        <w:gridCol w:w="5558"/>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b/>
                <w:color w:val="auto"/>
                <w:kern w:val="2"/>
                <w:sz w:val="21"/>
                <w:szCs w:val="21"/>
                <w:highlight w:val="none"/>
              </w:rPr>
            </w:pPr>
            <w:r>
              <w:rPr>
                <w:rFonts w:hint="eastAsia" w:asciiTheme="minorEastAsia" w:hAnsiTheme="minorEastAsia" w:eastAsiaTheme="minorEastAsia" w:cstheme="minorEastAsia"/>
                <w:b/>
                <w:color w:val="auto"/>
                <w:kern w:val="2"/>
                <w:sz w:val="21"/>
                <w:szCs w:val="21"/>
                <w:highlight w:val="none"/>
              </w:rPr>
              <w:t>内容</w:t>
            </w:r>
          </w:p>
        </w:tc>
        <w:tc>
          <w:tcPr>
            <w:tcW w:w="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b/>
                <w:color w:val="auto"/>
                <w:kern w:val="2"/>
                <w:sz w:val="21"/>
                <w:szCs w:val="21"/>
                <w:highlight w:val="none"/>
              </w:rPr>
            </w:pPr>
            <w:r>
              <w:rPr>
                <w:rFonts w:hint="eastAsia" w:asciiTheme="minorEastAsia" w:hAnsiTheme="minorEastAsia" w:eastAsiaTheme="minorEastAsia" w:cstheme="minorEastAsia"/>
                <w:b/>
                <w:color w:val="auto"/>
                <w:kern w:val="2"/>
                <w:sz w:val="21"/>
                <w:szCs w:val="21"/>
                <w:highlight w:val="none"/>
              </w:rPr>
              <w:t>分值</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b/>
                <w:color w:val="auto"/>
                <w:kern w:val="2"/>
                <w:sz w:val="21"/>
                <w:szCs w:val="21"/>
                <w:highlight w:val="none"/>
              </w:rPr>
            </w:pPr>
            <w:r>
              <w:rPr>
                <w:rFonts w:hint="eastAsia" w:asciiTheme="minorEastAsia" w:hAnsiTheme="minorEastAsia" w:eastAsiaTheme="minorEastAsia" w:cstheme="minorEastAsia"/>
                <w:b/>
                <w:color w:val="auto"/>
                <w:kern w:val="2"/>
                <w:sz w:val="21"/>
                <w:szCs w:val="21"/>
                <w:highlight w:val="none"/>
              </w:rPr>
              <w:t>评分因素分项</w:t>
            </w:r>
          </w:p>
        </w:tc>
        <w:tc>
          <w:tcPr>
            <w:tcW w:w="5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b/>
                <w:color w:val="auto"/>
                <w:kern w:val="2"/>
                <w:sz w:val="21"/>
                <w:szCs w:val="21"/>
                <w:highlight w:val="none"/>
              </w:rPr>
            </w:pPr>
            <w:r>
              <w:rPr>
                <w:rFonts w:hint="eastAsia" w:asciiTheme="minorEastAsia" w:hAnsiTheme="minorEastAsia" w:eastAsiaTheme="minorEastAsia" w:cstheme="minorEastAsia"/>
                <w:b/>
                <w:color w:val="auto"/>
                <w:kern w:val="2"/>
                <w:sz w:val="21"/>
                <w:szCs w:val="21"/>
                <w:highlight w:val="none"/>
              </w:rPr>
              <w:t>评分标准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b/>
                <w:color w:val="auto"/>
                <w:kern w:val="2"/>
                <w:sz w:val="21"/>
                <w:szCs w:val="21"/>
                <w:highlight w:val="none"/>
                <w:lang w:val="en-US" w:eastAsia="zh-CN"/>
              </w:rPr>
            </w:pPr>
            <w:r>
              <w:rPr>
                <w:rFonts w:hint="eastAsia" w:asciiTheme="minorEastAsia" w:hAnsiTheme="minorEastAsia" w:eastAsiaTheme="minorEastAsia" w:cstheme="minorEastAsia"/>
                <w:b/>
                <w:color w:val="auto"/>
                <w:kern w:val="2"/>
                <w:sz w:val="21"/>
                <w:szCs w:val="21"/>
                <w:highlight w:val="none"/>
                <w:lang w:val="en-US" w:eastAsia="zh-CN"/>
              </w:rPr>
              <w:t>主客观分属性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jc w:val="center"/>
        </w:trPr>
        <w:tc>
          <w:tcPr>
            <w:tcW w:w="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价格部分</w:t>
            </w:r>
          </w:p>
        </w:tc>
        <w:tc>
          <w:tcPr>
            <w:tcW w:w="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10分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评审价格</w:t>
            </w:r>
          </w:p>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（10分）</w:t>
            </w:r>
          </w:p>
        </w:tc>
        <w:tc>
          <w:tcPr>
            <w:tcW w:w="5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价格分采用低价优先法计算，即满足</w:t>
            </w:r>
            <w:r>
              <w:rPr>
                <w:rFonts w:hint="eastAsia" w:asciiTheme="minorEastAsia" w:hAnsiTheme="minorEastAsia" w:eastAsiaTheme="minorEastAsia" w:cstheme="minorEastAsia"/>
                <w:color w:val="auto"/>
                <w:sz w:val="21"/>
                <w:szCs w:val="21"/>
                <w:highlight w:val="none"/>
                <w:lang w:val="en-US" w:eastAsia="zh-CN"/>
              </w:rPr>
              <w:t>招标</w:t>
            </w:r>
            <w:r>
              <w:rPr>
                <w:rFonts w:hint="eastAsia" w:asciiTheme="minorEastAsia" w:hAnsiTheme="minorEastAsia" w:eastAsiaTheme="minorEastAsia" w:cstheme="minorEastAsia"/>
                <w:color w:val="auto"/>
                <w:sz w:val="21"/>
                <w:szCs w:val="21"/>
                <w:highlight w:val="none"/>
              </w:rPr>
              <w:t>文件要求且报价最低的报价为评标基准价，其价格分为满分，其他</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sz w:val="21"/>
                <w:szCs w:val="21"/>
                <w:highlight w:val="none"/>
              </w:rPr>
              <w:t>人的价格分统一按下列公式计算：</w:t>
            </w:r>
          </w:p>
          <w:p>
            <w:pPr>
              <w:keepNext w:val="0"/>
              <w:keepLines w:val="0"/>
              <w:pageBreakBefore w:val="0"/>
              <w:widowControl/>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sz w:val="21"/>
                <w:szCs w:val="21"/>
                <w:highlight w:val="none"/>
              </w:rPr>
              <w:t>报价得分=（评标基准价/报价）×价格权值×100。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43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商务部分</w:t>
            </w:r>
          </w:p>
        </w:tc>
        <w:tc>
          <w:tcPr>
            <w:tcW w:w="48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18分</w:t>
            </w:r>
          </w:p>
        </w:tc>
        <w:tc>
          <w:tcPr>
            <w:tcW w:w="1002"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认证证书</w:t>
            </w:r>
          </w:p>
          <w:p>
            <w:pPr>
              <w:keepNext w:val="0"/>
              <w:keepLines w:val="0"/>
              <w:pageBreakBefore w:val="0"/>
              <w:widowControl/>
              <w:kinsoku/>
              <w:wordWrap/>
              <w:overflowPunct/>
              <w:topLinePunct w:val="0"/>
              <w:autoSpaceDE/>
              <w:autoSpaceDN/>
              <w:bidi w:val="0"/>
              <w:adjustRightInd/>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（6分）</w:t>
            </w:r>
          </w:p>
        </w:tc>
        <w:tc>
          <w:tcPr>
            <w:tcW w:w="5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投标</w:t>
            </w:r>
            <w:r>
              <w:rPr>
                <w:rFonts w:hint="eastAsia" w:asciiTheme="minorEastAsia" w:hAnsiTheme="minorEastAsia" w:eastAsiaTheme="minorEastAsia" w:cstheme="minorEastAsia"/>
                <w:color w:val="auto"/>
                <w:kern w:val="2"/>
                <w:sz w:val="21"/>
                <w:szCs w:val="21"/>
                <w:highlight w:val="none"/>
              </w:rPr>
              <w:t>人提供有效的质量管理体系认证证书、环境管理体系认证证书，职业健康安全管理体系认证证书，每项得2分，最高6分。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4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baseline"/>
              <w:rPr>
                <w:rFonts w:hint="eastAsia" w:asciiTheme="minorEastAsia" w:hAnsiTheme="minorEastAsia" w:eastAsiaTheme="minorEastAsia" w:cstheme="minorEastAsia"/>
                <w:color w:val="auto"/>
                <w:kern w:val="2"/>
                <w:sz w:val="21"/>
                <w:szCs w:val="21"/>
                <w:highlight w:val="none"/>
              </w:rPr>
            </w:pPr>
          </w:p>
        </w:tc>
        <w:tc>
          <w:tcPr>
            <w:tcW w:w="48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业绩</w:t>
            </w:r>
          </w:p>
          <w:p>
            <w:pPr>
              <w:keepNext w:val="0"/>
              <w:keepLines w:val="0"/>
              <w:pageBreakBefore w:val="0"/>
              <w:widowControl/>
              <w:kinsoku/>
              <w:wordWrap/>
              <w:overflowPunct/>
              <w:topLinePunct w:val="0"/>
              <w:autoSpaceDE/>
              <w:autoSpaceDN/>
              <w:bidi w:val="0"/>
              <w:adjustRightInd/>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（10分）</w:t>
            </w:r>
          </w:p>
        </w:tc>
        <w:tc>
          <w:tcPr>
            <w:tcW w:w="5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投标</w:t>
            </w:r>
            <w:r>
              <w:rPr>
                <w:rFonts w:hint="eastAsia" w:asciiTheme="minorEastAsia" w:hAnsiTheme="minorEastAsia" w:eastAsiaTheme="minorEastAsia" w:cstheme="minorEastAsia"/>
                <w:color w:val="auto"/>
                <w:kern w:val="2"/>
                <w:sz w:val="21"/>
                <w:szCs w:val="21"/>
                <w:highlight w:val="none"/>
              </w:rPr>
              <w:t>人2020年1月至今，类似物业项目业绩（含单项保洁类），1个得1分，最高得10分。</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注：需</w:t>
            </w:r>
            <w:bookmarkStart w:id="2" w:name="_GoBack"/>
            <w:bookmarkEnd w:id="2"/>
            <w:r>
              <w:rPr>
                <w:rFonts w:hint="eastAsia" w:asciiTheme="minorEastAsia" w:hAnsiTheme="minorEastAsia" w:eastAsiaTheme="minorEastAsia" w:cstheme="minorEastAsia"/>
                <w:color w:val="auto"/>
                <w:sz w:val="21"/>
                <w:szCs w:val="21"/>
                <w:highlight w:val="none"/>
              </w:rPr>
              <w:t>提供合同关键页复印件(包括但不限于合同首页及日期页、内容页、金额页、签字盖章页</w:t>
            </w:r>
            <w:r>
              <w:rPr>
                <w:rFonts w:hint="eastAsia" w:asciiTheme="minorEastAsia" w:hAnsiTheme="minorEastAsia" w:eastAsiaTheme="minorEastAsia" w:cstheme="minorEastAsia"/>
                <w:color w:val="auto"/>
                <w:kern w:val="2"/>
                <w:sz w:val="21"/>
                <w:szCs w:val="21"/>
                <w:highlight w:val="none"/>
              </w:rPr>
              <w:t>)</w:t>
            </w:r>
            <w:r>
              <w:rPr>
                <w:rFonts w:hint="eastAsia" w:asciiTheme="minorEastAsia" w:hAnsiTheme="minorEastAsia" w:eastAsiaTheme="minorEastAsia" w:cstheme="minorEastAsia"/>
                <w:color w:val="auto"/>
                <w:sz w:val="21"/>
                <w:szCs w:val="21"/>
                <w:highlight w:val="none"/>
              </w:rPr>
              <w:t>等相关证明材料</w:t>
            </w:r>
            <w:r>
              <w:rPr>
                <w:rFonts w:hint="eastAsia" w:asciiTheme="minorEastAsia" w:hAnsiTheme="minorEastAsia" w:eastAsiaTheme="minorEastAsia" w:cstheme="minorEastAsia"/>
                <w:color w:val="auto"/>
                <w:kern w:val="2"/>
                <w:sz w:val="21"/>
                <w:szCs w:val="21"/>
                <w:highlight w:val="none"/>
              </w:rPr>
              <w:t>作为业绩证明材料，否则不予认可。</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jc w:val="center"/>
        </w:trPr>
        <w:tc>
          <w:tcPr>
            <w:tcW w:w="4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baseline"/>
              <w:rPr>
                <w:rFonts w:hint="eastAsia" w:asciiTheme="minorEastAsia" w:hAnsiTheme="minorEastAsia" w:eastAsiaTheme="minorEastAsia" w:cstheme="minorEastAsia"/>
                <w:color w:val="auto"/>
                <w:kern w:val="2"/>
                <w:sz w:val="21"/>
                <w:szCs w:val="21"/>
                <w:highlight w:val="none"/>
              </w:rPr>
            </w:pPr>
          </w:p>
        </w:tc>
        <w:tc>
          <w:tcPr>
            <w:tcW w:w="4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对</w:t>
            </w:r>
            <w:r>
              <w:rPr>
                <w:rFonts w:hint="eastAsia" w:asciiTheme="minorEastAsia" w:hAnsiTheme="minorEastAsia" w:eastAsiaTheme="minorEastAsia" w:cstheme="minorEastAsia"/>
                <w:color w:val="auto"/>
                <w:kern w:val="2"/>
                <w:sz w:val="21"/>
                <w:szCs w:val="21"/>
                <w:highlight w:val="none"/>
                <w:lang w:val="en-US" w:eastAsia="zh-CN"/>
              </w:rPr>
              <w:t>招标</w:t>
            </w:r>
            <w:r>
              <w:rPr>
                <w:rFonts w:hint="eastAsia" w:asciiTheme="minorEastAsia" w:hAnsiTheme="minorEastAsia" w:eastAsiaTheme="minorEastAsia" w:cstheme="minorEastAsia"/>
                <w:color w:val="auto"/>
                <w:kern w:val="2"/>
                <w:sz w:val="21"/>
                <w:szCs w:val="21"/>
                <w:highlight w:val="none"/>
              </w:rPr>
              <w:t>文件服务要求的响应程度</w:t>
            </w:r>
          </w:p>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（2分）</w:t>
            </w:r>
          </w:p>
        </w:tc>
        <w:tc>
          <w:tcPr>
            <w:tcW w:w="5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服务方案及</w:t>
            </w:r>
            <w:r>
              <w:rPr>
                <w:rFonts w:hint="eastAsia" w:asciiTheme="minorEastAsia" w:hAnsiTheme="minorEastAsia" w:eastAsiaTheme="minorEastAsia" w:cstheme="minorEastAsia"/>
                <w:color w:val="auto"/>
                <w:kern w:val="2"/>
                <w:sz w:val="21"/>
                <w:szCs w:val="21"/>
                <w:highlight w:val="none"/>
                <w:lang w:val="en-US" w:eastAsia="zh-CN"/>
              </w:rPr>
              <w:t>投标</w:t>
            </w:r>
            <w:r>
              <w:rPr>
                <w:rFonts w:hint="eastAsia" w:asciiTheme="minorEastAsia" w:hAnsiTheme="minorEastAsia" w:eastAsiaTheme="minorEastAsia" w:cstheme="minorEastAsia"/>
                <w:color w:val="auto"/>
                <w:kern w:val="2"/>
                <w:sz w:val="21"/>
                <w:szCs w:val="21"/>
                <w:highlight w:val="none"/>
              </w:rPr>
              <w:t>文件响应完整，运用图、表等进行说明。</w:t>
            </w:r>
            <w:r>
              <w:rPr>
                <w:rFonts w:hint="eastAsia" w:asciiTheme="minorEastAsia" w:hAnsiTheme="minorEastAsia" w:eastAsiaTheme="minorEastAsia" w:cstheme="minorEastAsia"/>
                <w:color w:val="auto"/>
                <w:kern w:val="2"/>
                <w:sz w:val="21"/>
                <w:szCs w:val="21"/>
                <w:highlight w:val="none"/>
                <w:lang w:val="en-US" w:eastAsia="zh-CN"/>
              </w:rPr>
              <w:t>投标</w:t>
            </w:r>
            <w:r>
              <w:rPr>
                <w:rFonts w:hint="eastAsia" w:asciiTheme="minorEastAsia" w:hAnsiTheme="minorEastAsia" w:eastAsiaTheme="minorEastAsia" w:cstheme="minorEastAsia"/>
                <w:color w:val="auto"/>
                <w:kern w:val="2"/>
                <w:sz w:val="21"/>
                <w:szCs w:val="21"/>
                <w:highlight w:val="none"/>
              </w:rPr>
              <w:t>文件</w:t>
            </w:r>
            <w:r>
              <w:rPr>
                <w:rFonts w:hint="eastAsia" w:asciiTheme="minorEastAsia" w:hAnsiTheme="minorEastAsia" w:eastAsiaTheme="minorEastAsia" w:cstheme="minorEastAsia"/>
                <w:color w:val="auto"/>
                <w:kern w:val="2"/>
                <w:sz w:val="21"/>
                <w:szCs w:val="21"/>
                <w:highlight w:val="none"/>
                <w:lang w:val="en-US" w:eastAsia="zh-CN"/>
              </w:rPr>
              <w:t>提供</w:t>
            </w:r>
            <w:r>
              <w:rPr>
                <w:rFonts w:hint="eastAsia" w:asciiTheme="minorEastAsia" w:hAnsiTheme="minorEastAsia" w:eastAsiaTheme="minorEastAsia" w:cstheme="minorEastAsia"/>
                <w:color w:val="auto"/>
                <w:kern w:val="2"/>
                <w:sz w:val="21"/>
                <w:szCs w:val="21"/>
                <w:highlight w:val="none"/>
              </w:rPr>
              <w:t>图表</w:t>
            </w:r>
            <w:r>
              <w:rPr>
                <w:rFonts w:hint="eastAsia" w:asciiTheme="minorEastAsia" w:hAnsiTheme="minorEastAsia" w:eastAsiaTheme="minorEastAsia" w:cstheme="minorEastAsia"/>
                <w:color w:val="auto"/>
                <w:kern w:val="2"/>
                <w:sz w:val="21"/>
                <w:szCs w:val="21"/>
                <w:highlight w:val="none"/>
                <w:lang w:val="en-US" w:eastAsia="zh-CN"/>
              </w:rPr>
              <w:t>内容</w:t>
            </w:r>
            <w:r>
              <w:rPr>
                <w:rFonts w:hint="eastAsia" w:asciiTheme="minorEastAsia" w:hAnsiTheme="minorEastAsia" w:eastAsiaTheme="minorEastAsia" w:cstheme="minorEastAsia"/>
                <w:color w:val="auto"/>
                <w:kern w:val="2"/>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rPr>
              <w:t>说明完整得2分</w:t>
            </w:r>
            <w:r>
              <w:rPr>
                <w:rFonts w:hint="eastAsia" w:asciiTheme="minorEastAsia" w:hAnsiTheme="minorEastAsia" w:eastAsiaTheme="minorEastAsia" w:cstheme="minorEastAsia"/>
                <w:color w:val="auto"/>
                <w:kern w:val="2"/>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lang w:val="en-US" w:eastAsia="zh-CN"/>
              </w:rPr>
              <w:t>否则为</w:t>
            </w:r>
            <w:r>
              <w:rPr>
                <w:rFonts w:hint="eastAsia" w:asciiTheme="minorEastAsia" w:hAnsiTheme="minorEastAsia" w:eastAsiaTheme="minorEastAsia" w:cstheme="minorEastAsia"/>
                <w:color w:val="auto"/>
                <w:kern w:val="2"/>
                <w:sz w:val="21"/>
                <w:szCs w:val="21"/>
                <w:highlight w:val="none"/>
              </w:rPr>
              <w:t>0分。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43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技术服务部分</w:t>
            </w: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技术服务部分</w:t>
            </w: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tc>
        <w:tc>
          <w:tcPr>
            <w:tcW w:w="48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72分</w:t>
            </w: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项目经理</w:t>
            </w: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w:t>
            </w:r>
            <w:r>
              <w:rPr>
                <w:rFonts w:hint="eastAsia" w:asciiTheme="minorEastAsia" w:hAnsiTheme="minorEastAsia" w:eastAsiaTheme="minorEastAsia" w:cstheme="minorEastAsia"/>
                <w:color w:val="auto"/>
                <w:kern w:val="2"/>
                <w:sz w:val="21"/>
                <w:szCs w:val="21"/>
                <w:highlight w:val="none"/>
                <w:lang w:val="en-US" w:eastAsia="zh-CN"/>
              </w:rPr>
              <w:t>6</w:t>
            </w:r>
            <w:r>
              <w:rPr>
                <w:rFonts w:hint="eastAsia" w:asciiTheme="minorEastAsia" w:hAnsiTheme="minorEastAsia" w:eastAsiaTheme="minorEastAsia" w:cstheme="minorEastAsia"/>
                <w:color w:val="auto"/>
                <w:kern w:val="2"/>
                <w:sz w:val="21"/>
                <w:szCs w:val="21"/>
                <w:highlight w:val="none"/>
              </w:rPr>
              <w:t>分）</w:t>
            </w:r>
          </w:p>
        </w:tc>
        <w:tc>
          <w:tcPr>
            <w:tcW w:w="55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对</w:t>
            </w:r>
            <w:r>
              <w:rPr>
                <w:rFonts w:hint="eastAsia" w:asciiTheme="minorEastAsia" w:hAnsiTheme="minorEastAsia" w:eastAsiaTheme="minorEastAsia" w:cstheme="minorEastAsia"/>
                <w:color w:val="auto"/>
                <w:kern w:val="2"/>
                <w:sz w:val="21"/>
                <w:szCs w:val="21"/>
                <w:highlight w:val="none"/>
                <w:lang w:val="en-US" w:eastAsia="zh-CN"/>
              </w:rPr>
              <w:t>投标</w:t>
            </w:r>
            <w:r>
              <w:rPr>
                <w:rFonts w:hint="eastAsia" w:asciiTheme="minorEastAsia" w:hAnsiTheme="minorEastAsia" w:eastAsiaTheme="minorEastAsia" w:cstheme="minorEastAsia"/>
                <w:color w:val="auto"/>
                <w:kern w:val="2"/>
                <w:sz w:val="21"/>
                <w:szCs w:val="21"/>
                <w:highlight w:val="none"/>
              </w:rPr>
              <w:t>人针对本项目拟派的项目经理进行评价，根据学历水平、工作经验、相关业绩、管理能力等方面进行评价。</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（1）本科及以上学历得</w:t>
            </w:r>
            <w:r>
              <w:rPr>
                <w:rFonts w:hint="eastAsia" w:asciiTheme="minorEastAsia" w:hAnsiTheme="minorEastAsia" w:eastAsiaTheme="minorEastAsia" w:cstheme="minorEastAsia"/>
                <w:color w:val="auto"/>
                <w:kern w:val="2"/>
                <w:sz w:val="21"/>
                <w:szCs w:val="21"/>
                <w:highlight w:val="none"/>
                <w:lang w:val="en-US" w:eastAsia="zh-CN"/>
              </w:rPr>
              <w:t>3</w:t>
            </w:r>
            <w:r>
              <w:rPr>
                <w:rFonts w:hint="eastAsia" w:asciiTheme="minorEastAsia" w:hAnsiTheme="minorEastAsia" w:eastAsiaTheme="minorEastAsia" w:cstheme="minorEastAsia"/>
                <w:color w:val="auto"/>
                <w:kern w:val="2"/>
                <w:sz w:val="21"/>
                <w:szCs w:val="21"/>
                <w:highlight w:val="none"/>
              </w:rPr>
              <w:t>分，大专学历得</w:t>
            </w:r>
            <w:r>
              <w:rPr>
                <w:rFonts w:hint="eastAsia" w:asciiTheme="minorEastAsia" w:hAnsiTheme="minorEastAsia" w:eastAsiaTheme="minorEastAsia" w:cstheme="minorEastAsia"/>
                <w:color w:val="auto"/>
                <w:kern w:val="2"/>
                <w:sz w:val="21"/>
                <w:szCs w:val="21"/>
                <w:highlight w:val="none"/>
                <w:lang w:val="en-US" w:eastAsia="zh-CN"/>
              </w:rPr>
              <w:t>1</w:t>
            </w:r>
            <w:r>
              <w:rPr>
                <w:rFonts w:hint="eastAsia" w:asciiTheme="minorEastAsia" w:hAnsiTheme="minorEastAsia" w:eastAsiaTheme="minorEastAsia" w:cstheme="minorEastAsia"/>
                <w:color w:val="auto"/>
                <w:kern w:val="2"/>
                <w:sz w:val="21"/>
                <w:szCs w:val="21"/>
                <w:highlight w:val="none"/>
              </w:rPr>
              <w:t>分，不满足不得分；</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（2）具有十年（含）以上类似物业项目经理经验得</w:t>
            </w:r>
            <w:r>
              <w:rPr>
                <w:rFonts w:hint="eastAsia" w:asciiTheme="minorEastAsia" w:hAnsiTheme="minorEastAsia" w:eastAsiaTheme="minorEastAsia" w:cstheme="minorEastAsia"/>
                <w:color w:val="auto"/>
                <w:kern w:val="2"/>
                <w:sz w:val="21"/>
                <w:szCs w:val="21"/>
                <w:highlight w:val="none"/>
                <w:lang w:val="en-US" w:eastAsia="zh-CN"/>
              </w:rPr>
              <w:t>3</w:t>
            </w:r>
            <w:r>
              <w:rPr>
                <w:rFonts w:hint="eastAsia" w:asciiTheme="minorEastAsia" w:hAnsiTheme="minorEastAsia" w:eastAsiaTheme="minorEastAsia" w:cstheme="minorEastAsia"/>
                <w:color w:val="auto"/>
                <w:kern w:val="2"/>
                <w:sz w:val="21"/>
                <w:szCs w:val="21"/>
                <w:highlight w:val="none"/>
              </w:rPr>
              <w:t>分，具有十年以下五年（含）以上类似物业项目经理经验得2分，不满足不得分。</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注：</w:t>
            </w:r>
            <w:r>
              <w:rPr>
                <w:rFonts w:hint="eastAsia" w:asciiTheme="minorEastAsia" w:hAnsiTheme="minorEastAsia" w:eastAsiaTheme="minorEastAsia" w:cstheme="minorEastAsia"/>
                <w:color w:val="auto"/>
                <w:kern w:val="2"/>
                <w:sz w:val="21"/>
                <w:szCs w:val="21"/>
                <w:highlight w:val="none"/>
                <w:lang w:val="en-US" w:eastAsia="zh-CN"/>
              </w:rPr>
              <w:t>投标</w:t>
            </w:r>
            <w:r>
              <w:rPr>
                <w:rFonts w:hint="eastAsia" w:asciiTheme="minorEastAsia" w:hAnsiTheme="minorEastAsia" w:eastAsiaTheme="minorEastAsia" w:cstheme="minorEastAsia"/>
                <w:color w:val="auto"/>
                <w:kern w:val="2"/>
                <w:sz w:val="21"/>
                <w:szCs w:val="21"/>
                <w:highlight w:val="none"/>
              </w:rPr>
              <w:t>人需要提供相关项目的合同或协议（至少包含合同或协议首页及日期页、该项目经理名字页、签字盖章页）或项目单位开具并加盖公章的证明材料，否则项目经理的业绩经验不予认可。</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430"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tc>
        <w:tc>
          <w:tcPr>
            <w:tcW w:w="484"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项目主管</w:t>
            </w:r>
          </w:p>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w:t>
            </w:r>
            <w:r>
              <w:rPr>
                <w:rFonts w:hint="eastAsia" w:asciiTheme="minorEastAsia" w:hAnsiTheme="minorEastAsia" w:eastAsiaTheme="minorEastAsia" w:cstheme="minorEastAsia"/>
                <w:color w:val="auto"/>
                <w:kern w:val="2"/>
                <w:sz w:val="21"/>
                <w:szCs w:val="21"/>
                <w:highlight w:val="none"/>
                <w:lang w:val="en-US" w:eastAsia="zh-CN"/>
              </w:rPr>
              <w:t>3</w:t>
            </w:r>
            <w:r>
              <w:rPr>
                <w:rFonts w:hint="eastAsia" w:asciiTheme="minorEastAsia" w:hAnsiTheme="minorEastAsia" w:eastAsiaTheme="minorEastAsia" w:cstheme="minorEastAsia"/>
                <w:color w:val="auto"/>
                <w:kern w:val="2"/>
                <w:sz w:val="21"/>
                <w:szCs w:val="21"/>
                <w:highlight w:val="none"/>
              </w:rPr>
              <w:t>分）</w:t>
            </w:r>
          </w:p>
        </w:tc>
        <w:tc>
          <w:tcPr>
            <w:tcW w:w="55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对</w:t>
            </w:r>
            <w:r>
              <w:rPr>
                <w:rFonts w:hint="eastAsia" w:asciiTheme="minorEastAsia" w:hAnsiTheme="minorEastAsia" w:eastAsiaTheme="minorEastAsia" w:cstheme="minorEastAsia"/>
                <w:color w:val="auto"/>
                <w:kern w:val="2"/>
                <w:sz w:val="21"/>
                <w:szCs w:val="21"/>
                <w:highlight w:val="none"/>
                <w:lang w:val="en-US" w:eastAsia="zh-CN"/>
              </w:rPr>
              <w:t>投标</w:t>
            </w:r>
            <w:r>
              <w:rPr>
                <w:rFonts w:hint="eastAsia" w:asciiTheme="minorEastAsia" w:hAnsiTheme="minorEastAsia" w:eastAsiaTheme="minorEastAsia" w:cstheme="minorEastAsia"/>
                <w:color w:val="auto"/>
                <w:kern w:val="2"/>
                <w:sz w:val="21"/>
                <w:szCs w:val="21"/>
                <w:highlight w:val="none"/>
              </w:rPr>
              <w:t>人针对本项目拟派的项目主管进行评价，根据工作经验、相关业绩、管理能力等方面进行评价。（各包拟派的项目主管需全部满足下述要求方可得分）</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（1）具有五年（含）以上类似物业项目经验得</w:t>
            </w:r>
            <w:r>
              <w:rPr>
                <w:rFonts w:hint="eastAsia" w:asciiTheme="minorEastAsia" w:hAnsiTheme="minorEastAsia" w:eastAsiaTheme="minorEastAsia" w:cstheme="minorEastAsia"/>
                <w:color w:val="auto"/>
                <w:kern w:val="2"/>
                <w:sz w:val="21"/>
                <w:szCs w:val="21"/>
                <w:highlight w:val="none"/>
                <w:lang w:val="en-US" w:eastAsia="zh-CN"/>
              </w:rPr>
              <w:t>3</w:t>
            </w:r>
            <w:r>
              <w:rPr>
                <w:rFonts w:hint="eastAsia" w:asciiTheme="minorEastAsia" w:hAnsiTheme="minorEastAsia" w:eastAsiaTheme="minorEastAsia" w:cstheme="minorEastAsia"/>
                <w:color w:val="auto"/>
                <w:kern w:val="2"/>
                <w:sz w:val="21"/>
                <w:szCs w:val="21"/>
                <w:highlight w:val="none"/>
              </w:rPr>
              <w:t>分，具有五年以下三年（含）以上类似物业项目经验得</w:t>
            </w:r>
            <w:r>
              <w:rPr>
                <w:rFonts w:hint="eastAsia" w:asciiTheme="minorEastAsia" w:hAnsiTheme="minorEastAsia" w:eastAsiaTheme="minorEastAsia" w:cstheme="minorEastAsia"/>
                <w:color w:val="auto"/>
                <w:kern w:val="2"/>
                <w:sz w:val="21"/>
                <w:szCs w:val="21"/>
                <w:highlight w:val="none"/>
                <w:lang w:val="en-US" w:eastAsia="zh-CN"/>
              </w:rPr>
              <w:t>1</w:t>
            </w:r>
            <w:r>
              <w:rPr>
                <w:rFonts w:hint="eastAsia" w:asciiTheme="minorEastAsia" w:hAnsiTheme="minorEastAsia" w:eastAsiaTheme="minorEastAsia" w:cstheme="minorEastAsia"/>
                <w:color w:val="auto"/>
                <w:kern w:val="2"/>
                <w:sz w:val="21"/>
                <w:szCs w:val="21"/>
                <w:highlight w:val="none"/>
              </w:rPr>
              <w:t>分，不满足不得分。</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注：</w:t>
            </w:r>
            <w:r>
              <w:rPr>
                <w:rFonts w:hint="eastAsia" w:asciiTheme="minorEastAsia" w:hAnsiTheme="minorEastAsia" w:eastAsiaTheme="minorEastAsia" w:cstheme="minorEastAsia"/>
                <w:color w:val="auto"/>
                <w:kern w:val="2"/>
                <w:sz w:val="21"/>
                <w:szCs w:val="21"/>
                <w:highlight w:val="none"/>
                <w:lang w:val="en-US" w:eastAsia="zh-CN"/>
              </w:rPr>
              <w:t>投标</w:t>
            </w:r>
            <w:r>
              <w:rPr>
                <w:rFonts w:hint="eastAsia" w:asciiTheme="minorEastAsia" w:hAnsiTheme="minorEastAsia" w:eastAsiaTheme="minorEastAsia" w:cstheme="minorEastAsia"/>
                <w:color w:val="auto"/>
                <w:kern w:val="2"/>
                <w:sz w:val="21"/>
                <w:szCs w:val="21"/>
                <w:highlight w:val="none"/>
              </w:rPr>
              <w:t>人需要提供相关项目的合同或协议（至少包含合同或协议首页及日期页、含项目主管姓名的人员页、签字盖章页）或项目单位开具并加盖公章的证明材料，否则项目主管的业绩经验不予认可。</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43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baseline"/>
              <w:rPr>
                <w:rFonts w:hint="eastAsia" w:asciiTheme="minorEastAsia" w:hAnsiTheme="minorEastAsia" w:eastAsiaTheme="minorEastAsia" w:cstheme="minorEastAsia"/>
                <w:color w:val="auto"/>
                <w:kern w:val="2"/>
                <w:sz w:val="21"/>
                <w:szCs w:val="21"/>
                <w:highlight w:val="none"/>
              </w:rPr>
            </w:pPr>
          </w:p>
        </w:tc>
        <w:tc>
          <w:tcPr>
            <w:tcW w:w="4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baseline"/>
              <w:rPr>
                <w:rFonts w:hint="eastAsia" w:asciiTheme="minorEastAsia" w:hAnsiTheme="minorEastAsia" w:eastAsiaTheme="minorEastAsia" w:cstheme="minorEastAsia"/>
                <w:color w:val="auto"/>
                <w:kern w:val="2"/>
                <w:sz w:val="21"/>
                <w:szCs w:val="21"/>
                <w:highlight w:val="none"/>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团队其他人员</w:t>
            </w:r>
          </w:p>
          <w:p>
            <w:pPr>
              <w:keepNext w:val="0"/>
              <w:keepLines w:val="0"/>
              <w:pageBreakBefore w:val="0"/>
              <w:widowControl/>
              <w:kinsoku/>
              <w:wordWrap/>
              <w:overflowPunct/>
              <w:topLinePunct w:val="0"/>
              <w:autoSpaceDE/>
              <w:autoSpaceDN/>
              <w:bidi w:val="0"/>
              <w:adjustRightInd/>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w:t>
            </w:r>
            <w:r>
              <w:rPr>
                <w:rFonts w:hint="eastAsia" w:asciiTheme="minorEastAsia" w:hAnsiTheme="minorEastAsia" w:eastAsiaTheme="minorEastAsia" w:cstheme="minorEastAsia"/>
                <w:color w:val="auto"/>
                <w:kern w:val="2"/>
                <w:sz w:val="21"/>
                <w:szCs w:val="21"/>
                <w:highlight w:val="none"/>
                <w:lang w:val="en-US" w:eastAsia="zh-CN"/>
              </w:rPr>
              <w:t>3</w:t>
            </w:r>
            <w:r>
              <w:rPr>
                <w:rFonts w:hint="eastAsia" w:asciiTheme="minorEastAsia" w:hAnsiTheme="minorEastAsia" w:eastAsiaTheme="minorEastAsia" w:cstheme="minorEastAsia"/>
                <w:color w:val="auto"/>
                <w:kern w:val="2"/>
                <w:sz w:val="21"/>
                <w:szCs w:val="21"/>
                <w:highlight w:val="none"/>
              </w:rPr>
              <w:t>分）</w:t>
            </w:r>
          </w:p>
        </w:tc>
        <w:tc>
          <w:tcPr>
            <w:tcW w:w="55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投标</w:t>
            </w:r>
            <w:r>
              <w:rPr>
                <w:rFonts w:hint="eastAsia" w:asciiTheme="minorEastAsia" w:hAnsiTheme="minorEastAsia" w:eastAsiaTheme="minorEastAsia" w:cstheme="minorEastAsia"/>
                <w:color w:val="auto"/>
                <w:kern w:val="2"/>
                <w:sz w:val="21"/>
                <w:szCs w:val="21"/>
                <w:highlight w:val="none"/>
              </w:rPr>
              <w:t>人针对本项目拟派的团队人员作出专项承诺，并列明拟派的团队人员名单（</w:t>
            </w:r>
            <w:r>
              <w:rPr>
                <w:rFonts w:hint="eastAsia" w:asciiTheme="minorEastAsia" w:hAnsiTheme="minorEastAsia" w:eastAsiaTheme="minorEastAsia" w:cstheme="minorEastAsia"/>
                <w:color w:val="auto"/>
                <w:sz w:val="21"/>
                <w:szCs w:val="21"/>
                <w:highlight w:val="none"/>
              </w:rPr>
              <w:t>需包含团队人员姓名、年龄、身份证号码</w:t>
            </w:r>
            <w:r>
              <w:rPr>
                <w:rFonts w:hint="eastAsia" w:asciiTheme="minorEastAsia" w:hAnsiTheme="minorEastAsia" w:eastAsiaTheme="minorEastAsia" w:cstheme="minorEastAsia"/>
                <w:color w:val="auto"/>
                <w:kern w:val="2"/>
                <w:sz w:val="21"/>
                <w:szCs w:val="21"/>
                <w:highlight w:val="none"/>
              </w:rPr>
              <w:t>）</w:t>
            </w:r>
            <w:r>
              <w:rPr>
                <w:rFonts w:hint="eastAsia" w:asciiTheme="minorEastAsia" w:hAnsiTheme="minorEastAsia" w:eastAsiaTheme="minorEastAsia" w:cstheme="minorEastAsia"/>
                <w:color w:val="auto"/>
                <w:kern w:val="2"/>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lang w:val="en-US" w:eastAsia="zh-CN"/>
              </w:rPr>
              <w:t>得3分</w:t>
            </w:r>
            <w:r>
              <w:rPr>
                <w:rFonts w:hint="eastAsia" w:asciiTheme="minorEastAsia" w:hAnsiTheme="minorEastAsia" w:eastAsiaTheme="minorEastAsia" w:cstheme="minorEastAsia"/>
                <w:color w:val="auto"/>
                <w:kern w:val="2"/>
                <w:sz w:val="21"/>
                <w:szCs w:val="21"/>
                <w:highlight w:val="none"/>
              </w:rPr>
              <w:t>。</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3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baseline"/>
              <w:rPr>
                <w:rFonts w:hint="eastAsia" w:asciiTheme="minorEastAsia" w:hAnsiTheme="minorEastAsia" w:eastAsiaTheme="minorEastAsia" w:cstheme="minorEastAsia"/>
                <w:color w:val="auto"/>
                <w:kern w:val="2"/>
                <w:sz w:val="21"/>
                <w:szCs w:val="21"/>
                <w:highlight w:val="none"/>
              </w:rPr>
            </w:pPr>
          </w:p>
        </w:tc>
        <w:tc>
          <w:tcPr>
            <w:tcW w:w="4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baseline"/>
              <w:rPr>
                <w:rFonts w:hint="eastAsia" w:asciiTheme="minorEastAsia" w:hAnsiTheme="minorEastAsia" w:eastAsiaTheme="minorEastAsia" w:cstheme="minorEastAsia"/>
                <w:color w:val="auto"/>
                <w:kern w:val="2"/>
                <w:sz w:val="21"/>
                <w:szCs w:val="21"/>
                <w:highlight w:val="none"/>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rPr>
              <w:t>项目需求理解及分析；服务理念、服务定位、服务目标（10分）</w:t>
            </w:r>
          </w:p>
        </w:tc>
        <w:tc>
          <w:tcPr>
            <w:tcW w:w="55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投标人应针对本项目需求进行充分理解及分析，提供</w:t>
            </w:r>
            <w:r>
              <w:rPr>
                <w:rFonts w:hint="eastAsia" w:asciiTheme="minorEastAsia" w:hAnsiTheme="minorEastAsia" w:eastAsiaTheme="minorEastAsia" w:cstheme="minorEastAsia"/>
                <w:color w:val="auto"/>
                <w:kern w:val="2"/>
                <w:sz w:val="21"/>
                <w:szCs w:val="21"/>
                <w:highlight w:val="none"/>
              </w:rPr>
              <w:t>物业管理服务理念</w:t>
            </w:r>
            <w:r>
              <w:rPr>
                <w:rFonts w:hint="eastAsia" w:asciiTheme="minorEastAsia" w:hAnsiTheme="minorEastAsia" w:eastAsiaTheme="minorEastAsia" w:cstheme="minorEastAsia"/>
                <w:color w:val="auto"/>
                <w:kern w:val="2"/>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rPr>
              <w:t>服务定位、目标</w:t>
            </w:r>
            <w:r>
              <w:rPr>
                <w:rFonts w:hint="eastAsia" w:asciiTheme="minorEastAsia" w:hAnsiTheme="minorEastAsia" w:eastAsiaTheme="minorEastAsia" w:cstheme="minorEastAsia"/>
                <w:color w:val="auto"/>
                <w:kern w:val="2"/>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rPr>
              <w:t>物业管理难点与服务对策</w:t>
            </w:r>
            <w:r>
              <w:rPr>
                <w:rFonts w:hint="eastAsia" w:asciiTheme="minorEastAsia" w:hAnsiTheme="minorEastAsia" w:eastAsiaTheme="minorEastAsia" w:cstheme="minorEastAsia"/>
                <w:color w:val="auto"/>
                <w:kern w:val="2"/>
                <w:sz w:val="21"/>
                <w:szCs w:val="21"/>
                <w:highlight w:val="none"/>
                <w:lang w:eastAsia="zh-CN"/>
              </w:rPr>
              <w:t>；</w:t>
            </w:r>
            <w:r>
              <w:rPr>
                <w:rFonts w:hint="eastAsia" w:asciiTheme="minorEastAsia" w:hAnsiTheme="minorEastAsia" w:eastAsiaTheme="minorEastAsia" w:cstheme="minorEastAsia"/>
                <w:color w:val="auto"/>
                <w:kern w:val="2"/>
                <w:sz w:val="21"/>
                <w:szCs w:val="21"/>
                <w:highlight w:val="none"/>
                <w:lang w:val="en-US" w:eastAsia="zh-CN"/>
              </w:rPr>
              <w:t>合理化建议等内容：</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rPr>
              <w:t>①</w:t>
            </w:r>
            <w:r>
              <w:rPr>
                <w:rFonts w:hint="eastAsia" w:asciiTheme="minorEastAsia" w:hAnsiTheme="minorEastAsia" w:eastAsiaTheme="minorEastAsia" w:cstheme="minorEastAsia"/>
                <w:color w:val="auto"/>
                <w:kern w:val="2"/>
                <w:sz w:val="21"/>
                <w:szCs w:val="21"/>
                <w:highlight w:val="none"/>
                <w:lang w:eastAsia="zh-CN"/>
              </w:rPr>
              <w:t>对本项目需求理解及分析</w:t>
            </w:r>
            <w:r>
              <w:rPr>
                <w:rFonts w:hint="eastAsia" w:asciiTheme="minorEastAsia" w:hAnsiTheme="minorEastAsia" w:eastAsiaTheme="minorEastAsia" w:cstheme="minorEastAsia"/>
                <w:color w:val="auto"/>
                <w:kern w:val="2"/>
                <w:sz w:val="21"/>
                <w:szCs w:val="21"/>
                <w:highlight w:val="none"/>
              </w:rPr>
              <w:t>明确、</w:t>
            </w:r>
            <w:r>
              <w:rPr>
                <w:rFonts w:hint="eastAsia" w:asciiTheme="minorEastAsia" w:hAnsiTheme="minorEastAsia" w:eastAsiaTheme="minorEastAsia" w:cstheme="minorEastAsia"/>
                <w:color w:val="auto"/>
                <w:kern w:val="2"/>
                <w:sz w:val="21"/>
                <w:szCs w:val="21"/>
                <w:highlight w:val="none"/>
                <w:lang w:eastAsia="zh-CN"/>
              </w:rPr>
              <w:t>专门针对本项目，符合本项目实际情况</w:t>
            </w:r>
            <w:r>
              <w:rPr>
                <w:rFonts w:hint="eastAsia" w:asciiTheme="minorEastAsia" w:hAnsiTheme="minorEastAsia" w:eastAsiaTheme="minorEastAsia" w:cstheme="minorEastAsia"/>
                <w:color w:val="auto"/>
                <w:kern w:val="2"/>
                <w:sz w:val="21"/>
                <w:szCs w:val="21"/>
                <w:highlight w:val="none"/>
              </w:rPr>
              <w:t>；②</w:t>
            </w:r>
            <w:r>
              <w:rPr>
                <w:rFonts w:hint="eastAsia" w:asciiTheme="minorEastAsia" w:hAnsiTheme="minorEastAsia" w:eastAsiaTheme="minorEastAsia" w:cstheme="minorEastAsia"/>
                <w:color w:val="auto"/>
                <w:kern w:val="2"/>
                <w:sz w:val="21"/>
                <w:szCs w:val="21"/>
                <w:highlight w:val="none"/>
                <w:lang w:val="en-US" w:eastAsia="zh-CN"/>
              </w:rPr>
              <w:t>提供</w:t>
            </w:r>
            <w:r>
              <w:rPr>
                <w:rFonts w:hint="eastAsia" w:asciiTheme="minorEastAsia" w:hAnsiTheme="minorEastAsia" w:eastAsiaTheme="minorEastAsia" w:cstheme="minorEastAsia"/>
                <w:color w:val="auto"/>
                <w:kern w:val="2"/>
                <w:sz w:val="21"/>
                <w:szCs w:val="21"/>
                <w:highlight w:val="none"/>
              </w:rPr>
              <w:t>物业管理服务理念明确、</w:t>
            </w:r>
            <w:r>
              <w:rPr>
                <w:rFonts w:hint="eastAsia" w:asciiTheme="minorEastAsia" w:hAnsiTheme="minorEastAsia" w:eastAsiaTheme="minorEastAsia" w:cstheme="minorEastAsia"/>
                <w:color w:val="auto"/>
                <w:kern w:val="2"/>
                <w:sz w:val="21"/>
                <w:szCs w:val="21"/>
                <w:highlight w:val="none"/>
                <w:lang w:eastAsia="zh-CN"/>
              </w:rPr>
              <w:t>合理、有针对性；</w:t>
            </w:r>
            <w:r>
              <w:rPr>
                <w:rFonts w:hint="eastAsia" w:asciiTheme="minorEastAsia" w:hAnsiTheme="minorEastAsia" w:eastAsiaTheme="minorEastAsia" w:cstheme="minorEastAsia"/>
                <w:color w:val="auto"/>
                <w:kern w:val="2"/>
                <w:sz w:val="21"/>
                <w:szCs w:val="21"/>
                <w:highlight w:val="none"/>
              </w:rPr>
              <w:t>③服务定位、</w:t>
            </w:r>
            <w:r>
              <w:rPr>
                <w:rFonts w:hint="eastAsia" w:asciiTheme="minorEastAsia" w:hAnsiTheme="minorEastAsia" w:eastAsiaTheme="minorEastAsia" w:cstheme="minorEastAsia"/>
                <w:color w:val="auto"/>
                <w:kern w:val="2"/>
                <w:sz w:val="21"/>
                <w:szCs w:val="21"/>
                <w:highlight w:val="none"/>
                <w:lang w:eastAsia="zh-CN"/>
              </w:rPr>
              <w:t>服务</w:t>
            </w:r>
            <w:r>
              <w:rPr>
                <w:rFonts w:hint="eastAsia" w:asciiTheme="minorEastAsia" w:hAnsiTheme="minorEastAsia" w:eastAsiaTheme="minorEastAsia" w:cstheme="minorEastAsia"/>
                <w:color w:val="auto"/>
                <w:kern w:val="2"/>
                <w:sz w:val="21"/>
                <w:szCs w:val="21"/>
                <w:highlight w:val="none"/>
              </w:rPr>
              <w:t>目标</w:t>
            </w:r>
            <w:r>
              <w:rPr>
                <w:rFonts w:hint="eastAsia" w:asciiTheme="minorEastAsia" w:hAnsiTheme="minorEastAsia" w:eastAsiaTheme="minorEastAsia" w:cstheme="minorEastAsia"/>
                <w:color w:val="auto"/>
                <w:kern w:val="2"/>
                <w:sz w:val="21"/>
                <w:szCs w:val="21"/>
                <w:highlight w:val="none"/>
                <w:lang w:eastAsia="zh-CN"/>
              </w:rPr>
              <w:t>明确、合理；</w:t>
            </w:r>
            <w:r>
              <w:rPr>
                <w:rFonts w:hint="eastAsia" w:asciiTheme="minorEastAsia" w:hAnsiTheme="minorEastAsia" w:eastAsiaTheme="minorEastAsia" w:cstheme="minorEastAsia"/>
                <w:color w:val="auto"/>
                <w:kern w:val="2"/>
                <w:sz w:val="21"/>
                <w:szCs w:val="21"/>
                <w:highlight w:val="none"/>
              </w:rPr>
              <w:t>④</w:t>
            </w:r>
            <w:r>
              <w:rPr>
                <w:rFonts w:hint="eastAsia" w:asciiTheme="minorEastAsia" w:hAnsiTheme="minorEastAsia" w:eastAsiaTheme="minorEastAsia" w:cstheme="minorEastAsia"/>
                <w:color w:val="auto"/>
                <w:kern w:val="2"/>
                <w:sz w:val="21"/>
                <w:szCs w:val="21"/>
                <w:highlight w:val="none"/>
                <w:lang w:eastAsia="zh-CN"/>
              </w:rPr>
              <w:t>对</w:t>
            </w:r>
            <w:r>
              <w:rPr>
                <w:rFonts w:hint="eastAsia" w:asciiTheme="minorEastAsia" w:hAnsiTheme="minorEastAsia" w:eastAsiaTheme="minorEastAsia" w:cstheme="minorEastAsia"/>
                <w:color w:val="auto"/>
                <w:kern w:val="2"/>
                <w:sz w:val="21"/>
                <w:szCs w:val="21"/>
                <w:highlight w:val="none"/>
              </w:rPr>
              <w:t>物业管理难点与服务对策</w:t>
            </w:r>
            <w:r>
              <w:rPr>
                <w:rFonts w:hint="eastAsia" w:asciiTheme="minorEastAsia" w:hAnsiTheme="minorEastAsia" w:eastAsiaTheme="minorEastAsia" w:cstheme="minorEastAsia"/>
                <w:color w:val="auto"/>
                <w:kern w:val="2"/>
                <w:sz w:val="21"/>
                <w:szCs w:val="21"/>
                <w:highlight w:val="none"/>
                <w:lang w:eastAsia="zh-CN"/>
              </w:rPr>
              <w:t>剖析透彻，符合本项目实际情况</w:t>
            </w:r>
            <w:r>
              <w:rPr>
                <w:rFonts w:hint="eastAsia" w:asciiTheme="minorEastAsia" w:hAnsiTheme="minorEastAsia" w:eastAsiaTheme="minorEastAsia" w:cstheme="minorEastAsia"/>
                <w:color w:val="auto"/>
                <w:kern w:val="2"/>
                <w:sz w:val="21"/>
                <w:szCs w:val="21"/>
                <w:highlight w:val="none"/>
              </w:rPr>
              <w:t>⑤</w:t>
            </w:r>
            <w:r>
              <w:rPr>
                <w:rFonts w:hint="eastAsia" w:asciiTheme="minorEastAsia" w:hAnsiTheme="minorEastAsia" w:eastAsiaTheme="minorEastAsia" w:cstheme="minorEastAsia"/>
                <w:color w:val="auto"/>
                <w:kern w:val="2"/>
                <w:sz w:val="21"/>
                <w:szCs w:val="21"/>
                <w:highlight w:val="none"/>
                <w:lang w:eastAsia="zh-CN"/>
              </w:rPr>
              <w:t>提出的合理化建议明确，具有可实施性，</w:t>
            </w:r>
            <w:r>
              <w:rPr>
                <w:rFonts w:hint="eastAsia" w:asciiTheme="minorEastAsia" w:hAnsiTheme="minorEastAsia" w:eastAsiaTheme="minorEastAsia" w:cstheme="minorEastAsia"/>
                <w:color w:val="auto"/>
                <w:kern w:val="2"/>
                <w:sz w:val="21"/>
                <w:szCs w:val="21"/>
                <w:highlight w:val="none"/>
              </w:rPr>
              <w:t>视为符合要求；（</w:t>
            </w:r>
            <w:r>
              <w:rPr>
                <w:rFonts w:hint="eastAsia" w:asciiTheme="minorEastAsia" w:hAnsiTheme="minorEastAsia" w:eastAsiaTheme="minorEastAsia" w:cstheme="minorEastAsia"/>
                <w:color w:val="auto"/>
                <w:kern w:val="2"/>
                <w:sz w:val="21"/>
                <w:szCs w:val="21"/>
                <w:highlight w:val="none"/>
                <w:lang w:val="en-US" w:eastAsia="zh-CN"/>
              </w:rPr>
              <w:t>每</w:t>
            </w:r>
            <w:r>
              <w:rPr>
                <w:rFonts w:hint="eastAsia" w:asciiTheme="minorEastAsia" w:hAnsiTheme="minorEastAsia" w:eastAsiaTheme="minorEastAsia" w:cstheme="minorEastAsia"/>
                <w:color w:val="auto"/>
                <w:kern w:val="2"/>
                <w:sz w:val="21"/>
                <w:szCs w:val="21"/>
                <w:highlight w:val="none"/>
              </w:rPr>
              <w:t>符合1项得2分，不符合不得分）；此项最高</w:t>
            </w:r>
            <w:r>
              <w:rPr>
                <w:rFonts w:hint="eastAsia" w:asciiTheme="minorEastAsia" w:hAnsiTheme="minorEastAsia" w:eastAsiaTheme="minorEastAsia" w:cstheme="minorEastAsia"/>
                <w:color w:val="auto"/>
                <w:kern w:val="2"/>
                <w:sz w:val="21"/>
                <w:szCs w:val="21"/>
                <w:highlight w:val="none"/>
                <w:lang w:val="en-US" w:eastAsia="zh-CN"/>
              </w:rPr>
              <w:t>10</w:t>
            </w:r>
            <w:r>
              <w:rPr>
                <w:rFonts w:hint="eastAsia" w:asciiTheme="minorEastAsia" w:hAnsiTheme="minorEastAsia" w:eastAsiaTheme="minorEastAsia" w:cstheme="minorEastAsia"/>
                <w:color w:val="auto"/>
                <w:kern w:val="2"/>
                <w:sz w:val="21"/>
                <w:szCs w:val="21"/>
                <w:highlight w:val="none"/>
              </w:rPr>
              <w:t>分</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3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baseline"/>
              <w:rPr>
                <w:rFonts w:hint="eastAsia" w:asciiTheme="minorEastAsia" w:hAnsiTheme="minorEastAsia" w:eastAsiaTheme="minorEastAsia" w:cstheme="minorEastAsia"/>
                <w:color w:val="auto"/>
                <w:kern w:val="2"/>
                <w:sz w:val="21"/>
                <w:szCs w:val="21"/>
                <w:highlight w:val="none"/>
              </w:rPr>
            </w:pPr>
          </w:p>
        </w:tc>
        <w:tc>
          <w:tcPr>
            <w:tcW w:w="4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baseline"/>
              <w:rPr>
                <w:rFonts w:hint="eastAsia" w:asciiTheme="minorEastAsia" w:hAnsiTheme="minorEastAsia" w:eastAsiaTheme="minorEastAsia" w:cstheme="minorEastAsia"/>
                <w:color w:val="auto"/>
                <w:kern w:val="2"/>
                <w:sz w:val="21"/>
                <w:szCs w:val="21"/>
                <w:highlight w:val="none"/>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服务方案</w:t>
            </w:r>
          </w:p>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（10分）</w:t>
            </w:r>
          </w:p>
        </w:tc>
        <w:tc>
          <w:tcPr>
            <w:tcW w:w="55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lang w:eastAsia="zh-CN"/>
              </w:rPr>
            </w:pPr>
            <w:r>
              <w:rPr>
                <w:rFonts w:hint="eastAsia" w:asciiTheme="minorEastAsia" w:hAnsiTheme="minorEastAsia" w:eastAsiaTheme="minorEastAsia" w:cstheme="minorEastAsia"/>
                <w:color w:val="auto"/>
                <w:kern w:val="2"/>
                <w:sz w:val="21"/>
                <w:szCs w:val="21"/>
                <w:highlight w:val="none"/>
              </w:rPr>
              <w:t>对</w:t>
            </w:r>
            <w:r>
              <w:rPr>
                <w:rFonts w:hint="eastAsia" w:asciiTheme="minorEastAsia" w:hAnsiTheme="minorEastAsia" w:eastAsiaTheme="minorEastAsia" w:cstheme="minorEastAsia"/>
                <w:color w:val="auto"/>
                <w:kern w:val="2"/>
                <w:sz w:val="21"/>
                <w:szCs w:val="21"/>
                <w:highlight w:val="none"/>
                <w:lang w:val="en-US" w:eastAsia="zh-CN"/>
              </w:rPr>
              <w:t>投标</w:t>
            </w:r>
            <w:r>
              <w:rPr>
                <w:rFonts w:hint="eastAsia" w:asciiTheme="minorEastAsia" w:hAnsiTheme="minorEastAsia" w:eastAsiaTheme="minorEastAsia" w:cstheme="minorEastAsia"/>
                <w:color w:val="auto"/>
                <w:kern w:val="2"/>
                <w:sz w:val="21"/>
                <w:szCs w:val="21"/>
                <w:highlight w:val="none"/>
              </w:rPr>
              <w:t>人提供的整体项目服务方案进行综合评价</w:t>
            </w:r>
            <w:r>
              <w:rPr>
                <w:rFonts w:hint="eastAsia" w:asciiTheme="minorEastAsia" w:hAnsiTheme="minorEastAsia" w:eastAsiaTheme="minorEastAsia" w:cstheme="minorEastAsia"/>
                <w:color w:val="auto"/>
                <w:kern w:val="2"/>
                <w:sz w:val="21"/>
                <w:szCs w:val="21"/>
                <w:highlight w:val="none"/>
                <w:lang w:eastAsia="zh-CN"/>
              </w:rPr>
              <w:t>：</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（1）提供方案内容均进行详细阐述且满足采购需求，得10分；</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（2）提供相关方案但未贴合项目实际情况进行论述，或内容中未包括具体实施细节及措施，得7分；</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（3）方案内容不符合项目实际情况且未提供具体实施细节及措施，得4分；</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（4）未提供相关方案不得分。</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3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baseline"/>
              <w:rPr>
                <w:rFonts w:hint="eastAsia" w:asciiTheme="minorEastAsia" w:hAnsiTheme="minorEastAsia" w:eastAsiaTheme="minorEastAsia" w:cstheme="minorEastAsia"/>
                <w:color w:val="auto"/>
                <w:kern w:val="2"/>
                <w:sz w:val="21"/>
                <w:szCs w:val="21"/>
                <w:highlight w:val="none"/>
              </w:rPr>
            </w:pPr>
          </w:p>
        </w:tc>
        <w:tc>
          <w:tcPr>
            <w:tcW w:w="4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baseline"/>
              <w:rPr>
                <w:rFonts w:hint="eastAsia" w:asciiTheme="minorEastAsia" w:hAnsiTheme="minorEastAsia" w:eastAsiaTheme="minorEastAsia" w:cstheme="minorEastAsia"/>
                <w:color w:val="auto"/>
                <w:kern w:val="2"/>
                <w:sz w:val="21"/>
                <w:szCs w:val="21"/>
                <w:highlight w:val="none"/>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应急预案</w:t>
            </w:r>
          </w:p>
          <w:p>
            <w:pPr>
              <w:keepNext w:val="0"/>
              <w:keepLines w:val="0"/>
              <w:pageBreakBefore w:val="0"/>
              <w:widowControl/>
              <w:kinsoku/>
              <w:wordWrap/>
              <w:overflowPunct/>
              <w:topLinePunct w:val="0"/>
              <w:autoSpaceDE/>
              <w:autoSpaceDN/>
              <w:bidi w:val="0"/>
              <w:adjustRightInd/>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（10分）</w:t>
            </w:r>
          </w:p>
        </w:tc>
        <w:tc>
          <w:tcPr>
            <w:tcW w:w="55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①可能发生的意外事件及应急预案、②针对因服务质量等可能产生投诉的情形及处理方案、③人员培训方案，针对上述三项方案内容的合理性、完整性、可行性进行评价，其中每项：</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1）提供方案内容均进行详细阐述且满足采购需求，得10分；</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2）提供相关方案但未贴合项目实际情况进行论述，或内容中未包括具体实施细节及措施，得7分；</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3）方案内容不符合项目实际情况且未提供具体实施细节及措施，得4分；</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4）未提供相关方案不得分。</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3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baseline"/>
              <w:rPr>
                <w:rFonts w:hint="eastAsia" w:asciiTheme="minorEastAsia" w:hAnsiTheme="minorEastAsia" w:eastAsiaTheme="minorEastAsia" w:cstheme="minorEastAsia"/>
                <w:color w:val="auto"/>
                <w:kern w:val="2"/>
                <w:sz w:val="21"/>
                <w:szCs w:val="21"/>
                <w:highlight w:val="none"/>
              </w:rPr>
            </w:pPr>
          </w:p>
        </w:tc>
        <w:tc>
          <w:tcPr>
            <w:tcW w:w="4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baseline"/>
              <w:rPr>
                <w:rFonts w:hint="eastAsia" w:asciiTheme="minorEastAsia" w:hAnsiTheme="minorEastAsia" w:eastAsiaTheme="minorEastAsia" w:cstheme="minorEastAsia"/>
                <w:color w:val="auto"/>
                <w:kern w:val="2"/>
                <w:sz w:val="21"/>
                <w:szCs w:val="21"/>
                <w:highlight w:val="none"/>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预防交叉感染控制方案</w:t>
            </w:r>
          </w:p>
          <w:p>
            <w:pPr>
              <w:keepNext w:val="0"/>
              <w:keepLines w:val="0"/>
              <w:pageBreakBefore w:val="0"/>
              <w:widowControl/>
              <w:kinsoku/>
              <w:wordWrap/>
              <w:overflowPunct/>
              <w:topLinePunct w:val="0"/>
              <w:autoSpaceDE/>
              <w:autoSpaceDN/>
              <w:bidi w:val="0"/>
              <w:adjustRightInd/>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（10分）</w:t>
            </w:r>
          </w:p>
        </w:tc>
        <w:tc>
          <w:tcPr>
            <w:tcW w:w="55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根据提供预防交叉感染控制方案进行综合评价。</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（1）提供方案内容均进行详细阐述且满足采购需求，得10分；</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（2）提供相关方案但未贴合项目实际情况进行论述，或内容中未包括具体实施细节及措施，得7分；</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（3）方案内容不符合项目实际情况且未提供具体实施细节及措施，得4分；</w:t>
            </w:r>
          </w:p>
          <w:p>
            <w:pPr>
              <w:keepNext w:val="0"/>
              <w:keepLines w:val="0"/>
              <w:pageBreakBefore w:val="0"/>
              <w:widowControl/>
              <w:kinsoku/>
              <w:wordWrap/>
              <w:overflowPunct/>
              <w:topLinePunct w:val="0"/>
              <w:autoSpaceDE/>
              <w:autoSpaceDN/>
              <w:bidi w:val="0"/>
              <w:snapToGrid w:val="0"/>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（4）未提供相关方案不得分。</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3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baseline"/>
              <w:rPr>
                <w:rFonts w:hint="eastAsia" w:asciiTheme="minorEastAsia" w:hAnsiTheme="minorEastAsia" w:eastAsiaTheme="minorEastAsia" w:cstheme="minorEastAsia"/>
                <w:color w:val="auto"/>
                <w:kern w:val="2"/>
                <w:sz w:val="21"/>
                <w:szCs w:val="21"/>
                <w:highlight w:val="none"/>
              </w:rPr>
            </w:pPr>
          </w:p>
        </w:tc>
        <w:tc>
          <w:tcPr>
            <w:tcW w:w="4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baseline"/>
              <w:rPr>
                <w:rFonts w:hint="eastAsia" w:asciiTheme="minorEastAsia" w:hAnsiTheme="minorEastAsia" w:eastAsiaTheme="minorEastAsia" w:cstheme="minorEastAsia"/>
                <w:color w:val="auto"/>
                <w:kern w:val="2"/>
                <w:sz w:val="21"/>
                <w:szCs w:val="21"/>
                <w:highlight w:val="none"/>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现代化管理方案</w:t>
            </w:r>
          </w:p>
          <w:p>
            <w:pPr>
              <w:keepNext w:val="0"/>
              <w:keepLines w:val="0"/>
              <w:pageBreakBefore w:val="0"/>
              <w:widowControl/>
              <w:kinsoku/>
              <w:wordWrap/>
              <w:overflowPunct/>
              <w:topLinePunct w:val="0"/>
              <w:autoSpaceDE/>
              <w:autoSpaceDN/>
              <w:bidi w:val="0"/>
              <w:adjustRightInd/>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w:t>
            </w:r>
            <w:r>
              <w:rPr>
                <w:rFonts w:hint="eastAsia" w:asciiTheme="minorEastAsia" w:hAnsiTheme="minorEastAsia" w:eastAsiaTheme="minorEastAsia" w:cstheme="minorEastAsia"/>
                <w:color w:val="auto"/>
                <w:kern w:val="2"/>
                <w:sz w:val="21"/>
                <w:szCs w:val="21"/>
                <w:highlight w:val="none"/>
                <w:lang w:val="en-US" w:eastAsia="zh-CN"/>
              </w:rPr>
              <w:t>4</w:t>
            </w:r>
            <w:r>
              <w:rPr>
                <w:rFonts w:hint="eastAsia" w:asciiTheme="minorEastAsia" w:hAnsiTheme="minorEastAsia" w:eastAsiaTheme="minorEastAsia" w:cstheme="minorEastAsia"/>
                <w:color w:val="auto"/>
                <w:kern w:val="2"/>
                <w:sz w:val="21"/>
                <w:szCs w:val="21"/>
                <w:highlight w:val="none"/>
              </w:rPr>
              <w:t>分）</w:t>
            </w:r>
          </w:p>
        </w:tc>
        <w:tc>
          <w:tcPr>
            <w:tcW w:w="555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结合医院建设，对</w:t>
            </w:r>
            <w:r>
              <w:rPr>
                <w:rFonts w:hint="eastAsia" w:asciiTheme="minorEastAsia" w:hAnsiTheme="minorEastAsia" w:eastAsiaTheme="minorEastAsia" w:cstheme="minorEastAsia"/>
                <w:color w:val="auto"/>
                <w:kern w:val="2"/>
                <w:sz w:val="21"/>
                <w:szCs w:val="21"/>
                <w:highlight w:val="none"/>
                <w:lang w:val="en-US" w:eastAsia="zh-CN"/>
              </w:rPr>
              <w:t>投标</w:t>
            </w:r>
            <w:r>
              <w:rPr>
                <w:rFonts w:hint="eastAsia" w:asciiTheme="minorEastAsia" w:hAnsiTheme="minorEastAsia" w:eastAsiaTheme="minorEastAsia" w:cstheme="minorEastAsia"/>
                <w:color w:val="auto"/>
                <w:kern w:val="2"/>
                <w:sz w:val="21"/>
                <w:szCs w:val="21"/>
                <w:highlight w:val="none"/>
              </w:rPr>
              <w:t>人提供符合医院实际运行的现代化管理方案，如互联网、APP等内容进行评价。</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（1）提供现代化方案内容均进行详细阐述且满足采购需求，得10分；</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（2）提供相关方案但未贴合项目实际情况进行论述，或内容中未包括具体实施细节及措施，得7分；</w:t>
            </w:r>
          </w:p>
          <w:p>
            <w:pPr>
              <w:keepNext w:val="0"/>
              <w:keepLines w:val="0"/>
              <w:pageBreakBefore w:val="0"/>
              <w:kinsoku/>
              <w:wordWrap/>
              <w:overflowPunct/>
              <w:topLinePunct w:val="0"/>
              <w:autoSpaceDE/>
              <w:autoSpaceDN/>
              <w:bidi w:val="0"/>
              <w:spacing w:line="240" w:lineRule="auto"/>
              <w:textAlignment w:val="baseline"/>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rPr>
              <w:t>（3）方案内容不符合项目实际情况且未提供具体实施细节及措施，得4分；</w:t>
            </w:r>
          </w:p>
          <w:p>
            <w:pPr>
              <w:keepNext w:val="0"/>
              <w:keepLines w:val="0"/>
              <w:pageBreakBefore w:val="0"/>
              <w:widowControl/>
              <w:kinsoku/>
              <w:wordWrap/>
              <w:overflowPunct/>
              <w:topLinePunct w:val="0"/>
              <w:autoSpaceDE/>
              <w:autoSpaceDN/>
              <w:bidi w:val="0"/>
              <w:snapToGrid w:val="0"/>
              <w:spacing w:line="240" w:lineRule="auto"/>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（4）未提供相关方案不得分。</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3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tc>
        <w:tc>
          <w:tcPr>
            <w:tcW w:w="4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sz w:val="21"/>
                <w:szCs w:val="21"/>
                <w:highlight w:val="none"/>
              </w:rPr>
              <w:t>服务团队评价</w:t>
            </w:r>
            <w:r>
              <w:rPr>
                <w:rFonts w:hint="eastAsia" w:asciiTheme="minorEastAsia" w:hAnsiTheme="minorEastAsia" w:eastAsiaTheme="minorEastAsia" w:cstheme="minorEastAsia"/>
                <w:color w:val="auto"/>
                <w:kern w:val="2"/>
                <w:sz w:val="21"/>
                <w:szCs w:val="21"/>
                <w:highlight w:val="none"/>
              </w:rPr>
              <w:t>（1</w:t>
            </w:r>
            <w:r>
              <w:rPr>
                <w:rFonts w:hint="eastAsia" w:asciiTheme="minorEastAsia" w:hAnsiTheme="minorEastAsia" w:eastAsiaTheme="minorEastAsia" w:cstheme="minorEastAsia"/>
                <w:color w:val="auto"/>
                <w:kern w:val="2"/>
                <w:sz w:val="21"/>
                <w:szCs w:val="21"/>
                <w:highlight w:val="none"/>
                <w:lang w:val="en-US" w:eastAsia="zh-CN"/>
              </w:rPr>
              <w:t>6</w:t>
            </w:r>
            <w:r>
              <w:rPr>
                <w:rFonts w:hint="eastAsia" w:asciiTheme="minorEastAsia" w:hAnsiTheme="minorEastAsia" w:eastAsiaTheme="minorEastAsia" w:cstheme="minorEastAsia"/>
                <w:color w:val="auto"/>
                <w:kern w:val="2"/>
                <w:sz w:val="21"/>
                <w:szCs w:val="21"/>
                <w:highlight w:val="none"/>
              </w:rPr>
              <w:t>分）</w:t>
            </w:r>
          </w:p>
        </w:tc>
        <w:tc>
          <w:tcPr>
            <w:tcW w:w="5558"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62" w:beforeLines="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针对本项目拟派团队配置方案情况</w:t>
            </w:r>
            <w:r>
              <w:rPr>
                <w:rFonts w:hint="eastAsia" w:asciiTheme="minorEastAsia" w:hAnsiTheme="minorEastAsia" w:eastAsiaTheme="minorEastAsia" w:cstheme="minorEastAsia"/>
                <w:color w:val="auto"/>
                <w:sz w:val="21"/>
                <w:szCs w:val="21"/>
                <w:highlight w:val="none"/>
                <w:lang w:eastAsia="zh-CN"/>
              </w:rPr>
              <w:t>及相关情况</w:t>
            </w:r>
            <w:r>
              <w:rPr>
                <w:rFonts w:hint="eastAsia" w:asciiTheme="minorEastAsia" w:hAnsiTheme="minorEastAsia" w:eastAsiaTheme="minorEastAsia" w:cstheme="minorEastAsia"/>
                <w:color w:val="auto"/>
                <w:sz w:val="21"/>
                <w:szCs w:val="21"/>
                <w:highlight w:val="none"/>
              </w:rPr>
              <w:t>进行评价，其中：</w:t>
            </w:r>
          </w:p>
          <w:p>
            <w:pPr>
              <w:widowControl/>
              <w:snapToGrid w:val="0"/>
              <w:spacing w:before="62" w:beforeLines="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根据</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针对本项目拟派团队配置方案情况，包括：①人员架构、岗位设置及职责划分②团队绩效管理考核制度③人员招聘渠道及来源稳定性进行评价，针对上述三项方案内容的合理性、完整性、可行性进行评价，</w:t>
            </w:r>
            <w:r>
              <w:rPr>
                <w:rFonts w:hint="eastAsia" w:asciiTheme="minorEastAsia" w:hAnsiTheme="minorEastAsia" w:eastAsiaTheme="minorEastAsia" w:cstheme="minorEastAsia"/>
                <w:color w:val="auto"/>
                <w:sz w:val="21"/>
                <w:szCs w:val="21"/>
                <w:highlight w:val="none"/>
                <w:lang w:eastAsia="zh-CN"/>
              </w:rPr>
              <w:t>每一项</w:t>
            </w:r>
            <w:r>
              <w:rPr>
                <w:rFonts w:hint="eastAsia" w:asciiTheme="minorEastAsia" w:hAnsiTheme="minorEastAsia" w:eastAsiaTheme="minorEastAsia" w:cstheme="minorEastAsia"/>
                <w:color w:val="auto"/>
                <w:sz w:val="21"/>
                <w:szCs w:val="21"/>
                <w:highlight w:val="none"/>
                <w:lang w:val="en-US" w:eastAsia="zh-CN"/>
              </w:rPr>
              <w:t>3分，</w:t>
            </w:r>
            <w:r>
              <w:rPr>
                <w:rFonts w:hint="eastAsia" w:asciiTheme="minorEastAsia" w:hAnsiTheme="minorEastAsia" w:eastAsiaTheme="minorEastAsia" w:cstheme="minorEastAsia"/>
                <w:color w:val="auto"/>
                <w:sz w:val="21"/>
                <w:szCs w:val="21"/>
                <w:highlight w:val="none"/>
                <w:lang w:eastAsia="zh-CN"/>
              </w:rPr>
              <w:t>共</w:t>
            </w:r>
            <w:r>
              <w:rPr>
                <w:rFonts w:hint="eastAsia" w:asciiTheme="minorEastAsia" w:hAnsiTheme="minorEastAsia" w:eastAsiaTheme="minorEastAsia" w:cstheme="minorEastAsia"/>
                <w:color w:val="auto"/>
                <w:sz w:val="21"/>
                <w:szCs w:val="21"/>
                <w:highlight w:val="none"/>
                <w:lang w:val="en-US" w:eastAsia="zh-CN"/>
              </w:rPr>
              <w:t>9分。</w:t>
            </w:r>
            <w:r>
              <w:rPr>
                <w:rFonts w:hint="eastAsia" w:asciiTheme="minorEastAsia" w:hAnsiTheme="minorEastAsia" w:eastAsiaTheme="minorEastAsia" w:cstheme="minorEastAsia"/>
                <w:color w:val="auto"/>
                <w:sz w:val="21"/>
                <w:szCs w:val="21"/>
                <w:highlight w:val="none"/>
              </w:rPr>
              <w:t>其中每</w:t>
            </w:r>
            <w:r>
              <w:rPr>
                <w:rFonts w:hint="eastAsia" w:asciiTheme="minorEastAsia" w:hAnsiTheme="minorEastAsia" w:eastAsiaTheme="minorEastAsia" w:cstheme="minorEastAsia"/>
                <w:color w:val="auto"/>
                <w:sz w:val="21"/>
                <w:szCs w:val="21"/>
                <w:highlight w:val="none"/>
                <w:lang w:eastAsia="zh-CN"/>
              </w:rPr>
              <w:t>一</w:t>
            </w:r>
            <w:r>
              <w:rPr>
                <w:rFonts w:hint="eastAsia" w:asciiTheme="minorEastAsia" w:hAnsiTheme="minorEastAsia" w:eastAsiaTheme="minorEastAsia" w:cstheme="minorEastAsia"/>
                <w:color w:val="auto"/>
                <w:sz w:val="21"/>
                <w:szCs w:val="21"/>
                <w:highlight w:val="none"/>
              </w:rPr>
              <w:t>项:</w:t>
            </w:r>
          </w:p>
          <w:p>
            <w:pPr>
              <w:widowControl/>
              <w:snapToGrid w:val="0"/>
              <w:spacing w:before="62" w:beforeLines="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1）上述相关内容均进行详细阐述且满足采购需求，得3分；</w:t>
            </w:r>
          </w:p>
          <w:p>
            <w:pPr>
              <w:widowControl/>
              <w:snapToGrid w:val="0"/>
              <w:spacing w:before="62" w:beforeLines="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）提供上述相关内容但未贴合项目实际情况进行论述，或内容中未包括具体实施细节及措施，得2分；</w:t>
            </w:r>
          </w:p>
          <w:p>
            <w:pPr>
              <w:widowControl/>
              <w:snapToGrid w:val="0"/>
              <w:spacing w:before="62" w:beforeLines="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）相关内容论述不符合项目实际情况且未提供具体实施细节及措施，得1分；</w:t>
            </w:r>
          </w:p>
          <w:p>
            <w:pPr>
              <w:widowControl/>
              <w:snapToGrid w:val="0"/>
              <w:spacing w:before="62" w:beforeLines="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）未进行相关内容论述不得分。</w:t>
            </w:r>
          </w:p>
          <w:p>
            <w:pPr>
              <w:widowControl/>
              <w:snapToGrid w:val="0"/>
              <w:spacing w:before="62" w:beforeLines="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 xml:space="preserve">岗位人员稳定，流动性低，得2分，不能提供人员稳定保证的，得0分。 </w:t>
            </w:r>
          </w:p>
          <w:p>
            <w:pPr>
              <w:keepNext w:val="0"/>
              <w:keepLines w:val="0"/>
              <w:pageBreakBefore w:val="0"/>
              <w:widowControl/>
              <w:numPr>
                <w:ilvl w:val="0"/>
                <w:numId w:val="0"/>
              </w:numPr>
              <w:kinsoku/>
              <w:wordWrap/>
              <w:overflowPunct/>
              <w:topLinePunct w:val="0"/>
              <w:autoSpaceDE/>
              <w:autoSpaceDN/>
              <w:bidi w:val="0"/>
              <w:snapToGrid w:val="0"/>
              <w:spacing w:line="240" w:lineRule="auto"/>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上述相关人员应具备医疗行业保洁服务经验，提供相关证明材料及在职证明复印件并加盖公章，得5分；提供服务团队证明资料缺乏相关医疗服务经验，资料不全得3分；未提供服务人员资料，未提交相关方案的得0分。</w:t>
            </w:r>
          </w:p>
          <w:p>
            <w:pPr>
              <w:pStyle w:val="2"/>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lang w:eastAsia="zh-CN"/>
              </w:rPr>
              <w:t>备注：</w:t>
            </w:r>
            <w:r>
              <w:rPr>
                <w:rFonts w:hint="eastAsia" w:asciiTheme="minorEastAsia" w:hAnsiTheme="minorEastAsia" w:eastAsiaTheme="minorEastAsia" w:cstheme="minorEastAsia"/>
                <w:b w:val="0"/>
                <w:bCs/>
                <w:color w:val="auto"/>
                <w:sz w:val="21"/>
                <w:szCs w:val="21"/>
                <w:highlight w:val="none"/>
              </w:rPr>
              <w:t>须提供相关人员资质证书，以及或在职证明或劳务合同等证明材料复印件并加盖公章。</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240" w:lineRule="auto"/>
              <w:jc w:val="center"/>
              <w:textAlignment w:val="baseline"/>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主观</w:t>
            </w:r>
          </w:p>
        </w:tc>
      </w:tr>
    </w:tbl>
    <w:p>
      <w:pPr>
        <w:rPr>
          <w:rFonts w:hint="eastAsia" w:asciiTheme="minorEastAsia" w:hAnsiTheme="minorEastAsia" w:eastAsiaTheme="minorEastAsia" w:cstheme="minorEastAsia"/>
          <w:color w:val="auto"/>
          <w:sz w:val="21"/>
          <w:szCs w:val="21"/>
          <w:highlight w:val="none"/>
        </w:rPr>
      </w:pPr>
    </w:p>
    <w:p>
      <w:pPr>
        <w:pStyle w:val="8"/>
        <w:ind w:firstLine="21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MSVG3AQAAVQMAAA4AAABkcnMvZTJvRG9jLnhtbK1TzY7TMBC+&#10;I/EOlu802WoX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uMxJU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38i9+2AQAAVQMAAA4AAABkcnMvZTJvRG9jLnhtbK1TwY7TMBC9&#10;I/EPlu802UqFKGq6Aq0WISFAWvYDXMduLNkea+w26Q/AH3Diwp3v6ncwdpsughvi4sx4xm/em5ms&#10;bydn2UFhNOA7frOoOVNeQm/8ruOPn+9fNJzFJHwvLHjV8aOK/Hbz/Nl6DK1awgC2V8gIxMd2DB0f&#10;UgptVUU5KCfiAoLyFNSATiRycVf1KEZCd7Za1vXLagTsA4JUMdLt3TnINwVfayXTR62jSsx2nLil&#10;cmI5t/msNmvR7lCEwcgLDfEPLJwwnopeoe5EEmyP5i8oZyRCBJ0WElwFWhupigZSc1P/oeZhEEEV&#10;LdScGK5tiv8PVn44fEJm+o6vOPPC0YhO376evv88/fjCVrk9Y4gtZT0EykvTG5hozPN9pMusetLo&#10;8pf0MIpTo4/X5qopMZkfNcumqSkkKTY7hF89PQ8Y01sFjmWj40jTK00Vh/cxnVPnlFzNw72xtkzQ&#10;ejYS6qp5tSovriFCt56KZBVnttlK03a6SNtCfyRlI61Axz3tKGf2nacO522ZDZyN7WzsA5rdUNYp&#10;U4nh9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IvftgEAAFUDAAAOAAAAAAAAAAEAIAAAACIBAABkcnMvZTJvRG9jLnhtbFBLBQYAAAAABgAG&#10;AFkBAABKBQ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bullet"/>
      <w:lvlText w:val=""/>
      <w:lvlJc w:val="left"/>
      <w:pPr>
        <w:ind w:left="420" w:hanging="420"/>
      </w:pPr>
      <w:rPr>
        <w:rFonts w:hint="default" w:ascii="Wingdings" w:hAnsi="Wingdings"/>
      </w:rPr>
    </w:lvl>
  </w:abstractNum>
  <w:abstractNum w:abstractNumId="1">
    <w:nsid w:val="00000003"/>
    <w:multiLevelType w:val="singleLevel"/>
    <w:tmpl w:val="00000003"/>
    <w:lvl w:ilvl="0" w:tentative="0">
      <w:start w:val="1"/>
      <w:numFmt w:val="bullet"/>
      <w:lvlText w:val=""/>
      <w:lvlJc w:val="left"/>
      <w:pPr>
        <w:ind w:left="420" w:hanging="420"/>
      </w:pPr>
      <w:rPr>
        <w:rFonts w:hint="default" w:ascii="Wingdings" w:hAnsi="Wingdings"/>
      </w:rPr>
    </w:lvl>
  </w:abstractNum>
  <w:abstractNum w:abstractNumId="2">
    <w:nsid w:val="00000004"/>
    <w:multiLevelType w:val="multilevel"/>
    <w:tmpl w:val="0000000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0000005"/>
    <w:multiLevelType w:val="multilevel"/>
    <w:tmpl w:val="0000000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0000007"/>
    <w:multiLevelType w:val="multilevel"/>
    <w:tmpl w:val="0000000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98142EF"/>
    <w:multiLevelType w:val="singleLevel"/>
    <w:tmpl w:val="398142EF"/>
    <w:lvl w:ilvl="0" w:tentative="0">
      <w:start w:val="1"/>
      <w:numFmt w:val="bullet"/>
      <w:lvlText w:val=""/>
      <w:lvlJc w:val="left"/>
      <w:pPr>
        <w:ind w:left="420" w:hanging="420"/>
      </w:pPr>
      <w:rPr>
        <w:rFonts w:hint="default" w:ascii="Wingdings" w:hAnsi="Wingdings"/>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44"/>
    <w:rsid w:val="00007749"/>
    <w:rsid w:val="00010577"/>
    <w:rsid w:val="00012A28"/>
    <w:rsid w:val="00021E30"/>
    <w:rsid w:val="00024433"/>
    <w:rsid w:val="00025328"/>
    <w:rsid w:val="00030B18"/>
    <w:rsid w:val="00072A2B"/>
    <w:rsid w:val="00075312"/>
    <w:rsid w:val="000A3623"/>
    <w:rsid w:val="000D74A6"/>
    <w:rsid w:val="000E089C"/>
    <w:rsid w:val="000E3A11"/>
    <w:rsid w:val="000F7207"/>
    <w:rsid w:val="00104CDF"/>
    <w:rsid w:val="00105AA4"/>
    <w:rsid w:val="0010793C"/>
    <w:rsid w:val="00125255"/>
    <w:rsid w:val="001361AA"/>
    <w:rsid w:val="00143A5D"/>
    <w:rsid w:val="001462D6"/>
    <w:rsid w:val="0015102B"/>
    <w:rsid w:val="0015780E"/>
    <w:rsid w:val="001608CB"/>
    <w:rsid w:val="00167013"/>
    <w:rsid w:val="00190FD5"/>
    <w:rsid w:val="001A62DF"/>
    <w:rsid w:val="001C0FAC"/>
    <w:rsid w:val="00231E53"/>
    <w:rsid w:val="00242657"/>
    <w:rsid w:val="0024391A"/>
    <w:rsid w:val="00244B92"/>
    <w:rsid w:val="0025679C"/>
    <w:rsid w:val="00264A48"/>
    <w:rsid w:val="00270202"/>
    <w:rsid w:val="00286C9D"/>
    <w:rsid w:val="00297001"/>
    <w:rsid w:val="002A03DB"/>
    <w:rsid w:val="002A1F29"/>
    <w:rsid w:val="002A40D4"/>
    <w:rsid w:val="002C7EFC"/>
    <w:rsid w:val="002D38F8"/>
    <w:rsid w:val="002D4318"/>
    <w:rsid w:val="00313C9A"/>
    <w:rsid w:val="00367EDC"/>
    <w:rsid w:val="00370AA6"/>
    <w:rsid w:val="00377BFE"/>
    <w:rsid w:val="00382B5A"/>
    <w:rsid w:val="003974ED"/>
    <w:rsid w:val="003B6163"/>
    <w:rsid w:val="003B6878"/>
    <w:rsid w:val="003F0D8A"/>
    <w:rsid w:val="004154E3"/>
    <w:rsid w:val="00424C1A"/>
    <w:rsid w:val="00444EB8"/>
    <w:rsid w:val="00451992"/>
    <w:rsid w:val="004627C1"/>
    <w:rsid w:val="00462FFD"/>
    <w:rsid w:val="0047241A"/>
    <w:rsid w:val="004A2146"/>
    <w:rsid w:val="004B1936"/>
    <w:rsid w:val="004E0F7A"/>
    <w:rsid w:val="004F219D"/>
    <w:rsid w:val="00507AF3"/>
    <w:rsid w:val="00516669"/>
    <w:rsid w:val="00527E64"/>
    <w:rsid w:val="00581046"/>
    <w:rsid w:val="005818C9"/>
    <w:rsid w:val="00591447"/>
    <w:rsid w:val="005A01D2"/>
    <w:rsid w:val="005A0E9C"/>
    <w:rsid w:val="005A6366"/>
    <w:rsid w:val="005B755D"/>
    <w:rsid w:val="005E0179"/>
    <w:rsid w:val="005E2779"/>
    <w:rsid w:val="005E318A"/>
    <w:rsid w:val="00601370"/>
    <w:rsid w:val="00621AFC"/>
    <w:rsid w:val="006438C0"/>
    <w:rsid w:val="0064428B"/>
    <w:rsid w:val="006579A3"/>
    <w:rsid w:val="00666AFB"/>
    <w:rsid w:val="00673062"/>
    <w:rsid w:val="006A1A15"/>
    <w:rsid w:val="006B63EC"/>
    <w:rsid w:val="006E7D39"/>
    <w:rsid w:val="00705121"/>
    <w:rsid w:val="00717990"/>
    <w:rsid w:val="00736B2A"/>
    <w:rsid w:val="007478EA"/>
    <w:rsid w:val="00751547"/>
    <w:rsid w:val="0076577D"/>
    <w:rsid w:val="007950FD"/>
    <w:rsid w:val="007A7DDC"/>
    <w:rsid w:val="007B5199"/>
    <w:rsid w:val="007B5E3B"/>
    <w:rsid w:val="007C4F09"/>
    <w:rsid w:val="007D4AD6"/>
    <w:rsid w:val="007D4F8F"/>
    <w:rsid w:val="007E0695"/>
    <w:rsid w:val="00802B8E"/>
    <w:rsid w:val="00805DD3"/>
    <w:rsid w:val="008142EE"/>
    <w:rsid w:val="008747BB"/>
    <w:rsid w:val="00880F32"/>
    <w:rsid w:val="0088284D"/>
    <w:rsid w:val="00885B1D"/>
    <w:rsid w:val="00897BDF"/>
    <w:rsid w:val="008A056D"/>
    <w:rsid w:val="008B0459"/>
    <w:rsid w:val="008B688A"/>
    <w:rsid w:val="008B6E44"/>
    <w:rsid w:val="008E0855"/>
    <w:rsid w:val="008E3424"/>
    <w:rsid w:val="00940D6A"/>
    <w:rsid w:val="009759F1"/>
    <w:rsid w:val="009862CD"/>
    <w:rsid w:val="00991C00"/>
    <w:rsid w:val="009B031B"/>
    <w:rsid w:val="009C0322"/>
    <w:rsid w:val="009C64ED"/>
    <w:rsid w:val="009D251F"/>
    <w:rsid w:val="009E271A"/>
    <w:rsid w:val="009E60C2"/>
    <w:rsid w:val="009F28A6"/>
    <w:rsid w:val="00A033F9"/>
    <w:rsid w:val="00A11EA1"/>
    <w:rsid w:val="00A2162D"/>
    <w:rsid w:val="00A247B4"/>
    <w:rsid w:val="00A2650C"/>
    <w:rsid w:val="00A31CE0"/>
    <w:rsid w:val="00A51524"/>
    <w:rsid w:val="00A636F5"/>
    <w:rsid w:val="00A663BC"/>
    <w:rsid w:val="00A75CD5"/>
    <w:rsid w:val="00A83531"/>
    <w:rsid w:val="00A96E6B"/>
    <w:rsid w:val="00AD02CD"/>
    <w:rsid w:val="00AD24A6"/>
    <w:rsid w:val="00AE7394"/>
    <w:rsid w:val="00B110A0"/>
    <w:rsid w:val="00B227C9"/>
    <w:rsid w:val="00B35B86"/>
    <w:rsid w:val="00B52BF5"/>
    <w:rsid w:val="00B628E2"/>
    <w:rsid w:val="00B63891"/>
    <w:rsid w:val="00B802A2"/>
    <w:rsid w:val="00B86482"/>
    <w:rsid w:val="00BB1FF7"/>
    <w:rsid w:val="00C02AB8"/>
    <w:rsid w:val="00C1183A"/>
    <w:rsid w:val="00C21DC5"/>
    <w:rsid w:val="00C4290C"/>
    <w:rsid w:val="00C74DF0"/>
    <w:rsid w:val="00CA781C"/>
    <w:rsid w:val="00CB4E8F"/>
    <w:rsid w:val="00CC0307"/>
    <w:rsid w:val="00CC34BB"/>
    <w:rsid w:val="00CC519A"/>
    <w:rsid w:val="00CD04FA"/>
    <w:rsid w:val="00CF349F"/>
    <w:rsid w:val="00D024EE"/>
    <w:rsid w:val="00D03978"/>
    <w:rsid w:val="00D057BD"/>
    <w:rsid w:val="00D45550"/>
    <w:rsid w:val="00D46935"/>
    <w:rsid w:val="00D701C3"/>
    <w:rsid w:val="00D72111"/>
    <w:rsid w:val="00D76484"/>
    <w:rsid w:val="00D80B05"/>
    <w:rsid w:val="00D9686A"/>
    <w:rsid w:val="00DA1185"/>
    <w:rsid w:val="00DB6DD7"/>
    <w:rsid w:val="00DC25C0"/>
    <w:rsid w:val="00DF70F9"/>
    <w:rsid w:val="00E05C3E"/>
    <w:rsid w:val="00E33766"/>
    <w:rsid w:val="00E45AE9"/>
    <w:rsid w:val="00E52AFB"/>
    <w:rsid w:val="00E548D9"/>
    <w:rsid w:val="00E57376"/>
    <w:rsid w:val="00E6211E"/>
    <w:rsid w:val="00E62CBB"/>
    <w:rsid w:val="00E645C8"/>
    <w:rsid w:val="00E73F90"/>
    <w:rsid w:val="00E94BC6"/>
    <w:rsid w:val="00E95D28"/>
    <w:rsid w:val="00EA7364"/>
    <w:rsid w:val="00EB10D9"/>
    <w:rsid w:val="00EB36F5"/>
    <w:rsid w:val="00ED7ECB"/>
    <w:rsid w:val="00EE0E48"/>
    <w:rsid w:val="00EE4421"/>
    <w:rsid w:val="00F22C21"/>
    <w:rsid w:val="00F23065"/>
    <w:rsid w:val="00F3214F"/>
    <w:rsid w:val="00F4557F"/>
    <w:rsid w:val="00F5329B"/>
    <w:rsid w:val="00F72D85"/>
    <w:rsid w:val="00F83882"/>
    <w:rsid w:val="00F94703"/>
    <w:rsid w:val="00FA1583"/>
    <w:rsid w:val="00FA335A"/>
    <w:rsid w:val="00FC7DAA"/>
    <w:rsid w:val="00FC7EF5"/>
    <w:rsid w:val="00FD7D36"/>
    <w:rsid w:val="00FE0389"/>
    <w:rsid w:val="00FF25FA"/>
    <w:rsid w:val="03CC3438"/>
    <w:rsid w:val="12995AA4"/>
    <w:rsid w:val="47946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3"/>
    <w:link w:val="14"/>
    <w:semiHidden/>
    <w:unhideWhenUsed/>
    <w:qFormat/>
    <w:uiPriority w:val="99"/>
    <w:pPr>
      <w:spacing w:after="120"/>
    </w:pPr>
  </w:style>
  <w:style w:type="paragraph" w:customStyle="1" w:styleId="3">
    <w:name w:val="目录 11"/>
    <w:next w:val="1"/>
    <w:qFormat/>
    <w:uiPriority w:val="0"/>
    <w:pPr>
      <w:wordWrap w:val="0"/>
      <w:jc w:val="both"/>
    </w:pPr>
    <w:rPr>
      <w:rFonts w:ascii="Calibri" w:hAnsi="Calibri" w:eastAsia="宋体" w:cs="Calibri"/>
      <w:sz w:val="21"/>
      <w:szCs w:val="22"/>
      <w:lang w:val="en-US" w:eastAsia="zh-CN" w:bidi="ar-SA"/>
    </w:rPr>
  </w:style>
  <w:style w:type="paragraph" w:styleId="4">
    <w:name w:val="Plain Text"/>
    <w:basedOn w:val="1"/>
    <w:qFormat/>
    <w:uiPriority w:val="99"/>
    <w:rPr>
      <w:rFonts w:ascii="宋体" w:hAnsi="Courier New" w:cs="Courier New"/>
      <w:szCs w:val="21"/>
    </w:rPr>
  </w:style>
  <w:style w:type="paragraph" w:styleId="5">
    <w:name w:val="Balloon Text"/>
    <w:basedOn w:val="1"/>
    <w:link w:val="17"/>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2"/>
    <w:link w:val="15"/>
    <w:qFormat/>
    <w:uiPriority w:val="99"/>
    <w:pPr>
      <w:ind w:firstLine="420" w:firstLineChars="100"/>
    </w:pPr>
  </w:style>
  <w:style w:type="table" w:styleId="10">
    <w:name w:val="Table Grid"/>
    <w:basedOn w:val="9"/>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11"/>
    <w:link w:val="7"/>
    <w:uiPriority w:val="99"/>
    <w:rPr>
      <w:sz w:val="18"/>
      <w:szCs w:val="18"/>
    </w:rPr>
  </w:style>
  <w:style w:type="character" w:customStyle="1" w:styleId="13">
    <w:name w:val="页脚 Char"/>
    <w:basedOn w:val="11"/>
    <w:link w:val="6"/>
    <w:uiPriority w:val="99"/>
    <w:rPr>
      <w:sz w:val="18"/>
      <w:szCs w:val="18"/>
    </w:rPr>
  </w:style>
  <w:style w:type="character" w:customStyle="1" w:styleId="14">
    <w:name w:val="正文文本 Char"/>
    <w:basedOn w:val="11"/>
    <w:link w:val="2"/>
    <w:semiHidden/>
    <w:qFormat/>
    <w:uiPriority w:val="99"/>
    <w:rPr>
      <w:rFonts w:ascii="Times New Roman" w:hAnsi="Times New Roman" w:eastAsia="宋体" w:cs="Times New Roman"/>
      <w:szCs w:val="24"/>
    </w:rPr>
  </w:style>
  <w:style w:type="character" w:customStyle="1" w:styleId="15">
    <w:name w:val="正文首行缩进 Char"/>
    <w:basedOn w:val="14"/>
    <w:link w:val="8"/>
    <w:qFormat/>
    <w:uiPriority w:val="99"/>
    <w:rPr>
      <w:rFonts w:ascii="Times New Roman" w:hAnsi="Times New Roman" w:eastAsia="宋体" w:cs="Times New Roman"/>
      <w:szCs w:val="24"/>
    </w:rPr>
  </w:style>
  <w:style w:type="paragraph" w:customStyle="1" w:styleId="16">
    <w:name w:val="纯文本1"/>
    <w:basedOn w:val="1"/>
    <w:qFormat/>
    <w:uiPriority w:val="0"/>
    <w:rPr>
      <w:rFonts w:ascii="宋体" w:hAnsi="Courier New"/>
      <w:szCs w:val="21"/>
    </w:rPr>
  </w:style>
  <w:style w:type="character" w:customStyle="1" w:styleId="17">
    <w:name w:val="批注框文本 Char"/>
    <w:basedOn w:val="11"/>
    <w:link w:val="5"/>
    <w:semiHidden/>
    <w:qFormat/>
    <w:uiPriority w:val="99"/>
    <w:rPr>
      <w:rFonts w:ascii="Times New Roman" w:hAnsi="Times New Roman" w:eastAsia="宋体" w:cs="Times New Roman"/>
      <w:sz w:val="18"/>
      <w:szCs w:val="18"/>
    </w:rPr>
  </w:style>
  <w:style w:type="paragraph" w:customStyle="1" w:styleId="18">
    <w:name w:val="Default"/>
    <w:qFormat/>
    <w:uiPriority w:val="0"/>
    <w:pPr>
      <w:widowControl w:val="0"/>
      <w:autoSpaceDE w:val="0"/>
      <w:autoSpaceDN w:val="0"/>
      <w:adjustRightInd w:val="0"/>
    </w:pPr>
    <w:rPr>
      <w:rFonts w:ascii="Symbol" w:hAnsi="Symbol" w:eastAsia="宋体" w:cs="Symbol"/>
      <w:color w:val="000000"/>
      <w:sz w:val="24"/>
      <w:szCs w:val="24"/>
      <w:lang w:val="en-US" w:eastAsia="zh-CN" w:bidi="ar-SA"/>
    </w:rPr>
  </w:style>
  <w:style w:type="character" w:customStyle="1" w:styleId="19">
    <w:name w:val="dash6b63_6587__char"/>
    <w:uiPriority w:val="0"/>
  </w:style>
  <w:style w:type="paragraph" w:customStyle="1" w:styleId="20">
    <w:name w:val="dash6b63_6587"/>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列出段落"/>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716</Words>
  <Characters>4084</Characters>
  <Lines>34</Lines>
  <Paragraphs>9</Paragraphs>
  <TotalTime>1</TotalTime>
  <ScaleCrop>false</ScaleCrop>
  <LinksUpToDate>false</LinksUpToDate>
  <CharactersWithSpaces>4791</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2023-06-19T09:15:00Z</dcterms:created>
  <dc:creator>zhhx</dc:creator>
  <cp:lastModifiedBy>zhhx</cp:lastModifiedBy>
  <dcterms:modified xsi:type="dcterms:W3CDTF">2023-12-21T09:34:52Z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