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numPr>
          <w:numId w:val="0"/>
        </w:numPr>
        <w:snapToGrid w:val="0"/>
        <w:spacing w:before="0" w:after="0"/>
        <w:ind w:left="288" w:leftChars="0"/>
        <w:jc w:val="center"/>
        <w:rPr>
          <w:rFonts w:ascii="宋体" w:hAnsi="宋体"/>
        </w:rPr>
      </w:pPr>
      <w:bookmarkStart w:id="4" w:name="_GoBack"/>
      <w:bookmarkEnd w:id="4"/>
      <w:bookmarkStart w:id="0" w:name="_Toc466015313"/>
      <w:r>
        <w:rPr>
          <w:rFonts w:hint="eastAsia" w:ascii="宋体" w:hAnsi="宋体"/>
        </w:rPr>
        <w:t>采购需求</w:t>
      </w:r>
      <w:bookmarkEnd w:id="0"/>
    </w:p>
    <w:p>
      <w:pPr>
        <w:numPr>
          <w:ilvl w:val="0"/>
          <w:numId w:val="1"/>
        </w:numPr>
        <w:rPr>
          <w:rFonts w:asciiTheme="minorEastAsia" w:hAnsiTheme="minorEastAsia" w:eastAsiaTheme="minorEastAsia" w:cstheme="minorEastAsia"/>
          <w:b/>
          <w:sz w:val="21"/>
          <w:szCs w:val="21"/>
        </w:rPr>
      </w:pPr>
      <w:bookmarkStart w:id="1" w:name="_Toc174185168"/>
      <w:bookmarkStart w:id="2" w:name="_Toc184023125"/>
      <w:r>
        <w:rPr>
          <w:rFonts w:hint="eastAsia" w:asciiTheme="minorEastAsia" w:hAnsiTheme="minorEastAsia" w:eastAsiaTheme="minorEastAsia" w:cstheme="minorEastAsia"/>
          <w:b/>
          <w:sz w:val="21"/>
          <w:szCs w:val="21"/>
        </w:rPr>
        <w:t>采购清单</w:t>
      </w:r>
    </w:p>
    <w:tbl>
      <w:tblPr>
        <w:tblStyle w:val="5"/>
        <w:tblW w:w="8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1"/>
        <w:gridCol w:w="1907"/>
        <w:gridCol w:w="1384"/>
        <w:gridCol w:w="1199"/>
        <w:gridCol w:w="1584"/>
        <w:gridCol w:w="1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1" w:type="dxa"/>
            <w:vAlign w:val="center"/>
          </w:tcPr>
          <w:p>
            <w:pPr>
              <w:jc w:val="cente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序号</w:t>
            </w:r>
          </w:p>
        </w:tc>
        <w:tc>
          <w:tcPr>
            <w:tcW w:w="1907" w:type="dxa"/>
            <w:vAlign w:val="center"/>
          </w:tcPr>
          <w:p>
            <w:pPr>
              <w:jc w:val="cente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货物或服务名称</w:t>
            </w:r>
          </w:p>
        </w:tc>
        <w:tc>
          <w:tcPr>
            <w:tcW w:w="1384" w:type="dxa"/>
            <w:vAlign w:val="center"/>
          </w:tcPr>
          <w:p>
            <w:pPr>
              <w:jc w:val="cente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数量</w:t>
            </w:r>
          </w:p>
        </w:tc>
        <w:tc>
          <w:tcPr>
            <w:tcW w:w="1199" w:type="dxa"/>
            <w:vAlign w:val="center"/>
          </w:tcPr>
          <w:p>
            <w:pPr>
              <w:jc w:val="cente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单位</w:t>
            </w:r>
          </w:p>
        </w:tc>
        <w:tc>
          <w:tcPr>
            <w:tcW w:w="1584" w:type="dxa"/>
            <w:vAlign w:val="center"/>
          </w:tcPr>
          <w:p>
            <w:pPr>
              <w:jc w:val="cente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color w:val="FF0000"/>
                <w:sz w:val="21"/>
                <w:szCs w:val="21"/>
              </w:rPr>
              <w:t>中小企业划分标准所属行业</w:t>
            </w:r>
          </w:p>
        </w:tc>
        <w:tc>
          <w:tcPr>
            <w:tcW w:w="1584" w:type="dxa"/>
            <w:vAlign w:val="center"/>
          </w:tcPr>
          <w:p>
            <w:pPr>
              <w:jc w:val="cente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备注（核心产品）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1"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1907" w:type="dxa"/>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管理电脑</w:t>
            </w:r>
          </w:p>
        </w:tc>
        <w:tc>
          <w:tcPr>
            <w:tcW w:w="1384" w:type="dxa"/>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w:t>
            </w:r>
          </w:p>
        </w:tc>
        <w:tc>
          <w:tcPr>
            <w:tcW w:w="1199" w:type="dxa"/>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台</w:t>
            </w:r>
          </w:p>
        </w:tc>
        <w:tc>
          <w:tcPr>
            <w:tcW w:w="1584" w:type="dxa"/>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工业</w:t>
            </w:r>
          </w:p>
        </w:tc>
        <w:tc>
          <w:tcPr>
            <w:tcW w:w="1584" w:type="dxa"/>
          </w:tcPr>
          <w:p>
            <w:pP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1"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1907" w:type="dxa"/>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86寸电容交互平板</w:t>
            </w:r>
          </w:p>
        </w:tc>
        <w:tc>
          <w:tcPr>
            <w:tcW w:w="1384" w:type="dxa"/>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29</w:t>
            </w:r>
          </w:p>
        </w:tc>
        <w:tc>
          <w:tcPr>
            <w:tcW w:w="1199" w:type="dxa"/>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台</w:t>
            </w:r>
          </w:p>
        </w:tc>
        <w:tc>
          <w:tcPr>
            <w:tcW w:w="1584" w:type="dxa"/>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工业</w:t>
            </w:r>
          </w:p>
        </w:tc>
        <w:tc>
          <w:tcPr>
            <w:tcW w:w="1584" w:type="dxa"/>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核心产品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1"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w:t>
            </w:r>
          </w:p>
        </w:tc>
        <w:tc>
          <w:tcPr>
            <w:tcW w:w="1907" w:type="dxa"/>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管理终端</w:t>
            </w:r>
          </w:p>
        </w:tc>
        <w:tc>
          <w:tcPr>
            <w:tcW w:w="1384" w:type="dxa"/>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26</w:t>
            </w:r>
          </w:p>
        </w:tc>
        <w:tc>
          <w:tcPr>
            <w:tcW w:w="1199" w:type="dxa"/>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台</w:t>
            </w:r>
          </w:p>
        </w:tc>
        <w:tc>
          <w:tcPr>
            <w:tcW w:w="1584" w:type="dxa"/>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工业</w:t>
            </w:r>
          </w:p>
        </w:tc>
        <w:tc>
          <w:tcPr>
            <w:tcW w:w="1584" w:type="dxa"/>
          </w:tcPr>
          <w:p>
            <w:pP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1"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w:t>
            </w:r>
          </w:p>
        </w:tc>
        <w:tc>
          <w:tcPr>
            <w:tcW w:w="1907" w:type="dxa"/>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98寸交互平板</w:t>
            </w:r>
          </w:p>
        </w:tc>
        <w:tc>
          <w:tcPr>
            <w:tcW w:w="1384" w:type="dxa"/>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1199" w:type="dxa"/>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台</w:t>
            </w:r>
          </w:p>
        </w:tc>
        <w:tc>
          <w:tcPr>
            <w:tcW w:w="1584" w:type="dxa"/>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工业</w:t>
            </w:r>
          </w:p>
        </w:tc>
        <w:tc>
          <w:tcPr>
            <w:tcW w:w="1584" w:type="dxa"/>
          </w:tcPr>
          <w:p>
            <w:pPr>
              <w:rPr>
                <w:rFonts w:asciiTheme="minorEastAsia" w:hAnsiTheme="minorEastAsia" w:eastAsiaTheme="minorEastAsia" w:cstheme="minorEastAsia"/>
                <w:sz w:val="21"/>
                <w:szCs w:val="21"/>
              </w:rPr>
            </w:pPr>
          </w:p>
        </w:tc>
      </w:tr>
    </w:tbl>
    <w:p>
      <w:pPr>
        <w:numPr>
          <w:ilvl w:val="0"/>
          <w:numId w:val="1"/>
        </w:numP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项目背景或简况</w:t>
      </w:r>
    </w:p>
    <w:p>
      <w:pPr>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TW"/>
        </w:rPr>
        <w:t>为响应教育部、北京市、中国音乐学院、中国音乐学院附中相关政策要求，解决现有教室设备老旧、信息化建设不足等问题，同时提升教室智慧教学功能，</w:t>
      </w:r>
      <w:r>
        <w:rPr>
          <w:rFonts w:hint="eastAsia" w:asciiTheme="minorEastAsia" w:hAnsiTheme="minorEastAsia" w:eastAsiaTheme="minorEastAsia" w:cstheme="minorEastAsia"/>
          <w:sz w:val="21"/>
          <w:szCs w:val="21"/>
        </w:rPr>
        <w:t>建设智慧教室配套相关设备，实现触控交互、资源留存等功能，提升教学效率，保障教学效果，助力我校高质量人才培养建设。</w:t>
      </w:r>
    </w:p>
    <w:p>
      <w:pPr>
        <w:numPr>
          <w:ilvl w:val="0"/>
          <w:numId w:val="1"/>
        </w:numP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技术参数要求：</w:t>
      </w:r>
    </w:p>
    <w:tbl>
      <w:tblPr>
        <w:tblStyle w:val="5"/>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367"/>
        <w:gridCol w:w="5372"/>
        <w:gridCol w:w="483"/>
        <w:gridCol w:w="4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Align w:val="center"/>
          </w:tcPr>
          <w:p>
            <w:pP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序号</w:t>
            </w:r>
          </w:p>
        </w:tc>
        <w:tc>
          <w:tcPr>
            <w:tcW w:w="1367" w:type="dxa"/>
            <w:vAlign w:val="center"/>
          </w:tcPr>
          <w:p>
            <w:pP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货物名称</w:t>
            </w:r>
          </w:p>
        </w:tc>
        <w:tc>
          <w:tcPr>
            <w:tcW w:w="5372" w:type="dxa"/>
            <w:vAlign w:val="center"/>
          </w:tcPr>
          <w:p>
            <w:pPr>
              <w:jc w:val="cente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规格和参数指标</w:t>
            </w:r>
          </w:p>
        </w:tc>
        <w:tc>
          <w:tcPr>
            <w:tcW w:w="483" w:type="dxa"/>
            <w:vAlign w:val="center"/>
          </w:tcPr>
          <w:p>
            <w:pP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数量</w:t>
            </w:r>
          </w:p>
        </w:tc>
        <w:tc>
          <w:tcPr>
            <w:tcW w:w="483" w:type="dxa"/>
            <w:vAlign w:val="center"/>
          </w:tcPr>
          <w:p>
            <w:pP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Align w:val="center"/>
          </w:tcPr>
          <w:p>
            <w:pP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sz w:val="21"/>
                <w:szCs w:val="21"/>
              </w:rPr>
              <w:t>1</w:t>
            </w:r>
          </w:p>
        </w:tc>
        <w:tc>
          <w:tcPr>
            <w:tcW w:w="1367" w:type="dxa"/>
            <w:vAlign w:val="center"/>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管理电脑</w:t>
            </w:r>
          </w:p>
        </w:tc>
        <w:tc>
          <w:tcPr>
            <w:tcW w:w="5372" w:type="dxa"/>
            <w:vAlign w:val="center"/>
          </w:tcPr>
          <w:p>
            <w:pP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sz w:val="21"/>
                <w:szCs w:val="21"/>
              </w:rPr>
              <w:t>1、配置不低于CPU酷睿四核I7，内存≥16G，硬盘≥1T，独显≥2G，显示器≥27寸。</w:t>
            </w:r>
          </w:p>
        </w:tc>
        <w:tc>
          <w:tcPr>
            <w:tcW w:w="483" w:type="dxa"/>
            <w:vAlign w:val="center"/>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w:t>
            </w:r>
          </w:p>
        </w:tc>
        <w:tc>
          <w:tcPr>
            <w:tcW w:w="483" w:type="dxa"/>
            <w:vAlign w:val="center"/>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Align w:val="center"/>
          </w:tcPr>
          <w:p>
            <w:pP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sz w:val="21"/>
                <w:szCs w:val="21"/>
              </w:rPr>
              <w:t>2</w:t>
            </w:r>
          </w:p>
        </w:tc>
        <w:tc>
          <w:tcPr>
            <w:tcW w:w="1367" w:type="dxa"/>
            <w:vAlign w:val="center"/>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86寸电容交互平板</w:t>
            </w:r>
          </w:p>
        </w:tc>
        <w:tc>
          <w:tcPr>
            <w:tcW w:w="5372" w:type="dxa"/>
            <w:vAlign w:val="center"/>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1、显示尺寸：≥86寸，背光类型采用LED背光，物理分辨率3840*2160；</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2、屏体亮度：≥400cd/m2，屏体对比度：≥5000：1，功耗：≤400W，待机：≤0.5W；</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3、水平可视角度最大可视角度：178度，灰阶最高灰阶：128灰阶，色彩度：≥10bit(1.07b色数)，色彩覆盖率：NTSC 标准下≥ 85%；</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#4、采用全贴合技术，钢化玻璃和液晶显示层无间隙全面贴合，无水雾/水汽；减少显示面板与玻璃间的偏光、散射，画面显示更加清晰通透，屏幕表面采用 ≥3.0mm（±0.2mm）厚度的防眩钢化玻璃，透光率≥92%（±3%），雾度≤8%（需提供国家认可的检测机构出具的构检验报告复印件并加盖投标人公章）；</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#5、屏体具有物理防蓝光功能, 无需其他操作即可达到蓝光护眼效果，低蓝光模式屏幕色温无变化（需提供国家认可的检测机构出具的构检验报告复印件并加盖投标人公章）；</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#6、感应方式：电容技术需遵循标准HID免驱协议，Window7/8/10/Mac OS/Linux/国产化系统下自动识别，无需额外安装驱动程序，支持双系统 Windows 与 Android 下≥20点触控（需提供国家认可的检测机构出具的构检验报告复印件并加盖投标人公章）；</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#7、下置接口：≥1 路全功能 USB Type-C*1，支持兼容笔记本与移动终端连接使用，接口协议需符合 USB3.0 及以上传输协议（需提供国家认可的检测机构出具的构检验报告复印件并加盖投标人公章）；</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#8、后置接口：USB2.0 双通道接口≥1，RS232≥1，HDMI 2.1≥1，HDMI OUT ≥1,VGA输入≥1，Earphone≥1,触控 USB 2.0 Type B Male≥1（需提供国家认可的检测机构出具的构检验报告复印件并加盖投标人公章）；</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#9、采用插拔式电脑模块架构，针脚数为 80Pin, 屏体与插拔式电脑无单独接线，接口严格遵循 Intel®的 OPS-C 相关规范（需提供国家认可的检测机构出具的构检验报告复印件并加盖投标人公章）；</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#10、具备多键合一功能:电源开关、电脑开关、轻按按键实现节能息屏与唤醒，息屏模式下需达到 95%的节能效果（需提供国家认可的检测机构出具的构检验报告复印件并加盖投标人公章）；</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11、内置白板软件，支持同步显示功能，教师上课时将白板书写内容实时数字化，自动生成带原笔迹的电子化板书同步到平台端，学生远端听课通过平台端观看、解决后排学生看不清板书的问题，电脑和手机端App板书书写内容同时呈现（需提供国家认可的检测机构出具的构检验报告复印件并加盖投标人公章）；</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#12、支持课表同步功能，可与教务系统课表对接，自动将白板书写内容同步存储到平台端（需提供国家认可的检测机构出具的构检验报告复印件并加盖投标人公章）；</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13、支持同步回放功能，课后复习过程，学生可以同步观看老师讲课的视频+课件+授课白板书写的板书内容，深度还原老师上课场景。回看支持对某节课的重点回看，回看内容板书与老师视频、课件视频同步显示， 可通过 PPT 索引页， 快速定位到想要观看的内容， 无需通过整堂课视频拖动进度条查找（需提供国家认可的检测机构出具的构检验报告复印件并加盖投标人公章）；</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14、支持自动识别功能，自动识手指为书写功能，识别手掌或手指为擦除功能，不改变老师的上课书写使用习惯。</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#15、支持存储查询功能，白板板书内容数据化后可传输到服务器，具有存储查询功能（需提供国家认可的检测机构出具的构检验报告复印件并加盖投标人公章）。</w:t>
            </w:r>
          </w:p>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16、设备需与我校建设的一体化教学应用云平台模块无缝对接，此项设备报价包含对接可能产生的所有费用，投标人需提供“对接承诺函”并加盖公章。</w:t>
            </w:r>
          </w:p>
        </w:tc>
        <w:tc>
          <w:tcPr>
            <w:tcW w:w="483" w:type="dxa"/>
            <w:vAlign w:val="center"/>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29</w:t>
            </w:r>
          </w:p>
        </w:tc>
        <w:tc>
          <w:tcPr>
            <w:tcW w:w="483" w:type="dxa"/>
            <w:vAlign w:val="center"/>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5" w:hRule="atLeast"/>
          <w:jc w:val="center"/>
        </w:trPr>
        <w:tc>
          <w:tcPr>
            <w:tcW w:w="817" w:type="dxa"/>
            <w:vAlign w:val="center"/>
          </w:tcPr>
          <w:p>
            <w:pP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sz w:val="21"/>
                <w:szCs w:val="21"/>
              </w:rPr>
              <w:t>3</w:t>
            </w:r>
          </w:p>
        </w:tc>
        <w:tc>
          <w:tcPr>
            <w:tcW w:w="1367" w:type="dxa"/>
            <w:vAlign w:val="center"/>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管理终端</w:t>
            </w:r>
          </w:p>
        </w:tc>
        <w:tc>
          <w:tcPr>
            <w:tcW w:w="5372" w:type="dxa"/>
            <w:vAlign w:val="center"/>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1、配置不低于CPU酷睿四核I7，内存≥8G，硬盘≥1T，独显≥2G，显示器≥21.5寸。</w:t>
            </w:r>
          </w:p>
        </w:tc>
        <w:tc>
          <w:tcPr>
            <w:tcW w:w="483" w:type="dxa"/>
            <w:vAlign w:val="center"/>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26</w:t>
            </w:r>
          </w:p>
        </w:tc>
        <w:tc>
          <w:tcPr>
            <w:tcW w:w="483" w:type="dxa"/>
            <w:vAlign w:val="center"/>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Align w:val="center"/>
          </w:tcPr>
          <w:p>
            <w:pP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sz w:val="21"/>
                <w:szCs w:val="21"/>
              </w:rPr>
              <w:t>4</w:t>
            </w:r>
          </w:p>
        </w:tc>
        <w:tc>
          <w:tcPr>
            <w:tcW w:w="1367" w:type="dxa"/>
            <w:vAlign w:val="center"/>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98寸交互平板</w:t>
            </w:r>
          </w:p>
        </w:tc>
        <w:tc>
          <w:tcPr>
            <w:tcW w:w="5372" w:type="dxa"/>
            <w:vAlign w:val="center"/>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1、显示尺寸：≥98寸,显示比例:16:9, 物理解析度:高清3840*2160； </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 xml:space="preserve">2、屏体亮度：≥450cd/m²，屏体对比度：≥5000:1；  </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 xml:space="preserve">3、色域：≥ 90%NTSC 宽色域；  </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#4、采用A规液晶屏，屏幕表面采用 ≥4mm 厚度钢化防眩玻璃，防划防撞；要求钢化玻璃/防眩光玻璃可见光透射比可达92%以上，表面硬度≥8H, 雾度范围 4%-8%；钢化玻璃需承受1.04kg钢球在1m高度自由坠落, 保证交互平板使用安全（需提供国家认可的检测机构出具的构检验报告复印件并加盖投标人公章）；</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#5、整机具备防强光干扰性能，在 200k lux 的强光照射下，产品各项书写、触控功能正常，照射测试完成后，设备其它各项书写、 触控正常（需提供国家认可的检测机构出具的构检验报告复印件并加盖投标人公章）；</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6、具备防盐雾锈蚀特性，防止长时间使用过程中生锈老化；整机主结构为金属外壳，需满足 GB4943.1-2011 标准内的防火要求；</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#7、交互平板具有硬件物理防蓝光功能，不接受软件菜单设置或按键设置方式进行防蓝光模式（需提供国家认可的检测机构出具的构检验报告复印件并加盖投标人公章）；</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8、内存:≥2G RAM/8GB ROM (内置)；</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#9、采用红外感应技术，在双系统下均支持≥ 20 点触控及同时书写；定位精度：≤±0.1mm；触摸精度：90%以上的触摸区域为±1mm; 触摸高度≤3mm；最小识别直径≤3mm，书写延迟速度≤30ms（需提供国家认可的检测机构出具的构检验报告复印件并加盖投标人公章）；</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10、 交互平板需具有极速开机模式，2秒内完成开机操作；</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#11、无需借助 PC，整机可一键进行硬件自检，包括对系统内存、存储、屏温、触摸系统、光感系统、内置电脑等进行状态提示及故障提示（需提供国家认可的检测机构出具的构检验报告复印件并加盖投标人公章）；</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12、内嵌喇叭，中高音扬声器 ≥10W*2+低音扬声器≥20W*1；</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13、内置≥1个麦克风，拾音范围≥5米；</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14、内置≥1200万高清摄像头,分辨率：4000x3000；</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15、整机内嵌针脚数 80Pin(双面), 需兼容 OPS/OPS-C等Intel®标准规范的插拔式电脑接口；</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16、支持 CEC 自动开机/ 关机, 允许外接设备开启交互平板电源或交互平板关闭其他外接设备；</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#17、 整机前置面板物理按键包含电源键（开机/待机）、电脑还原、Home键（需提供国家认可的检测机构出具的构检验报告复印件并加盖投标人公章）；</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18、前端接口具备：HDMI1≥1、电脑/安卓 USB≥2、Type-C≥1；</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19、 后置输入接口具备：Usb2.0（Pubilc）≥1；安卓 USB2.0≥1；HDMI≥2；RJ45≥1；MIC 扩展坞接口≥1；RS232≥1；AC IN ≥1；VGA IN≥1；Audio IN*1；AV IN≥1；TV IN≥1；YpBpr IN≥1；</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20、 后置输出接口具备：USB2.0 TOUCH ≥1、Earphone ≥1；</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21、屏幕具备自动调光功能, 可设置根据环境光自动调整亮度；</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22、信号预览及切换：极致信道切换速度, 信号源切换时间≤1s，支持通过触控方式快速切换信号源至全屏显示；</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内置液晶触控软件</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 xml:space="preserve">23、内嵌 Android 8.0 系统；支持一键操作切换信号源, 书写板, 文件浏览器等主要功能； </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24、安卓界面下需采用 4K 分辨率图标(4KUI)设计；</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#25、手势操作：支持三指息屏、双指长按呼叫罗盘，双击罗盘执行屏幕下移；双系统下五指可切换对应的多任务界面（需提供国家认可的检测机构出具的构检验报告复印件并加盖投标人公章）；</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26、屏幕悬浮按键，可以快速移动屏幕任意处。悬浮按键需快速调出批注、清屏等；</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27、支持设置开机讯号源, 设置后开机主动切入该讯号源，主页面可快捷调用白板、信号切换、文件浏览、系统检测等；</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28、具备定时自动开关机功能，时间需支持自行设定，并支持童锁功能，可随时关闭开启触控，防止误操作；</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29、内嵌白板软件，支持同步显示功能，老师上课时将白板书写内容实时数字化，自动生成带原笔迹的电子化板书同步到平台端，学生远端听课平台端观看、解决后排学生看不清板书的问题，电脑和手机端App板书书写内容支持同时呈现（需提供国家认可的检测机构出具的构检验报告复印件并加盖投标人公章）；</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#30、支持课表同步功能，支持与教务系统课表对接，自动将白板书写内容同步存储到平台端（需提供国家认可的检测机构出具的构检验报告复印件并加盖投标人公章）；</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31、支持同步回放功能，课后复习过程，支持学生同步观看老师讲课的视频+课件+授课白板书写的板书内容，深度还原老师上课场景。回看支持对某节课的重点回看，回看内容板书与老师视频、课件视频同步显示，支持通过 PPT 索引页，快速定位到想要观看的内容， 无需通过整堂课视频拖动进度条查找（需提供国家认可的检测机构出具的构检验报告复印件并加盖投标人公章）；</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32、支持自动识别功能，自动识手指为书写功能，识别手掌或手指为擦除功能，不改变老师的上课书写使用习惯。</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#33、支持存储查询功能，白板板书内容数据化后可传输到服务器，需具有存储查询功能（需提供国家认可的检测机构出具的构检验报告复印件并加盖投标人公章）。</w:t>
            </w:r>
          </w:p>
          <w:p>
            <w:pP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sz w:val="21"/>
                <w:szCs w:val="21"/>
              </w:rPr>
              <w:t>34、设备需与我校建设的一体化教学应用云平台模块无缝对接，此项设备报价包含对接可能产生的所有费用，投标人需提供“对接承诺函”并加盖公章。</w:t>
            </w:r>
          </w:p>
        </w:tc>
        <w:tc>
          <w:tcPr>
            <w:tcW w:w="483" w:type="dxa"/>
            <w:vAlign w:val="center"/>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483" w:type="dxa"/>
            <w:vAlign w:val="center"/>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台</w:t>
            </w:r>
          </w:p>
        </w:tc>
      </w:tr>
    </w:tbl>
    <w:p>
      <w:pPr>
        <w:rPr>
          <w:rFonts w:asciiTheme="minorEastAsia" w:hAnsiTheme="minorEastAsia" w:eastAsiaTheme="minorEastAsia" w:cstheme="minorEastAsia"/>
          <w:b/>
          <w:sz w:val="21"/>
          <w:szCs w:val="21"/>
        </w:rPr>
      </w:pPr>
    </w:p>
    <w:p>
      <w:pPr>
        <w:numPr>
          <w:ilvl w:val="0"/>
          <w:numId w:val="2"/>
        </w:num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采购标的需实现的功能或者目标，以及为落实政府采购政策需满足的要求；</w:t>
      </w:r>
    </w:p>
    <w:p>
      <w:pPr>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满足学校智慧教学的任务需求，通过本项目采购实现触控交互、板书留存等功能，提升设备使用率及教学效率。并通过与学校建设的一体化教学应用云平台模块对接，实现资源的常态化沉淀、应用，数字资源推动新型教学模式、学习方式变革。</w:t>
      </w:r>
    </w:p>
    <w:p>
      <w:pPr>
        <w:numPr>
          <w:ilvl w:val="0"/>
          <w:numId w:val="2"/>
        </w:num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采购标的需执行的国家相关标准、行业标准、地方标准或者其他标准、规范；</w:t>
      </w:r>
    </w:p>
    <w:p>
      <w:pPr>
        <w:ind w:left="42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GBT36447-2018多媒体教学环境设计要求</w:t>
      </w:r>
    </w:p>
    <w:p>
      <w:pPr>
        <w:ind w:left="42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GB50606-2010《智能建筑工程施工规范》</w:t>
      </w:r>
    </w:p>
    <w:p>
      <w:pPr>
        <w:ind w:left="42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GB/T50314-2006《智能建筑设计标准》</w:t>
      </w:r>
    </w:p>
    <w:p>
      <w:pPr>
        <w:ind w:left="42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GB/T50311-2007《综合布线系统工程设计规范》</w:t>
      </w:r>
    </w:p>
    <w:p>
      <w:pPr>
        <w:ind w:left="42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GB50174-2008《电子信息系统机房设计规范》</w:t>
      </w:r>
    </w:p>
    <w:p>
      <w:pPr>
        <w:ind w:left="42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GB/T2887-2011《计算机场地通用规范》</w:t>
      </w:r>
    </w:p>
    <w:p>
      <w:pPr>
        <w:ind w:left="42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GB50057-2010《建筑物防雷设计规范》</w:t>
      </w:r>
    </w:p>
    <w:p>
      <w:pPr>
        <w:ind w:left="42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GB50222-95《建筑内部装修设计防火规范》</w:t>
      </w:r>
    </w:p>
    <w:p>
      <w:pPr>
        <w:ind w:left="42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GYJ25-86《厅堂扩声系统声学特性指标》</w:t>
      </w:r>
    </w:p>
    <w:p>
      <w:pPr>
        <w:ind w:left="42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GB/T3785-2010《电声学声级计》</w:t>
      </w:r>
    </w:p>
    <w:p>
      <w:pPr>
        <w:ind w:left="42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GB14197-93《声系统设备互联的优选配接值》</w:t>
      </w:r>
    </w:p>
    <w:p>
      <w:pPr>
        <w:ind w:left="42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GB50311-2007《综合布线系统工程设计规范》</w:t>
      </w:r>
    </w:p>
    <w:p>
      <w:pPr>
        <w:ind w:left="42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需执行国家的相关标准、行业标准、地方标准及其他标准、规范</w:t>
      </w:r>
    </w:p>
    <w:p>
      <w:pPr>
        <w:numPr>
          <w:ilvl w:val="0"/>
          <w:numId w:val="2"/>
        </w:num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采购标的需满足的质量、安全、技术规格、物理特性等要求；</w:t>
      </w:r>
    </w:p>
    <w:p>
      <w:pPr>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除非在技术规格中另有说明，所有仪器、设备和系统都应符合下列要求： </w:t>
      </w:r>
    </w:p>
    <w:p>
      <w:pPr>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（1）适于在气温为摄氏-20℃～＋50℃和相对湿度≤90％的环境条件下运输和贮存。</w:t>
      </w:r>
    </w:p>
    <w:p>
      <w:pPr>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（2）适于在电源220V（10％）/50Hz、气温摄氏+15℃～＋30℃和相对湿度小于80％的环境条件下运行。能够连续正常工作。</w:t>
      </w:r>
    </w:p>
    <w:p>
      <w:pPr>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（3）如果需要配置插头，配置符合中国有关标准要求的插头，如果没有这样的插头，则需提供适当的转换插座。</w:t>
      </w:r>
    </w:p>
    <w:p>
      <w:pPr>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（4）如产品达不到上述要求，投标人应注明其偏差。如仪器设备需要特殊工作条件（如水、电源、磁场强度、温度、湿度、运动强度等）投标人应在投标文件中加以说明。</w:t>
      </w:r>
    </w:p>
    <w:p>
      <w:pPr>
        <w:numPr>
          <w:ilvl w:val="0"/>
          <w:numId w:val="2"/>
        </w:num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采购标的的数量、采购项目交付或者实施的时间和地点；</w:t>
      </w:r>
    </w:p>
    <w:p>
      <w:pPr>
        <w:ind w:left="42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交付时间：合同签订后60个日历日内到货并完成安装、调试。</w:t>
      </w:r>
    </w:p>
    <w:p>
      <w:pPr>
        <w:ind w:left="42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交付地点：中国音乐学院附中</w:t>
      </w:r>
      <w:r>
        <w:rPr>
          <w:rFonts w:hint="eastAsia" w:asciiTheme="minorEastAsia" w:hAnsiTheme="minorEastAsia" w:eastAsiaTheme="minorEastAsia" w:cstheme="minorEastAsia"/>
          <w:sz w:val="21"/>
          <w:szCs w:val="21"/>
          <w:lang w:val="zh-TW"/>
        </w:rPr>
        <w:t>，采购人指定具体地点。</w:t>
      </w:r>
    </w:p>
    <w:p>
      <w:pPr>
        <w:numPr>
          <w:ilvl w:val="0"/>
          <w:numId w:val="2"/>
        </w:num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采购标的需满足的服务标准、期限、效率等要求；</w:t>
      </w:r>
    </w:p>
    <w:p>
      <w:pPr>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中标人需提供至少三年售后服务，针对本项目，如果出现问题，供应商需在24小时内予以解决，如不能解决问题，供应商需提供备品备件，保证采购人正常使用，保障服务效率。</w:t>
      </w:r>
    </w:p>
    <w:p>
      <w:pPr>
        <w:numPr>
          <w:ilvl w:val="0"/>
          <w:numId w:val="2"/>
        </w:num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采购标的的验收标准；</w:t>
      </w:r>
    </w:p>
    <w:p>
      <w:pPr>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TW"/>
        </w:rPr>
        <w:t>用户验收：在货物运抵使用单位后，将在学校要求的时间，中标人派遣工程师到达现场，在学校相关技术人员在场的情况下，开箱清点货物，对货物的质量、规格、数量和重量进行检验，并出具检验证书。如发现货物的规格或数量或两者都与合同不符，采购人有权在货物运抵现场后30天内，根据合同条款向中标人提出索赔（由保险公司或运输部门承担的除外）。</w:t>
      </w:r>
    </w:p>
    <w:p>
      <w:pPr>
        <w:ind w:left="420"/>
        <w:rPr>
          <w:rFonts w:asciiTheme="minorEastAsia" w:hAnsiTheme="minorEastAsia" w:eastAsiaTheme="minorEastAsia" w:cstheme="minorEastAsia"/>
          <w:sz w:val="21"/>
          <w:szCs w:val="21"/>
          <w:lang w:eastAsia="zh-TW"/>
        </w:rPr>
      </w:pPr>
      <w:r>
        <w:rPr>
          <w:rFonts w:hint="eastAsia" w:asciiTheme="minorEastAsia" w:hAnsiTheme="minorEastAsia" w:eastAsiaTheme="minorEastAsia" w:cstheme="minorEastAsia"/>
          <w:sz w:val="21"/>
          <w:szCs w:val="21"/>
          <w:lang w:eastAsia="zh-TW"/>
        </w:rPr>
        <w:t>根据相关法律法规，按照相关标准进行验收，直至验收合格。</w:t>
      </w:r>
    </w:p>
    <w:p>
      <w:pPr>
        <w:numPr>
          <w:ilvl w:val="0"/>
          <w:numId w:val="2"/>
        </w:num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采购标的的其他技术、服务等要求。</w:t>
      </w:r>
    </w:p>
    <w:p>
      <w:pPr>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整体项目的质量保修期为自货物通过最终验收之日起计算，不少于三年质保服务。</w:t>
      </w:r>
    </w:p>
    <w:p>
      <w:pPr>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中标人提供软硬件设备安装及调试、系统互联调试等技术支持；技术支持服务包括但不限于日常运行保障、重大活动保障、故障恢复等。</w:t>
      </w:r>
    </w:p>
    <w:p>
      <w:pPr>
        <w:numPr>
          <w:ilvl w:val="0"/>
          <w:numId w:val="1"/>
        </w:numP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售后服务及培训要求</w:t>
      </w:r>
    </w:p>
    <w:p>
      <w:pPr>
        <w:ind w:left="420" w:firstLine="210" w:firstLineChars="1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1、售后服务要求</w:t>
      </w:r>
    </w:p>
    <w:p>
      <w:pPr>
        <w:ind w:left="420" w:firstLine="210" w:firstLineChars="1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质量保证期内应当为采购人提供以下技术支持和服务：</w:t>
      </w:r>
    </w:p>
    <w:p>
      <w:pPr>
        <w:ind w:left="420" w:firstLine="210" w:firstLineChars="1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①电话咨询</w:t>
      </w:r>
    </w:p>
    <w:p>
      <w:pPr>
        <w:ind w:left="420" w:firstLine="210" w:firstLineChars="1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为采购人提供技术援助电话，解答采购人在使用中遇到的问题，及时为采购人提出解决问题的建议。</w:t>
      </w:r>
    </w:p>
    <w:p>
      <w:pPr>
        <w:ind w:left="420" w:firstLine="210" w:firstLineChars="1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②故障响应</w:t>
      </w:r>
    </w:p>
    <w:p>
      <w:pPr>
        <w:ind w:left="420" w:firstLine="210" w:firstLineChars="1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中标人应在接到故障电话后30分钟内做出响应，如电话不能解决的问题，2小时内到达现场提供技术支持，24小时内不能解决问题则必须提供备用产品，保障采购人能够正常使用。</w:t>
      </w:r>
    </w:p>
    <w:p>
      <w:pPr>
        <w:ind w:left="420" w:firstLine="210" w:firstLineChars="1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③技术升级</w:t>
      </w:r>
    </w:p>
    <w:p>
      <w:pPr>
        <w:ind w:left="420" w:firstLine="210" w:firstLineChars="1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在质保期内，如果产品技术升级，应及时通知采购人，如采购人有相应要求，应对采购人购买的产品进行升级服务。</w:t>
      </w:r>
    </w:p>
    <w:p>
      <w:pPr>
        <w:ind w:left="420" w:firstLine="210" w:firstLineChars="1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(4)质保期满后服务要求</w:t>
      </w:r>
    </w:p>
    <w:p>
      <w:pPr>
        <w:ind w:left="420" w:firstLine="210" w:firstLineChars="1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质量保修期满后，中标人提供维修仅收取成本费（成本费只包括配件成本，但不包括人员工时、交通、住宿费等配件成本以外的费用），除此之外，中标人需终身维护并提供技术支持。同样提供电话咨询服务，并应承诺提供产品上门维护服务。</w:t>
      </w:r>
    </w:p>
    <w:p>
      <w:pPr>
        <w:ind w:left="420" w:firstLine="210" w:firstLineChars="1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(5)备品备件及易损件</w:t>
      </w:r>
    </w:p>
    <w:p>
      <w:pPr>
        <w:ind w:left="420" w:firstLine="210" w:firstLineChars="1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维修使用的备品备件及易损件应为原厂配件，未经采购人同意不得使用非原厂配件。</w:t>
      </w:r>
    </w:p>
    <w:p>
      <w:pPr>
        <w:ind w:left="420" w:firstLine="210" w:firstLineChars="1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2、培训要求</w:t>
      </w:r>
    </w:p>
    <w:p>
      <w:pPr>
        <w:ind w:left="420" w:firstLine="210" w:firstLineChars="1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中标人需负责对采购人相关人员进行货物基本操作的现场免费培训，直至能独立操作。培训内容包括货物设备的基本原理、实际操作、软件使用、日常维护保养及常见故障排除等。</w:t>
      </w:r>
    </w:p>
    <w:p>
      <w:pPr>
        <w:numPr>
          <w:ilvl w:val="0"/>
          <w:numId w:val="1"/>
        </w:numP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交货时间及地点（服务期限）</w:t>
      </w:r>
    </w:p>
    <w:p>
      <w:pPr>
        <w:ind w:left="420" w:firstLine="210" w:firstLineChars="1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交货时间：合同签订后60个日历日内到货并完成安装、调试。</w:t>
      </w:r>
    </w:p>
    <w:p>
      <w:pPr>
        <w:ind w:left="420" w:firstLine="210" w:firstLineChars="100"/>
        <w:rPr>
          <w:rFonts w:asciiTheme="minorEastAsia" w:hAnsiTheme="minorEastAsia" w:eastAsiaTheme="minorEastAsia" w:cstheme="minorEastAsia"/>
          <w:sz w:val="21"/>
          <w:szCs w:val="21"/>
          <w:lang w:val="zh-TW"/>
        </w:rPr>
      </w:pPr>
      <w:r>
        <w:rPr>
          <w:rFonts w:hint="eastAsia" w:asciiTheme="minorEastAsia" w:hAnsiTheme="minorEastAsia" w:eastAsiaTheme="minorEastAsia" w:cstheme="minorEastAsia"/>
          <w:sz w:val="21"/>
          <w:szCs w:val="21"/>
        </w:rPr>
        <w:t>交货地点：中国音乐学院附中</w:t>
      </w:r>
      <w:r>
        <w:rPr>
          <w:rFonts w:hint="eastAsia" w:asciiTheme="minorEastAsia" w:hAnsiTheme="minorEastAsia" w:eastAsiaTheme="minorEastAsia" w:cstheme="minorEastAsia"/>
          <w:sz w:val="21"/>
          <w:szCs w:val="21"/>
          <w:lang w:val="zh-TW"/>
        </w:rPr>
        <w:t>，采购人指定具体地点。</w:t>
      </w:r>
    </w:p>
    <w:p>
      <w:pPr>
        <w:ind w:left="420" w:firstLine="210" w:firstLineChars="100"/>
        <w:rPr>
          <w:rFonts w:asciiTheme="minorEastAsia" w:hAnsiTheme="minorEastAsia" w:eastAsiaTheme="minorEastAsia" w:cstheme="minorEastAsia"/>
          <w:sz w:val="21"/>
          <w:szCs w:val="21"/>
          <w:lang w:val="zh-TW"/>
        </w:rPr>
      </w:pPr>
      <w:r>
        <w:rPr>
          <w:rFonts w:hint="eastAsia" w:asciiTheme="minorEastAsia" w:hAnsiTheme="minorEastAsia" w:eastAsiaTheme="minorEastAsia" w:cstheme="minorEastAsia"/>
          <w:sz w:val="21"/>
          <w:szCs w:val="21"/>
          <w:lang w:val="zh-TW"/>
        </w:rPr>
        <w:t>服务期限：</w:t>
      </w:r>
      <w:r>
        <w:rPr>
          <w:rFonts w:hint="eastAsia" w:asciiTheme="minorEastAsia" w:hAnsiTheme="minorEastAsia" w:eastAsiaTheme="minorEastAsia" w:cstheme="minorEastAsia"/>
          <w:sz w:val="21"/>
          <w:szCs w:val="21"/>
        </w:rPr>
        <w:t>整体项目的质量保修期为自货物通过最终验收之日起计算，不少于三年质保服务。</w:t>
      </w:r>
    </w:p>
    <w:p>
      <w:pPr>
        <w:numPr>
          <w:ilvl w:val="0"/>
          <w:numId w:val="1"/>
        </w:numP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验收服务要求</w:t>
      </w:r>
    </w:p>
    <w:p>
      <w:pPr>
        <w:ind w:left="42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 xml:space="preserve">  </w:t>
      </w:r>
      <w:r>
        <w:rPr>
          <w:rFonts w:hint="eastAsia" w:asciiTheme="minorEastAsia" w:hAnsiTheme="minorEastAsia" w:eastAsiaTheme="minorEastAsia" w:cstheme="minorEastAsia"/>
          <w:sz w:val="21"/>
          <w:szCs w:val="21"/>
        </w:rPr>
        <w:t>本项目最终验收以项目招标文件、合同书、国标、行业标准和相关政策法规等作为项目的验收依据，采购人组织专家进行验收评审。</w:t>
      </w:r>
    </w:p>
    <w:p>
      <w:pPr>
        <w:numPr>
          <w:ilvl w:val="0"/>
          <w:numId w:val="1"/>
        </w:numP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付款方式</w:t>
      </w:r>
    </w:p>
    <w:p>
      <w:pPr>
        <w:ind w:left="420" w:firstLine="210" w:firstLineChars="1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1、合同签订后20日内，中标人先向采购人支付合同总价的5%的履约保证金后，买方向卖方支付合同总价的60%；</w:t>
      </w:r>
    </w:p>
    <w:p>
      <w:pPr>
        <w:ind w:left="420" w:firstLine="210" w:firstLineChars="1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2、中标人完成所有服务内容并验收合格后，采购人向中标人支付合同总价的40%；</w:t>
      </w:r>
    </w:p>
    <w:p>
      <w:pPr>
        <w:ind w:left="420" w:firstLine="210" w:firstLineChars="1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3、无质量和服务问题，正常使用12个月后，采购人无息退还中标人本项目的履约保证金。</w:t>
      </w:r>
    </w:p>
    <w:p>
      <w:pPr>
        <w:numPr>
          <w:ilvl w:val="0"/>
          <w:numId w:val="1"/>
        </w:numP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其他相关要求</w:t>
      </w:r>
    </w:p>
    <w:p>
      <w:pPr>
        <w:ind w:left="420" w:firstLine="210" w:firstLineChars="1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1、设备的安装需根据现场具体情况，但需严格遵守相关国家规范。</w:t>
      </w:r>
    </w:p>
    <w:p>
      <w:pPr>
        <w:ind w:left="420" w:firstLine="210" w:firstLineChars="1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2、安装过程中均不得影响学校正常的教育教学秩序，安装时间只能在学校规定时间或者夜间。</w:t>
      </w:r>
    </w:p>
    <w:p>
      <w:pPr>
        <w:ind w:left="420" w:firstLine="210" w:firstLineChars="1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本项目建设为“交钥匙”工程，中标人负责所有货物的安装、调试工作，本项目建设必须与中国音乐学院附中一体化教学应用云平台模块、中国音乐学院智慧校园平台完成对接，如果未完成采购人只支付总项目合同费用的30%。</w:t>
      </w:r>
    </w:p>
    <w:p>
      <w:pPr>
        <w:ind w:left="420" w:firstLine="210" w:firstLineChars="1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4、需中标人根据学校教室环境建设规划进行设备的拆除及安装一次，报价包含在投标报价中。</w:t>
      </w:r>
    </w:p>
    <w:p>
      <w:pPr>
        <w:ind w:left="420" w:firstLine="210" w:firstLineChars="1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5、针对本项目，项目设备采购安装及系统集成现场安装、调试及实施阶段需配备以下人员：项目经理1名、现场工程师2名，具备工程师中级或以上职称或同等资格；专职安全员1名。</w:t>
      </w:r>
    </w:p>
    <w:p>
      <w:pPr>
        <w:rPr>
          <w:rFonts w:asciiTheme="minorEastAsia" w:hAnsiTheme="minorEastAsia" w:eastAsiaTheme="minorEastAsia" w:cstheme="minorEastAsia"/>
          <w:b/>
          <w:sz w:val="21"/>
          <w:szCs w:val="21"/>
        </w:rPr>
      </w:pPr>
    </w:p>
    <w:p>
      <w:pPr>
        <w:rPr>
          <w:rFonts w:asciiTheme="minorEastAsia" w:hAnsiTheme="minorEastAsia" w:eastAsiaTheme="minorEastAsia" w:cstheme="minorEastAsia"/>
          <w:b/>
          <w:sz w:val="21"/>
          <w:szCs w:val="21"/>
        </w:rPr>
      </w:pPr>
    </w:p>
    <w:p>
      <w:pPr>
        <w:rPr>
          <w:rFonts w:ascii="宋体" w:hAnsi="宋体"/>
          <w:b/>
          <w:sz w:val="21"/>
          <w:szCs w:val="21"/>
        </w:rPr>
      </w:pPr>
    </w:p>
    <w:p>
      <w:pPr>
        <w:rPr>
          <w:rFonts w:ascii="宋体" w:hAnsi="宋体"/>
          <w:b/>
          <w:sz w:val="21"/>
          <w:szCs w:val="21"/>
        </w:rPr>
      </w:pPr>
    </w:p>
    <w:p>
      <w:pPr>
        <w:rPr>
          <w:rFonts w:ascii="宋体" w:hAnsi="宋体"/>
          <w:b/>
          <w:sz w:val="21"/>
          <w:szCs w:val="21"/>
        </w:rPr>
      </w:pPr>
    </w:p>
    <w:p>
      <w:pPr>
        <w:rPr>
          <w:rFonts w:ascii="宋体" w:hAnsi="宋体"/>
          <w:b/>
          <w:sz w:val="21"/>
          <w:szCs w:val="21"/>
        </w:rPr>
      </w:pPr>
    </w:p>
    <w:p>
      <w:pPr>
        <w:rPr>
          <w:rFonts w:ascii="宋体" w:hAnsi="宋体"/>
          <w:b/>
          <w:sz w:val="21"/>
          <w:szCs w:val="21"/>
        </w:rPr>
      </w:pPr>
    </w:p>
    <w:p>
      <w:pPr>
        <w:rPr>
          <w:rFonts w:ascii="宋体" w:hAnsi="宋体"/>
          <w:b/>
          <w:sz w:val="21"/>
          <w:szCs w:val="21"/>
        </w:rPr>
      </w:pPr>
    </w:p>
    <w:p>
      <w:pPr>
        <w:rPr>
          <w:rFonts w:ascii="宋体" w:hAnsi="宋体"/>
          <w:b/>
          <w:sz w:val="21"/>
          <w:szCs w:val="21"/>
        </w:rPr>
      </w:pPr>
    </w:p>
    <w:p>
      <w:pPr>
        <w:rPr>
          <w:rFonts w:ascii="宋体" w:hAnsi="宋体"/>
          <w:b/>
          <w:sz w:val="21"/>
          <w:szCs w:val="21"/>
        </w:rPr>
      </w:pPr>
    </w:p>
    <w:p>
      <w:pPr>
        <w:rPr>
          <w:rFonts w:ascii="宋体" w:hAnsi="宋体"/>
          <w:b/>
          <w:sz w:val="21"/>
          <w:szCs w:val="21"/>
        </w:rPr>
      </w:pPr>
    </w:p>
    <w:p>
      <w:pPr>
        <w:rPr>
          <w:rFonts w:ascii="宋体" w:hAnsi="宋体"/>
          <w:b/>
          <w:sz w:val="21"/>
          <w:szCs w:val="21"/>
        </w:rPr>
      </w:pPr>
    </w:p>
    <w:p>
      <w:pPr>
        <w:rPr>
          <w:rFonts w:ascii="宋体" w:hAnsi="宋体"/>
          <w:b/>
          <w:sz w:val="21"/>
          <w:szCs w:val="21"/>
        </w:rPr>
      </w:pPr>
    </w:p>
    <w:p>
      <w:pPr>
        <w:rPr>
          <w:rFonts w:ascii="宋体" w:hAnsi="宋体"/>
          <w:b/>
          <w:sz w:val="21"/>
          <w:szCs w:val="21"/>
        </w:rPr>
      </w:pPr>
    </w:p>
    <w:p>
      <w:pPr>
        <w:rPr>
          <w:rFonts w:ascii="宋体" w:hAnsi="宋体"/>
          <w:b/>
          <w:sz w:val="21"/>
          <w:szCs w:val="21"/>
        </w:rPr>
      </w:pPr>
    </w:p>
    <w:p>
      <w:pPr>
        <w:pStyle w:val="2"/>
        <w:rPr>
          <w:rFonts w:ascii="宋体" w:hAnsi="宋体"/>
          <w:b/>
          <w:sz w:val="21"/>
          <w:szCs w:val="21"/>
        </w:rPr>
      </w:pPr>
    </w:p>
    <w:p>
      <w:pPr>
        <w:pStyle w:val="3"/>
      </w:pPr>
    </w:p>
    <w:p>
      <w:pPr>
        <w:rPr>
          <w:rFonts w:ascii="宋体" w:hAnsi="宋体"/>
          <w:b/>
          <w:sz w:val="21"/>
          <w:szCs w:val="21"/>
        </w:rPr>
      </w:pPr>
    </w:p>
    <w:p>
      <w:pPr>
        <w:pStyle w:val="2"/>
        <w:rPr>
          <w:rFonts w:ascii="宋体" w:hAnsi="宋体"/>
          <w:b/>
          <w:sz w:val="21"/>
          <w:szCs w:val="21"/>
        </w:rPr>
      </w:pPr>
    </w:p>
    <w:p>
      <w:pPr>
        <w:pStyle w:val="3"/>
        <w:rPr>
          <w:rFonts w:ascii="宋体" w:hAnsi="宋体"/>
          <w:b/>
          <w:sz w:val="21"/>
          <w:szCs w:val="21"/>
        </w:rPr>
      </w:pPr>
    </w:p>
    <w:p>
      <w:pPr>
        <w:pStyle w:val="3"/>
        <w:rPr>
          <w:rFonts w:ascii="宋体" w:hAnsi="宋体"/>
          <w:b/>
          <w:sz w:val="21"/>
          <w:szCs w:val="21"/>
        </w:rPr>
      </w:pPr>
    </w:p>
    <w:p>
      <w:pPr>
        <w:pStyle w:val="3"/>
        <w:rPr>
          <w:rFonts w:ascii="宋体" w:hAnsi="宋体"/>
          <w:b/>
          <w:sz w:val="21"/>
          <w:szCs w:val="21"/>
        </w:rPr>
      </w:pPr>
    </w:p>
    <w:p>
      <w:pPr>
        <w:pStyle w:val="3"/>
        <w:rPr>
          <w:rFonts w:ascii="宋体" w:hAnsi="宋体"/>
          <w:b/>
          <w:sz w:val="21"/>
          <w:szCs w:val="21"/>
        </w:rPr>
      </w:pPr>
    </w:p>
    <w:p>
      <w:pPr>
        <w:pStyle w:val="3"/>
        <w:rPr>
          <w:rFonts w:ascii="宋体" w:hAnsi="宋体"/>
          <w:b/>
          <w:sz w:val="21"/>
          <w:szCs w:val="21"/>
        </w:rPr>
      </w:pPr>
    </w:p>
    <w:p>
      <w:pPr>
        <w:rPr>
          <w:rFonts w:ascii="宋体" w:hAnsi="宋体"/>
          <w:b/>
          <w:sz w:val="21"/>
          <w:szCs w:val="21"/>
        </w:rPr>
      </w:pPr>
    </w:p>
    <w:p>
      <w:pPr>
        <w:rPr>
          <w:rFonts w:ascii="宋体" w:hAnsi="宋体"/>
          <w:b/>
          <w:sz w:val="21"/>
          <w:szCs w:val="21"/>
        </w:rPr>
      </w:pPr>
    </w:p>
    <w:p>
      <w:pPr>
        <w:rPr>
          <w:rFonts w:ascii="宋体" w:hAnsi="宋体"/>
          <w:b/>
          <w:sz w:val="21"/>
          <w:szCs w:val="21"/>
        </w:rPr>
      </w:pPr>
    </w:p>
    <w:p>
      <w:pPr>
        <w:rPr>
          <w:rFonts w:ascii="宋体" w:hAnsi="宋体"/>
          <w:b/>
          <w:sz w:val="21"/>
          <w:szCs w:val="21"/>
        </w:rPr>
      </w:pPr>
    </w:p>
    <w:bookmarkEnd w:id="1"/>
    <w:bookmarkEnd w:id="2"/>
    <w:p>
      <w:pPr>
        <w:pStyle w:val="7"/>
        <w:numPr>
          <w:numId w:val="0"/>
        </w:numPr>
        <w:snapToGrid w:val="0"/>
        <w:spacing w:before="0" w:after="0"/>
        <w:ind w:left="288" w:leftChars="0"/>
        <w:jc w:val="center"/>
        <w:rPr>
          <w:rFonts w:ascii="宋体" w:hAnsi="宋体"/>
        </w:rPr>
      </w:pPr>
      <w:bookmarkStart w:id="3" w:name="_Toc466015314"/>
      <w:r>
        <w:rPr>
          <w:rFonts w:hint="eastAsia" w:ascii="宋体" w:hAnsi="宋体"/>
        </w:rPr>
        <w:t>评标标准和评标方法</w:t>
      </w:r>
      <w:bookmarkEnd w:id="3"/>
    </w:p>
    <w:p>
      <w:pPr>
        <w:spacing w:line="360" w:lineRule="exact"/>
        <w:rPr>
          <w:rFonts w:ascii="宋体" w:hAnsi="宋体"/>
          <w:sz w:val="21"/>
          <w:szCs w:val="21"/>
        </w:rPr>
      </w:pPr>
      <w:r>
        <w:rPr>
          <w:rFonts w:hint="eastAsia" w:ascii="宋体" w:hAnsi="宋体"/>
          <w:sz w:val="21"/>
          <w:szCs w:val="21"/>
        </w:rPr>
        <w:t>1、评标方法：采用综合评分法，满分为</w:t>
      </w:r>
      <w:r>
        <w:rPr>
          <w:rFonts w:ascii="宋体" w:hAnsi="宋体"/>
          <w:sz w:val="21"/>
          <w:szCs w:val="21"/>
        </w:rPr>
        <w:t>100</w:t>
      </w:r>
      <w:r>
        <w:rPr>
          <w:rFonts w:hint="eastAsia" w:ascii="宋体" w:hAnsi="宋体"/>
          <w:sz w:val="21"/>
          <w:szCs w:val="21"/>
        </w:rPr>
        <w:t>分。</w:t>
      </w:r>
    </w:p>
    <w:p>
      <w:pPr>
        <w:spacing w:line="360" w:lineRule="exact"/>
        <w:rPr>
          <w:rFonts w:ascii="宋体" w:hAnsi="宋体"/>
          <w:sz w:val="21"/>
          <w:szCs w:val="21"/>
        </w:rPr>
      </w:pPr>
      <w:r>
        <w:rPr>
          <w:rFonts w:hint="eastAsia" w:ascii="宋体" w:hAnsi="宋体"/>
          <w:sz w:val="21"/>
          <w:szCs w:val="21"/>
        </w:rPr>
        <w:t>2、价格分采用低价优先法计算，即满足招标文件要求且投标价格最低的投标报价为评标基准价，其价格分为满分，其他投标人的价格分统一按下列公式计算：</w:t>
      </w:r>
    </w:p>
    <w:p>
      <w:pPr>
        <w:spacing w:line="360" w:lineRule="exact"/>
        <w:rPr>
          <w:rFonts w:ascii="宋体" w:hAnsi="宋体"/>
          <w:sz w:val="21"/>
          <w:szCs w:val="21"/>
        </w:rPr>
      </w:pPr>
      <w:r>
        <w:rPr>
          <w:rFonts w:hint="eastAsia" w:ascii="宋体" w:hAnsi="宋体"/>
          <w:sz w:val="21"/>
          <w:szCs w:val="21"/>
        </w:rPr>
        <w:t>投标报价得分=（评标基准价/投标报价）×价格权值×100。</w:t>
      </w:r>
    </w:p>
    <w:p>
      <w:pPr>
        <w:spacing w:line="360" w:lineRule="exact"/>
        <w:rPr>
          <w:rFonts w:ascii="宋体" w:hAnsi="宋体"/>
          <w:sz w:val="21"/>
          <w:szCs w:val="21"/>
        </w:rPr>
      </w:pPr>
      <w:r>
        <w:rPr>
          <w:rFonts w:hint="eastAsia" w:ascii="宋体" w:hAnsi="宋体"/>
          <w:sz w:val="21"/>
          <w:szCs w:val="21"/>
        </w:rPr>
        <w:t>3、最低报价不作为中标保证。</w:t>
      </w:r>
    </w:p>
    <w:p>
      <w:pPr>
        <w:widowControl/>
        <w:spacing w:line="360" w:lineRule="exact"/>
        <w:rPr>
          <w:rFonts w:ascii="宋体" w:hAnsi="宋体"/>
          <w:sz w:val="21"/>
          <w:szCs w:val="21"/>
        </w:rPr>
      </w:pPr>
      <w:r>
        <w:rPr>
          <w:rFonts w:hint="eastAsia" w:ascii="宋体" w:hAnsi="宋体"/>
          <w:sz w:val="21"/>
          <w:szCs w:val="21"/>
        </w:rPr>
        <w:t>4、本项目对属于小型和微型企业的投标人的投标报价给予10%的扣除，用扣除后的价格参与评审。</w:t>
      </w:r>
    </w:p>
    <w:p>
      <w:pPr>
        <w:widowControl/>
        <w:spacing w:line="360" w:lineRule="exact"/>
      </w:pPr>
      <w:r>
        <w:rPr>
          <w:rFonts w:hint="eastAsia" w:ascii="宋体" w:hAnsi="宋体"/>
          <w:sz w:val="21"/>
          <w:szCs w:val="21"/>
        </w:rPr>
        <w:t>5、具体评标标准：</w:t>
      </w:r>
    </w:p>
    <w:tbl>
      <w:tblPr>
        <w:tblStyle w:val="5"/>
        <w:tblW w:w="85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2"/>
        <w:gridCol w:w="1005"/>
        <w:gridCol w:w="5641"/>
        <w:gridCol w:w="11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8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评分因素</w:t>
            </w:r>
          </w:p>
        </w:tc>
        <w:tc>
          <w:tcPr>
            <w:tcW w:w="564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评分标准</w:t>
            </w:r>
          </w:p>
        </w:tc>
        <w:tc>
          <w:tcPr>
            <w:tcW w:w="1197"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主客观分属性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87" w:type="dxa"/>
            <w:gridSpan w:val="2"/>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价格（30分）</w:t>
            </w:r>
          </w:p>
        </w:tc>
        <w:tc>
          <w:tcPr>
            <w:tcW w:w="5641" w:type="dxa"/>
            <w:tcBorders>
              <w:top w:val="single" w:color="auto" w:sz="4" w:space="0"/>
              <w:left w:val="single" w:color="auto" w:sz="4" w:space="0"/>
              <w:bottom w:val="single" w:color="auto" w:sz="4" w:space="0"/>
              <w:right w:val="single" w:color="auto" w:sz="4" w:space="0"/>
            </w:tcBorders>
            <w:vAlign w:val="center"/>
          </w:tcPr>
          <w:p>
            <w:pPr>
              <w:widowControl/>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价格分采用低价优先法计算，即满足招标文件要求且投标价格最低的投标报价为评标基准价，其价格分为满分，其他投标人的价格分统一按下列公式计算：</w:t>
            </w:r>
          </w:p>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zh-CN"/>
              </w:rPr>
              <w:t>投标报价得分=（评标基准价/投标报价）×价格权值×100。</w:t>
            </w:r>
          </w:p>
        </w:tc>
        <w:tc>
          <w:tcPr>
            <w:tcW w:w="1197"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客观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trPr>
        <w:tc>
          <w:tcPr>
            <w:tcW w:w="682" w:type="dxa"/>
            <w:vMerge w:val="restart"/>
            <w:tcBorders>
              <w:top w:val="single" w:color="auto" w:sz="4" w:space="0"/>
              <w:left w:val="single" w:color="auto" w:sz="4" w:space="0"/>
              <w:right w:val="single" w:color="auto" w:sz="4" w:space="0"/>
            </w:tcBorders>
            <w:vAlign w:val="center"/>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商务部分（10分）</w:t>
            </w:r>
          </w:p>
        </w:tc>
        <w:tc>
          <w:tcPr>
            <w:tcW w:w="1005"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类似项目业绩（5分）</w:t>
            </w:r>
          </w:p>
        </w:tc>
        <w:tc>
          <w:tcPr>
            <w:tcW w:w="5641"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提供投标人近三年（2020年起至投标截止日止，以合同签订日期为准）实施过的与本项目相似的业绩。</w:t>
            </w:r>
          </w:p>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业绩应包含合同复印件（合同首页、金额页、签字盖章页及设备清单页）验收报告或业主单位出具的验收证明材料复印件，每提供1套完整材料得1分，满分5分。不提供或提供内容不符合要求的，得0分。</w:t>
            </w:r>
          </w:p>
        </w:tc>
        <w:tc>
          <w:tcPr>
            <w:tcW w:w="1197"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客观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4" w:hRule="atLeast"/>
        </w:trPr>
        <w:tc>
          <w:tcPr>
            <w:tcW w:w="682" w:type="dxa"/>
            <w:vMerge w:val="continue"/>
            <w:tcBorders>
              <w:left w:val="single" w:color="auto" w:sz="4" w:space="0"/>
              <w:right w:val="single" w:color="auto" w:sz="4" w:space="0"/>
            </w:tcBorders>
            <w:vAlign w:val="center"/>
          </w:tcPr>
          <w:p>
            <w:pPr>
              <w:rPr>
                <w:rFonts w:asciiTheme="minorEastAsia" w:hAnsiTheme="minorEastAsia" w:eastAsiaTheme="minorEastAsia" w:cstheme="minorEastAsia"/>
                <w:sz w:val="21"/>
                <w:szCs w:val="21"/>
              </w:rPr>
            </w:pPr>
          </w:p>
        </w:tc>
        <w:tc>
          <w:tcPr>
            <w:tcW w:w="1005" w:type="dxa"/>
            <w:tcBorders>
              <w:top w:val="single" w:color="auto" w:sz="4" w:space="0"/>
              <w:left w:val="single" w:color="auto" w:sz="4" w:space="0"/>
              <w:right w:val="single" w:color="auto" w:sz="4" w:space="0"/>
            </w:tcBorders>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人员配备要求（2分）</w:t>
            </w:r>
          </w:p>
        </w:tc>
        <w:tc>
          <w:tcPr>
            <w:tcW w:w="5641"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项目设备采购安装及系统集成现场安装、调试及实施阶段需配备以下人员：</w:t>
            </w:r>
          </w:p>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项目经理1名、现场工程师2名，具备工程师中级或以上职称或同等资格；专职安全员1名。</w:t>
            </w:r>
          </w:p>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需提供拟投入人员的身份证、毕业证、职称（或同等资格）证书复印件。每1名人员材料齐全得0.5分，最高2分。未提供或提供材料不齐全不得分。</w:t>
            </w:r>
          </w:p>
        </w:tc>
        <w:tc>
          <w:tcPr>
            <w:tcW w:w="1197"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客观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trPr>
        <w:tc>
          <w:tcPr>
            <w:tcW w:w="682" w:type="dxa"/>
            <w:vMerge w:val="continue"/>
            <w:tcBorders>
              <w:left w:val="single" w:color="auto" w:sz="4" w:space="0"/>
              <w:right w:val="single" w:color="auto" w:sz="4" w:space="0"/>
            </w:tcBorders>
            <w:vAlign w:val="center"/>
          </w:tcPr>
          <w:p>
            <w:pPr>
              <w:rPr>
                <w:rFonts w:asciiTheme="minorEastAsia" w:hAnsiTheme="minorEastAsia" w:eastAsiaTheme="minorEastAsia" w:cstheme="minorEastAsia"/>
                <w:sz w:val="21"/>
                <w:szCs w:val="21"/>
              </w:rPr>
            </w:pPr>
          </w:p>
        </w:tc>
        <w:tc>
          <w:tcPr>
            <w:tcW w:w="1005" w:type="dxa"/>
            <w:vMerge w:val="restart"/>
            <w:tcBorders>
              <w:top w:val="single" w:color="auto" w:sz="4" w:space="0"/>
              <w:left w:val="single" w:color="auto" w:sz="4" w:space="0"/>
              <w:right w:val="single" w:color="auto" w:sz="4" w:space="0"/>
            </w:tcBorders>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企业资质（3分）</w:t>
            </w:r>
          </w:p>
        </w:tc>
        <w:tc>
          <w:tcPr>
            <w:tcW w:w="5641"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为确保系统稳定性，结合本项目建设规划要求，投标人必须具有系统对接开发能力。提供系统对接方案及承诺书并加盖公章，得2分；不提供得0分。</w:t>
            </w:r>
          </w:p>
        </w:tc>
        <w:tc>
          <w:tcPr>
            <w:tcW w:w="1197"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客观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4" w:hRule="atLeast"/>
        </w:trPr>
        <w:tc>
          <w:tcPr>
            <w:tcW w:w="682" w:type="dxa"/>
            <w:vMerge w:val="continue"/>
            <w:tcBorders>
              <w:left w:val="single" w:color="auto" w:sz="4" w:space="0"/>
              <w:right w:val="single" w:color="auto" w:sz="4" w:space="0"/>
            </w:tcBorders>
            <w:vAlign w:val="center"/>
          </w:tcPr>
          <w:p>
            <w:pPr>
              <w:rPr>
                <w:rFonts w:asciiTheme="minorEastAsia" w:hAnsiTheme="minorEastAsia" w:eastAsiaTheme="minorEastAsia" w:cstheme="minorEastAsia"/>
                <w:sz w:val="21"/>
                <w:szCs w:val="21"/>
              </w:rPr>
            </w:pPr>
          </w:p>
        </w:tc>
        <w:tc>
          <w:tcPr>
            <w:tcW w:w="1005" w:type="dxa"/>
            <w:vMerge w:val="continue"/>
            <w:tcBorders>
              <w:left w:val="single" w:color="auto" w:sz="4" w:space="0"/>
              <w:right w:val="single" w:color="auto" w:sz="4" w:space="0"/>
            </w:tcBorders>
            <w:vAlign w:val="center"/>
          </w:tcPr>
          <w:p>
            <w:pPr>
              <w:jc w:val="center"/>
              <w:rPr>
                <w:rFonts w:asciiTheme="minorEastAsia" w:hAnsiTheme="minorEastAsia" w:eastAsiaTheme="minorEastAsia" w:cstheme="minorEastAsia"/>
                <w:sz w:val="21"/>
                <w:szCs w:val="21"/>
              </w:rPr>
            </w:pPr>
          </w:p>
        </w:tc>
        <w:tc>
          <w:tcPr>
            <w:tcW w:w="5641"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具有ITSS信息技术服务运行维护标准证书，提供证书复印件并加盖公章，得1分；不提供得0分。</w:t>
            </w:r>
          </w:p>
        </w:tc>
        <w:tc>
          <w:tcPr>
            <w:tcW w:w="1197"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3" w:hRule="atLeast"/>
        </w:trPr>
        <w:tc>
          <w:tcPr>
            <w:tcW w:w="682" w:type="dxa"/>
            <w:vMerge w:val="restart"/>
            <w:tcBorders>
              <w:top w:val="single" w:color="auto" w:sz="4" w:space="0"/>
              <w:left w:val="single" w:color="auto" w:sz="4" w:space="0"/>
              <w:right w:val="single" w:color="auto" w:sz="4" w:space="0"/>
            </w:tcBorders>
            <w:vAlign w:val="center"/>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技术部分</w:t>
            </w:r>
          </w:p>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r>
              <w:rPr>
                <w:rFonts w:asciiTheme="minorEastAsia" w:hAnsiTheme="minorEastAsia" w:eastAsiaTheme="minorEastAsia" w:cstheme="minorEastAsia"/>
                <w:sz w:val="21"/>
                <w:szCs w:val="21"/>
              </w:rPr>
              <w:t>59</w:t>
            </w:r>
            <w:r>
              <w:rPr>
                <w:rFonts w:hint="eastAsia" w:asciiTheme="minorEastAsia" w:hAnsiTheme="minorEastAsia" w:eastAsiaTheme="minorEastAsia" w:cstheme="minorEastAsia"/>
                <w:sz w:val="21"/>
                <w:szCs w:val="21"/>
              </w:rPr>
              <w:t>分）</w:t>
            </w:r>
          </w:p>
        </w:tc>
        <w:tc>
          <w:tcPr>
            <w:tcW w:w="1005" w:type="dxa"/>
            <w:tcBorders>
              <w:top w:val="single" w:color="auto" w:sz="4" w:space="0"/>
              <w:left w:val="single" w:color="auto" w:sz="4" w:space="0"/>
              <w:right w:val="single" w:color="auto" w:sz="4" w:space="0"/>
            </w:tcBorders>
            <w:vAlign w:val="center"/>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投标产品对采购文件采购需求响应程度（4</w:t>
            </w:r>
            <w:r>
              <w:rPr>
                <w:rFonts w:asciiTheme="minorEastAsia" w:hAnsiTheme="minorEastAsia" w:eastAsiaTheme="minorEastAsia" w:cstheme="minorEastAsia"/>
                <w:sz w:val="21"/>
                <w:szCs w:val="21"/>
              </w:rPr>
              <w:t>3</w:t>
            </w:r>
            <w:r>
              <w:rPr>
                <w:rFonts w:hint="eastAsia" w:asciiTheme="minorEastAsia" w:hAnsiTheme="minorEastAsia" w:eastAsiaTheme="minorEastAsia" w:cstheme="minorEastAsia"/>
                <w:sz w:val="21"/>
                <w:szCs w:val="21"/>
              </w:rPr>
              <w:t>分）</w:t>
            </w:r>
          </w:p>
        </w:tc>
        <w:tc>
          <w:tcPr>
            <w:tcW w:w="5641"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每项设备的全部技术指标均为正偏离或无偏离的，技术分得满分4</w:t>
            </w:r>
            <w:r>
              <w:rPr>
                <w:rFonts w:hint="eastAsia" w:asciiTheme="minorEastAsia" w:hAnsiTheme="minorEastAsia" w:eastAsiaTheme="minorEastAsia" w:cstheme="minorEastAsia"/>
                <w:sz w:val="21"/>
                <w:szCs w:val="21"/>
                <w:highlight w:val="none"/>
                <w:lang w:val="en-US" w:eastAsia="zh-CN"/>
              </w:rPr>
              <w:t>3</w:t>
            </w:r>
            <w:r>
              <w:rPr>
                <w:rFonts w:hint="eastAsia" w:asciiTheme="minorEastAsia" w:hAnsiTheme="minorEastAsia" w:eastAsiaTheme="minorEastAsia" w:cstheme="minorEastAsia"/>
                <w:sz w:val="21"/>
                <w:szCs w:val="21"/>
                <w:highlight w:val="none"/>
              </w:rPr>
              <w:t>分；</w:t>
            </w:r>
          </w:p>
          <w:p>
            <w:pPr>
              <w:spacing w:line="276" w:lineRule="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1</w:t>
            </w:r>
            <w:r>
              <w:rPr>
                <w:rFonts w:hint="eastAsia" w:asciiTheme="minorEastAsia" w:hAnsiTheme="minorEastAsia" w:eastAsiaTheme="minorEastAsia" w:cstheme="minorEastAsia"/>
                <w:sz w:val="21"/>
                <w:szCs w:val="21"/>
              </w:rPr>
              <w:t>、标#号的技术指标为重要指标，每有一项标识#号的技术指标满足招标要求得1</w:t>
            </w:r>
            <w:r>
              <w:rPr>
                <w:rFonts w:asciiTheme="minorEastAsia" w:hAnsiTheme="minorEastAsia" w:eastAsiaTheme="minorEastAsia" w:cstheme="minorEastAsia"/>
                <w:sz w:val="21"/>
                <w:szCs w:val="21"/>
              </w:rPr>
              <w:t>.5</w:t>
            </w:r>
            <w:r>
              <w:rPr>
                <w:rFonts w:hint="eastAsia" w:asciiTheme="minorEastAsia" w:hAnsiTheme="minorEastAsia" w:eastAsiaTheme="minorEastAsia" w:cstheme="minorEastAsia"/>
                <w:sz w:val="21"/>
                <w:szCs w:val="21"/>
              </w:rPr>
              <w:t>分，共计2</w:t>
            </w:r>
            <w:r>
              <w:rPr>
                <w:rFonts w:asciiTheme="minorEastAsia" w:hAnsiTheme="minorEastAsia" w:eastAsiaTheme="minorEastAsia" w:cstheme="minorEastAsia"/>
                <w:sz w:val="21"/>
                <w:szCs w:val="21"/>
              </w:rPr>
              <w:t>2</w:t>
            </w:r>
            <w:r>
              <w:rPr>
                <w:rFonts w:hint="eastAsia" w:asciiTheme="minorEastAsia" w:hAnsiTheme="minorEastAsia" w:eastAsiaTheme="minorEastAsia" w:cstheme="minorEastAsia"/>
                <w:sz w:val="21"/>
                <w:szCs w:val="21"/>
              </w:rPr>
              <w:t>项，此项最高得3</w:t>
            </w:r>
            <w:r>
              <w:rPr>
                <w:rFonts w:asciiTheme="minorEastAsia" w:hAnsiTheme="minorEastAsia" w:eastAsiaTheme="minorEastAsia" w:cstheme="minorEastAsia"/>
                <w:sz w:val="21"/>
                <w:szCs w:val="21"/>
              </w:rPr>
              <w:t>3</w:t>
            </w:r>
            <w:r>
              <w:rPr>
                <w:rFonts w:hint="eastAsia" w:asciiTheme="minorEastAsia" w:hAnsiTheme="minorEastAsia" w:eastAsiaTheme="minorEastAsia" w:cstheme="minorEastAsia"/>
                <w:sz w:val="21"/>
                <w:szCs w:val="21"/>
              </w:rPr>
              <w:t>分。</w:t>
            </w:r>
          </w:p>
          <w:p>
            <w:pPr>
              <w:spacing w:line="276" w:lineRule="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（招标文件明确要求提供的证明材料缺失或提供的证明材料不符合要求的，则对应技术指标认定为负偏离，不得分。）</w:t>
            </w:r>
          </w:p>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2</w:t>
            </w:r>
            <w:r>
              <w:rPr>
                <w:rFonts w:hint="eastAsia" w:asciiTheme="minorEastAsia" w:hAnsiTheme="minorEastAsia" w:eastAsiaTheme="minorEastAsia" w:cstheme="minorEastAsia"/>
                <w:sz w:val="21"/>
                <w:szCs w:val="21"/>
              </w:rPr>
              <w:t>、每有一个品目的全部无标识的一般技术指标完全满足或优于招标要求得2</w:t>
            </w:r>
            <w:r>
              <w:rPr>
                <w:rFonts w:asciiTheme="minorEastAsia" w:hAnsiTheme="minorEastAsia" w:eastAsiaTheme="minorEastAsia" w:cstheme="minorEastAsia"/>
                <w:sz w:val="21"/>
                <w:szCs w:val="21"/>
              </w:rPr>
              <w:t>.5</w:t>
            </w:r>
            <w:r>
              <w:rPr>
                <w:rFonts w:hint="eastAsia" w:asciiTheme="minorEastAsia" w:hAnsiTheme="minorEastAsia" w:eastAsiaTheme="minorEastAsia" w:cstheme="minorEastAsia"/>
                <w:sz w:val="21"/>
                <w:szCs w:val="21"/>
              </w:rPr>
              <w:t>分，有任意一项不满足不得分；共4个品目，此项最高得1</w:t>
            </w:r>
            <w:r>
              <w:rPr>
                <w:rFonts w:asciiTheme="minorEastAsia" w:hAnsiTheme="minorEastAsia" w:eastAsiaTheme="minorEastAsia" w:cstheme="minorEastAsia"/>
                <w:sz w:val="21"/>
                <w:szCs w:val="21"/>
              </w:rPr>
              <w:t>0</w:t>
            </w:r>
            <w:r>
              <w:rPr>
                <w:rFonts w:hint="eastAsia" w:asciiTheme="minorEastAsia" w:hAnsiTheme="minorEastAsia" w:eastAsiaTheme="minorEastAsia" w:cstheme="minorEastAsia"/>
                <w:sz w:val="21"/>
                <w:szCs w:val="21"/>
              </w:rPr>
              <w:t>分。</w:t>
            </w:r>
          </w:p>
        </w:tc>
        <w:tc>
          <w:tcPr>
            <w:tcW w:w="1197"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客观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3" w:hRule="atLeast"/>
        </w:trPr>
        <w:tc>
          <w:tcPr>
            <w:tcW w:w="682" w:type="dxa"/>
            <w:vMerge w:val="continue"/>
            <w:tcBorders>
              <w:left w:val="single" w:color="auto" w:sz="4" w:space="0"/>
              <w:right w:val="single" w:color="auto" w:sz="4" w:space="0"/>
            </w:tcBorders>
            <w:vAlign w:val="center"/>
          </w:tcPr>
          <w:p>
            <w:pPr>
              <w:rPr>
                <w:rFonts w:asciiTheme="minorEastAsia" w:hAnsiTheme="minorEastAsia" w:eastAsiaTheme="minorEastAsia" w:cstheme="minorEastAsia"/>
                <w:sz w:val="21"/>
                <w:szCs w:val="21"/>
              </w:rPr>
            </w:pPr>
          </w:p>
        </w:tc>
        <w:tc>
          <w:tcPr>
            <w:tcW w:w="1005" w:type="dxa"/>
            <w:vMerge w:val="restart"/>
            <w:tcBorders>
              <w:top w:val="single" w:color="auto" w:sz="4" w:space="0"/>
              <w:left w:val="single" w:color="auto" w:sz="4" w:space="0"/>
              <w:right w:val="single" w:color="auto" w:sz="4" w:space="0"/>
            </w:tcBorders>
            <w:vAlign w:val="center"/>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技术实施及售后服务（15分）</w:t>
            </w:r>
          </w:p>
        </w:tc>
        <w:tc>
          <w:tcPr>
            <w:tcW w:w="5641"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项目实施方案（</w:t>
            </w:r>
            <w:r>
              <w:rPr>
                <w:rFonts w:asciiTheme="minorEastAsia" w:hAnsiTheme="minorEastAsia" w:eastAsiaTheme="minorEastAsia" w:cstheme="minorEastAsia"/>
                <w:sz w:val="21"/>
                <w:szCs w:val="21"/>
              </w:rPr>
              <w:t>6</w:t>
            </w:r>
            <w:r>
              <w:rPr>
                <w:rFonts w:hint="eastAsia" w:asciiTheme="minorEastAsia" w:hAnsiTheme="minorEastAsia" w:eastAsiaTheme="minorEastAsia" w:cstheme="minorEastAsia"/>
                <w:sz w:val="21"/>
                <w:szCs w:val="21"/>
              </w:rPr>
              <w:t>分）</w:t>
            </w:r>
          </w:p>
          <w:p>
            <w:pPr>
              <w:spacing w:line="276" w:lineRule="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结合采购人现有实际情况，投标人需提供完整的项目实施方案，合理安排系统集成实施，项目实施方案包括①项目实施过程控制；②项目实施过程文档管理；③项目实施组织架构；④项目实施进度安排及保障措施。</w:t>
            </w:r>
          </w:p>
          <w:p>
            <w:pPr>
              <w:spacing w:line="276" w:lineRule="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方案完整、合理，有针对性视为符合要求；（每符合1项得1</w:t>
            </w:r>
            <w:r>
              <w:rPr>
                <w:rFonts w:asciiTheme="minorEastAsia" w:hAnsiTheme="minorEastAsia" w:eastAsiaTheme="minorEastAsia" w:cstheme="minorEastAsia"/>
                <w:sz w:val="21"/>
                <w:szCs w:val="21"/>
              </w:rPr>
              <w:t>.5</w:t>
            </w:r>
            <w:r>
              <w:rPr>
                <w:rFonts w:hint="eastAsia" w:asciiTheme="minorEastAsia" w:hAnsiTheme="minorEastAsia" w:eastAsiaTheme="minorEastAsia" w:cstheme="minorEastAsia"/>
                <w:sz w:val="21"/>
                <w:szCs w:val="21"/>
              </w:rPr>
              <w:t>分，部分符合得0</w:t>
            </w:r>
            <w:r>
              <w:rPr>
                <w:rFonts w:asciiTheme="minorEastAsia" w:hAnsiTheme="minorEastAsia" w:eastAsiaTheme="minorEastAsia" w:cstheme="minorEastAsia"/>
                <w:sz w:val="21"/>
                <w:szCs w:val="21"/>
              </w:rPr>
              <w:t>.8</w:t>
            </w:r>
            <w:r>
              <w:rPr>
                <w:rFonts w:hint="eastAsia" w:asciiTheme="minorEastAsia" w:hAnsiTheme="minorEastAsia" w:eastAsiaTheme="minorEastAsia" w:cstheme="minorEastAsia"/>
                <w:sz w:val="21"/>
                <w:szCs w:val="21"/>
              </w:rPr>
              <w:t>分，不符合不得分；此项最高6分）</w:t>
            </w:r>
          </w:p>
        </w:tc>
        <w:tc>
          <w:tcPr>
            <w:tcW w:w="1197"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主观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3" w:hRule="atLeast"/>
        </w:trPr>
        <w:tc>
          <w:tcPr>
            <w:tcW w:w="682" w:type="dxa"/>
            <w:vMerge w:val="continue"/>
            <w:tcBorders>
              <w:left w:val="single" w:color="auto" w:sz="4" w:space="0"/>
              <w:right w:val="single" w:color="auto" w:sz="4" w:space="0"/>
            </w:tcBorders>
            <w:vAlign w:val="center"/>
          </w:tcPr>
          <w:p>
            <w:pPr>
              <w:rPr>
                <w:rFonts w:asciiTheme="minorEastAsia" w:hAnsiTheme="minorEastAsia" w:eastAsiaTheme="minorEastAsia" w:cstheme="minorEastAsia"/>
                <w:sz w:val="21"/>
                <w:szCs w:val="21"/>
              </w:rPr>
            </w:pPr>
          </w:p>
        </w:tc>
        <w:tc>
          <w:tcPr>
            <w:tcW w:w="1005" w:type="dxa"/>
            <w:vMerge w:val="continue"/>
            <w:tcBorders>
              <w:left w:val="single" w:color="auto" w:sz="4" w:space="0"/>
              <w:right w:val="single" w:color="auto" w:sz="4" w:space="0"/>
            </w:tcBorders>
            <w:vAlign w:val="center"/>
          </w:tcPr>
          <w:p>
            <w:pPr>
              <w:rPr>
                <w:rFonts w:asciiTheme="minorEastAsia" w:hAnsiTheme="minorEastAsia" w:eastAsiaTheme="minorEastAsia" w:cstheme="minorEastAsia"/>
                <w:sz w:val="21"/>
                <w:szCs w:val="21"/>
              </w:rPr>
            </w:pPr>
          </w:p>
        </w:tc>
        <w:tc>
          <w:tcPr>
            <w:tcW w:w="5641"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售后、培训服务方案（</w:t>
            </w:r>
            <w:r>
              <w:rPr>
                <w:rFonts w:asciiTheme="minorEastAsia" w:hAnsiTheme="minorEastAsia" w:eastAsiaTheme="minorEastAsia" w:cstheme="minorEastAsia"/>
                <w:sz w:val="21"/>
                <w:szCs w:val="21"/>
              </w:rPr>
              <w:t>9</w:t>
            </w:r>
            <w:r>
              <w:rPr>
                <w:rFonts w:hint="eastAsia" w:asciiTheme="minorEastAsia" w:hAnsiTheme="minorEastAsia" w:eastAsiaTheme="minorEastAsia" w:cstheme="minorEastAsia"/>
                <w:sz w:val="21"/>
                <w:szCs w:val="21"/>
              </w:rPr>
              <w:t>分）</w:t>
            </w:r>
          </w:p>
          <w:p>
            <w:pPr>
              <w:spacing w:line="276" w:lineRule="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售后、培训服务方案包括：①售后服务措施；②售后服务体系；③培训方案：</w:t>
            </w:r>
          </w:p>
          <w:p>
            <w:pPr>
              <w:spacing w:line="276" w:lineRule="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售后、培训服务方案详细，服务措施得力，服务体系完备，培训方案明确、可行，整体方案完整，合理，有针对性视为符合要求；（每符合1项得</w:t>
            </w:r>
            <w:r>
              <w:rPr>
                <w:rFonts w:asciiTheme="minorEastAsia" w:hAnsiTheme="minorEastAsia" w:eastAsiaTheme="minorEastAsia" w:cstheme="minorEastAsia"/>
                <w:sz w:val="21"/>
                <w:szCs w:val="21"/>
              </w:rPr>
              <w:t>3</w:t>
            </w:r>
            <w:r>
              <w:rPr>
                <w:rFonts w:hint="eastAsia" w:asciiTheme="minorEastAsia" w:hAnsiTheme="minorEastAsia" w:eastAsiaTheme="minorEastAsia" w:cstheme="minorEastAsia"/>
                <w:sz w:val="21"/>
                <w:szCs w:val="21"/>
              </w:rPr>
              <w:t>分，部分符合得</w:t>
            </w:r>
            <w:r>
              <w:rPr>
                <w:rFonts w:asciiTheme="minorEastAsia" w:hAnsiTheme="minorEastAsia" w:eastAsiaTheme="minorEastAsia" w:cstheme="minorEastAsia"/>
                <w:sz w:val="21"/>
                <w:szCs w:val="21"/>
              </w:rPr>
              <w:t>1.5</w:t>
            </w:r>
            <w:r>
              <w:rPr>
                <w:rFonts w:hint="eastAsia" w:asciiTheme="minorEastAsia" w:hAnsiTheme="minorEastAsia" w:eastAsiaTheme="minorEastAsia" w:cstheme="minorEastAsia"/>
                <w:sz w:val="21"/>
                <w:szCs w:val="21"/>
              </w:rPr>
              <w:t>分，不符合不得分；此项最高</w:t>
            </w:r>
            <w:r>
              <w:rPr>
                <w:rFonts w:asciiTheme="minorEastAsia" w:hAnsiTheme="minorEastAsia" w:eastAsiaTheme="minorEastAsia" w:cstheme="minorEastAsia"/>
                <w:sz w:val="21"/>
                <w:szCs w:val="21"/>
              </w:rPr>
              <w:t>9</w:t>
            </w:r>
            <w:r>
              <w:rPr>
                <w:rFonts w:hint="eastAsia" w:asciiTheme="minorEastAsia" w:hAnsiTheme="minorEastAsia" w:eastAsiaTheme="minorEastAsia" w:cstheme="minorEastAsia"/>
                <w:sz w:val="21"/>
                <w:szCs w:val="21"/>
              </w:rPr>
              <w:t>分）</w:t>
            </w:r>
          </w:p>
        </w:tc>
        <w:tc>
          <w:tcPr>
            <w:tcW w:w="1197"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主观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3" w:hRule="atLeast"/>
        </w:trPr>
        <w:tc>
          <w:tcPr>
            <w:tcW w:w="682" w:type="dxa"/>
            <w:vMerge w:val="continue"/>
            <w:tcBorders>
              <w:left w:val="single" w:color="auto" w:sz="4" w:space="0"/>
              <w:right w:val="single" w:color="auto" w:sz="4" w:space="0"/>
            </w:tcBorders>
            <w:vAlign w:val="center"/>
          </w:tcPr>
          <w:p>
            <w:pPr>
              <w:rPr>
                <w:rFonts w:asciiTheme="minorEastAsia" w:hAnsiTheme="minorEastAsia" w:eastAsiaTheme="minorEastAsia" w:cstheme="minorEastAsia"/>
                <w:sz w:val="21"/>
                <w:szCs w:val="21"/>
              </w:rPr>
            </w:pPr>
          </w:p>
        </w:tc>
        <w:tc>
          <w:tcPr>
            <w:tcW w:w="1005" w:type="dxa"/>
            <w:tcBorders>
              <w:left w:val="single" w:color="auto" w:sz="4" w:space="0"/>
              <w:right w:val="single" w:color="auto" w:sz="4" w:space="0"/>
            </w:tcBorders>
            <w:vAlign w:val="center"/>
          </w:tcPr>
          <w:p>
            <w:pP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质保期（1分）</w:t>
            </w:r>
          </w:p>
        </w:tc>
        <w:tc>
          <w:tcPr>
            <w:tcW w:w="5641"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本项目质保期为3年，满足质保期要求的，得0</w:t>
            </w:r>
            <w:r>
              <w:rPr>
                <w:rFonts w:hint="eastAsia" w:asciiTheme="minorEastAsia" w:hAnsiTheme="minorEastAsia" w:eastAsiaTheme="minorEastAsia" w:cstheme="minorEastAsia"/>
                <w:sz w:val="21"/>
                <w:szCs w:val="21"/>
                <w:highlight w:val="none"/>
                <w:lang w:val="en-US" w:eastAsia="zh-CN"/>
              </w:rPr>
              <w:t>.5</w:t>
            </w:r>
            <w:r>
              <w:rPr>
                <w:rFonts w:hint="eastAsia" w:asciiTheme="minorEastAsia" w:hAnsiTheme="minorEastAsia" w:eastAsiaTheme="minorEastAsia" w:cstheme="minorEastAsia"/>
                <w:sz w:val="21"/>
                <w:szCs w:val="21"/>
                <w:highlight w:val="none"/>
              </w:rPr>
              <w:t>分；优于质保期要求的，每增加1年</w:t>
            </w:r>
            <w:r>
              <w:rPr>
                <w:rFonts w:hint="eastAsia" w:asciiTheme="minorEastAsia" w:hAnsiTheme="minorEastAsia" w:eastAsiaTheme="minorEastAsia" w:cstheme="minorEastAsia"/>
                <w:sz w:val="21"/>
                <w:szCs w:val="21"/>
                <w:highlight w:val="none"/>
                <w:lang w:val="en-US" w:eastAsia="zh-CN"/>
              </w:rPr>
              <w:t>增加0.5</w:t>
            </w:r>
            <w:r>
              <w:rPr>
                <w:rFonts w:hint="eastAsia" w:asciiTheme="minorEastAsia" w:hAnsiTheme="minorEastAsia" w:eastAsiaTheme="minorEastAsia" w:cstheme="minorEastAsia"/>
                <w:sz w:val="21"/>
                <w:szCs w:val="21"/>
                <w:highlight w:val="none"/>
              </w:rPr>
              <w:t>分，最高得1分。</w:t>
            </w:r>
          </w:p>
        </w:tc>
        <w:tc>
          <w:tcPr>
            <w:tcW w:w="1197"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客观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3" w:hRule="atLeast"/>
        </w:trPr>
        <w:tc>
          <w:tcPr>
            <w:tcW w:w="682" w:type="dxa"/>
            <w:vMerge w:val="restart"/>
            <w:tcBorders>
              <w:left w:val="single" w:color="auto" w:sz="4" w:space="0"/>
              <w:right w:val="single" w:color="auto" w:sz="4" w:space="0"/>
            </w:tcBorders>
            <w:vAlign w:val="center"/>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节能、环保政策（1分）</w:t>
            </w:r>
          </w:p>
        </w:tc>
        <w:tc>
          <w:tcPr>
            <w:tcW w:w="1005" w:type="dxa"/>
            <w:tcBorders>
              <w:left w:val="single" w:color="auto" w:sz="4" w:space="0"/>
              <w:right w:val="single" w:color="auto" w:sz="4" w:space="0"/>
            </w:tcBorders>
            <w:vAlign w:val="center"/>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节能产品（0</w:t>
            </w:r>
            <w:r>
              <w:rPr>
                <w:rFonts w:asciiTheme="minorEastAsia" w:hAnsiTheme="minorEastAsia" w:eastAsiaTheme="minorEastAsia" w:cstheme="minorEastAsia"/>
                <w:sz w:val="21"/>
                <w:szCs w:val="21"/>
              </w:rPr>
              <w:t>.5</w:t>
            </w:r>
            <w:r>
              <w:rPr>
                <w:rFonts w:hint="eastAsia" w:asciiTheme="minorEastAsia" w:hAnsiTheme="minorEastAsia" w:eastAsiaTheme="minorEastAsia" w:cstheme="minorEastAsia"/>
                <w:sz w:val="21"/>
                <w:szCs w:val="21"/>
              </w:rPr>
              <w:t>分）</w:t>
            </w:r>
          </w:p>
        </w:tc>
        <w:tc>
          <w:tcPr>
            <w:tcW w:w="5641" w:type="dxa"/>
            <w:tcBorders>
              <w:top w:val="single" w:color="auto" w:sz="4" w:space="0"/>
              <w:left w:val="single" w:color="auto" w:sz="4" w:space="0"/>
              <w:bottom w:val="single" w:color="auto" w:sz="4" w:space="0"/>
              <w:right w:val="single" w:color="auto" w:sz="4" w:space="0"/>
            </w:tcBorders>
            <w:vAlign w:val="center"/>
          </w:tcPr>
          <w:p>
            <w:pPr>
              <w:spacing w:line="360" w:lineRule="atLeast"/>
              <w:rPr>
                <w:rFonts w:ascii="Calibri" w:hAnsi="Calibri" w:eastAsia="宋体" w:cs="Times New Roman"/>
                <w:sz w:val="21"/>
                <w:szCs w:val="21"/>
              </w:rPr>
            </w:pPr>
            <w:r>
              <w:rPr>
                <w:rFonts w:hint="eastAsia" w:asciiTheme="minorEastAsia" w:hAnsiTheme="minorEastAsia" w:eastAsiaTheme="minorEastAsia" w:cstheme="minorEastAsia"/>
                <w:sz w:val="21"/>
                <w:szCs w:val="21"/>
              </w:rPr>
              <w:t>根据财政部、发展改革委、生态环境部、市场监管总局《关于调整优化节能产品、环境标志产品政府采购执行机制的通知》财库[201919号) 财政部、发展改革委《关于印发节能产品政府采购品目清单的通知》(财库[2019]19号)《市场监管总局关于发布参与实施政府采购节能、环境标志产品认证机构名录的公告》《2019年第16号)等文件要求，如投标人所投产品属于上述品目清单中优先采购范围的《非“</w:t>
            </w:r>
            <w:r>
              <w:rPr>
                <w:rFonts w:hint="eastAsia" w:ascii="宋体" w:hAnsi="宋体"/>
                <w:szCs w:val="24"/>
              </w:rPr>
              <w:t>★</w:t>
            </w:r>
            <w:r>
              <w:rPr>
                <w:rFonts w:hint="eastAsia" w:asciiTheme="minorEastAsia" w:hAnsiTheme="minorEastAsia" w:eastAsiaTheme="minorEastAsia" w:cstheme="minorEastAsia"/>
                <w:sz w:val="21"/>
                <w:szCs w:val="21"/>
              </w:rPr>
              <w:t>”标注品目)，须提供所投产品由国家确定的认证机构出具的、处于有效期之内的节能产品认证证书复印件。</w:t>
            </w:r>
          </w:p>
          <w:p>
            <w:pPr>
              <w:spacing w:line="276"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是得0.5分，否则不得分。</w:t>
            </w:r>
          </w:p>
        </w:tc>
        <w:tc>
          <w:tcPr>
            <w:tcW w:w="1197" w:type="dxa"/>
            <w:tcBorders>
              <w:top w:val="single" w:color="auto" w:sz="4" w:space="0"/>
              <w:left w:val="single" w:color="auto" w:sz="4" w:space="0"/>
              <w:bottom w:val="single" w:color="auto" w:sz="4" w:space="0"/>
              <w:right w:val="single" w:color="auto" w:sz="4" w:space="0"/>
            </w:tcBorders>
            <w:vAlign w:val="center"/>
          </w:tcPr>
          <w:p>
            <w:pPr>
              <w:spacing w:line="276"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客观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3" w:hRule="atLeast"/>
        </w:trPr>
        <w:tc>
          <w:tcPr>
            <w:tcW w:w="682" w:type="dxa"/>
            <w:vMerge w:val="continue"/>
            <w:tcBorders>
              <w:left w:val="single" w:color="auto" w:sz="4" w:space="0"/>
              <w:right w:val="single" w:color="auto" w:sz="4" w:space="0"/>
            </w:tcBorders>
            <w:vAlign w:val="center"/>
          </w:tcPr>
          <w:p>
            <w:pPr>
              <w:rPr>
                <w:rFonts w:hint="eastAsia" w:asciiTheme="minorEastAsia" w:hAnsiTheme="minorEastAsia" w:eastAsiaTheme="minorEastAsia" w:cstheme="minorEastAsia"/>
                <w:sz w:val="21"/>
                <w:szCs w:val="21"/>
              </w:rPr>
            </w:pPr>
          </w:p>
        </w:tc>
        <w:tc>
          <w:tcPr>
            <w:tcW w:w="1005" w:type="dxa"/>
            <w:tcBorders>
              <w:left w:val="single" w:color="auto" w:sz="4" w:space="0"/>
              <w:right w:val="single" w:color="auto" w:sz="4" w:space="0"/>
            </w:tcBorders>
            <w:vAlign w:val="center"/>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环境标志产品（0</w:t>
            </w:r>
            <w:r>
              <w:rPr>
                <w:rFonts w:asciiTheme="minorEastAsia" w:hAnsiTheme="minorEastAsia" w:eastAsiaTheme="minorEastAsia" w:cstheme="minorEastAsia"/>
                <w:sz w:val="21"/>
                <w:szCs w:val="21"/>
              </w:rPr>
              <w:t>.5</w:t>
            </w:r>
            <w:r>
              <w:rPr>
                <w:rFonts w:hint="eastAsia" w:asciiTheme="minorEastAsia" w:hAnsiTheme="minorEastAsia" w:eastAsiaTheme="minorEastAsia" w:cstheme="minorEastAsia"/>
                <w:sz w:val="21"/>
                <w:szCs w:val="21"/>
              </w:rPr>
              <w:t>分）</w:t>
            </w:r>
          </w:p>
        </w:tc>
        <w:tc>
          <w:tcPr>
            <w:tcW w:w="5641"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根据财政部、发展改革委、生态环境部、市场监管总局《关于调整优化节能产品、环境标志产品政府采购执行机制的通知财库[2019]9号)财政部、生态环境部《关于印发环境标志产品政府采购品目清单的通知》《财库[2019]18号)《市场监管总局关于发布参与实施政府采购节能、环境标志产品认证机构名录的公告》(2019年第 16 号)等文件要求如投标人所投产品属于上述品目清单范围的须提供所投产品由国家确定的认证机构出具的、处于有效期之内的环境标志产品认证证书复印件。</w:t>
            </w:r>
          </w:p>
          <w:p>
            <w:pPr>
              <w:spacing w:line="276"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是得0.5分，否则不得分。</w:t>
            </w:r>
          </w:p>
        </w:tc>
        <w:tc>
          <w:tcPr>
            <w:tcW w:w="1197" w:type="dxa"/>
            <w:tcBorders>
              <w:top w:val="single" w:color="auto" w:sz="4" w:space="0"/>
              <w:left w:val="single" w:color="auto" w:sz="4" w:space="0"/>
              <w:bottom w:val="single" w:color="auto" w:sz="4" w:space="0"/>
              <w:right w:val="single" w:color="auto" w:sz="4" w:space="0"/>
            </w:tcBorders>
            <w:vAlign w:val="center"/>
          </w:tcPr>
          <w:p>
            <w:pPr>
              <w:spacing w:line="276" w:lineRule="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客观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trPr>
        <w:tc>
          <w:tcPr>
            <w:tcW w:w="1687" w:type="dxa"/>
            <w:gridSpan w:val="2"/>
            <w:tcBorders>
              <w:top w:val="single" w:color="auto" w:sz="4" w:space="0"/>
              <w:left w:val="single" w:color="auto" w:sz="4" w:space="0"/>
              <w:right w:val="single" w:color="auto" w:sz="4" w:space="0"/>
            </w:tcBorders>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合计</w:t>
            </w:r>
          </w:p>
        </w:tc>
        <w:tc>
          <w:tcPr>
            <w:tcW w:w="564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100分</w:t>
            </w:r>
          </w:p>
        </w:tc>
        <w:tc>
          <w:tcPr>
            <w:tcW w:w="1197"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sz w:val="21"/>
                <w:szCs w:val="21"/>
              </w:rPr>
            </w:pPr>
          </w:p>
        </w:tc>
      </w:tr>
    </w:tbl>
    <w:p>
      <w:pPr>
        <w:widowControl/>
        <w:spacing w:line="360" w:lineRule="exact"/>
        <w:rPr>
          <w:rFonts w:asciiTheme="minorEastAsia" w:hAnsiTheme="minorEastAsia" w:eastAsiaTheme="minorEastAsia" w:cstheme="minorEastAsia"/>
          <w:sz w:val="21"/>
          <w:szCs w:val="21"/>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D4497"/>
    <w:multiLevelType w:val="multilevel"/>
    <w:tmpl w:val="1FCD4497"/>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70720EED"/>
    <w:multiLevelType w:val="multilevel"/>
    <w:tmpl w:val="70720EED"/>
    <w:lvl w:ilvl="0" w:tentative="0">
      <w:start w:val="1"/>
      <w:numFmt w:val="decimal"/>
      <w:lvlText w:val="%1、"/>
      <w:lvlJc w:val="left"/>
      <w:pPr>
        <w:ind w:left="420" w:hanging="420"/>
      </w:pPr>
      <w:rPr>
        <w:rFonts w:hint="eastAsia"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27163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iPriority="99"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pacing w:line="360" w:lineRule="atLeast"/>
      <w:textAlignment w:val="baseline"/>
    </w:pPr>
    <w:rPr>
      <w:rFonts w:ascii="Calibri" w:hAnsi="Calibri" w:eastAsia="宋体" w:cs="Times New Roman"/>
      <w:sz w:val="24"/>
      <w:szCs w:val="22"/>
      <w:lang w:val="en-US" w:eastAsia="zh-CN" w:bidi="ar-SA"/>
    </w:rPr>
  </w:style>
  <w:style w:type="paragraph" w:styleId="4">
    <w:name w:val="heading 1"/>
    <w:basedOn w:val="1"/>
    <w:next w:val="1"/>
    <w:qFormat/>
    <w:uiPriority w:val="0"/>
    <w:pPr>
      <w:keepNext/>
      <w:keepLines/>
      <w:spacing w:before="340" w:after="330" w:line="578" w:lineRule="atLeast"/>
      <w:ind w:firstLine="288"/>
      <w:outlineLvl w:val="0"/>
    </w:pPr>
    <w:rPr>
      <w:b/>
      <w:bCs/>
      <w:kern w:val="44"/>
      <w:sz w:val="44"/>
      <w:szCs w:val="44"/>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Body Text"/>
    <w:basedOn w:val="1"/>
    <w:next w:val="3"/>
    <w:semiHidden/>
    <w:unhideWhenUsed/>
    <w:qFormat/>
    <w:uiPriority w:val="99"/>
    <w:pPr>
      <w:spacing w:after="120"/>
    </w:pPr>
  </w:style>
  <w:style w:type="paragraph" w:styleId="3">
    <w:name w:val="Body Text 2"/>
    <w:basedOn w:val="1"/>
    <w:semiHidden/>
    <w:unhideWhenUsed/>
    <w:qFormat/>
    <w:uiPriority w:val="99"/>
    <w:pPr>
      <w:spacing w:after="120" w:line="480" w:lineRule="auto"/>
    </w:pPr>
  </w:style>
  <w:style w:type="paragraph" w:customStyle="1" w:styleId="7">
    <w:name w:val="样式 标题 1 + 四号 居中 段前: 12 磅 段后: 12 磅 行距: 单倍行距"/>
    <w:basedOn w:val="4"/>
    <w:qFormat/>
    <w:uiPriority w:val="0"/>
    <w:pPr>
      <w:spacing w:before="240" w:after="240" w:line="240" w:lineRule="auto"/>
      <w:ind w:left="-288"/>
      <w:jc w:val="center"/>
    </w:pPr>
    <w:rPr>
      <w:rFonts w:cs="宋体"/>
      <w:sz w:val="28"/>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Office_11.8.2.8721_F1E327BC-269C-435d-A152-05C5408002CA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2023-12-22T08:06:22Z</dcterms:created>
  <dc:creator>zhhx</dc:creator>
  <cp:lastModifiedBy>zhhx</cp:lastModifiedBy>
  <dcterms:modified xsi:type="dcterms:W3CDTF">2023-12-22T08:06:55Z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2052-11.8.2.8721</vt:lpwstr>
  </property>
</Properties>
</file>