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b/>
          <w:sz w:val="36"/>
          <w:szCs w:val="36"/>
        </w:rPr>
      </w:pPr>
      <w:bookmarkStart w:id="0" w:name="_Toc24225"/>
      <w:bookmarkStart w:id="1" w:name="_Toc99301424"/>
      <w:r>
        <w:rPr>
          <w:b/>
          <w:sz w:val="36"/>
          <w:szCs w:val="36"/>
        </w:rPr>
        <w:t>采购需求</w:t>
      </w:r>
      <w:bookmarkEnd w:id="0"/>
      <w:bookmarkEnd w:id="1"/>
    </w:p>
    <w:p>
      <w:pPr>
        <w:pageBreakBefore w:val="0"/>
        <w:kinsoku/>
        <w:wordWrap/>
        <w:overflowPunct/>
        <w:topLinePunct w:val="0"/>
        <w:bidi w:val="0"/>
        <w:snapToGrid/>
        <w:spacing w:line="360" w:lineRule="auto"/>
        <w:ind w:firstLine="480"/>
        <w:jc w:val="both"/>
        <w:textAlignment w:val="auto"/>
        <w:rPr>
          <w:rFonts w:hint="eastAsia" w:ascii="宋体" w:hAnsi="宋体" w:cs="宋体"/>
          <w:color w:val="000000"/>
          <w:sz w:val="24"/>
          <w:szCs w:val="24"/>
          <w:highlight w:val="none"/>
          <w:lang w:val="zh-CN" w:eastAsia="zh-CN"/>
        </w:rPr>
      </w:pPr>
      <w:r>
        <w:rPr>
          <w:rFonts w:hint="eastAsia" w:ascii="宋体" w:hAnsi="宋体" w:eastAsia="宋体" w:cs="宋体"/>
          <w:color w:val="000000"/>
          <w:sz w:val="24"/>
          <w:szCs w:val="24"/>
          <w:highlight w:val="none"/>
          <w:lang w:val="zh-CN" w:eastAsia="zh-CN"/>
        </w:rPr>
        <w:t>采购</w:t>
      </w:r>
      <w:r>
        <w:rPr>
          <w:rFonts w:hint="eastAsia" w:ascii="宋体" w:hAnsi="宋体" w:cs="宋体"/>
          <w:color w:val="000000"/>
          <w:sz w:val="24"/>
          <w:szCs w:val="24"/>
          <w:highlight w:val="none"/>
          <w:lang w:val="en-US" w:eastAsia="zh-CN"/>
        </w:rPr>
        <w:t>需求</w:t>
      </w:r>
      <w:r>
        <w:rPr>
          <w:rFonts w:hint="eastAsia" w:ascii="宋体" w:hAnsi="宋体" w:eastAsia="宋体" w:cs="宋体"/>
          <w:color w:val="000000"/>
          <w:sz w:val="24"/>
          <w:szCs w:val="24"/>
          <w:highlight w:val="none"/>
          <w:lang w:val="zh-CN" w:eastAsia="zh-CN"/>
        </w:rPr>
        <w:t>中标注★号指标为实质性要求，实质性要求任一项不满足的将被作为无效投标否决。★号标注在段落前，指仅本段落内容为实质性要求</w:t>
      </w:r>
      <w:r>
        <w:rPr>
          <w:rFonts w:hint="eastAsia" w:ascii="宋体" w:hAnsi="宋体" w:cs="宋体"/>
          <w:color w:val="000000"/>
          <w:sz w:val="24"/>
          <w:szCs w:val="24"/>
          <w:highlight w:val="none"/>
          <w:lang w:val="zh-CN" w:eastAsia="zh-CN"/>
        </w:rPr>
        <w:t>。</w:t>
      </w:r>
    </w:p>
    <w:p>
      <w:pPr>
        <w:pageBreakBefore w:val="0"/>
        <w:kinsoku/>
        <w:wordWrap/>
        <w:overflowPunct/>
        <w:topLinePunct w:val="0"/>
        <w:bidi w:val="0"/>
        <w:snapToGrid/>
        <w:spacing w:line="360" w:lineRule="auto"/>
        <w:ind w:firstLine="480"/>
        <w:jc w:val="both"/>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实质性要求内容投标人须提供承诺函并加盖公章，否则视为无效。</w:t>
      </w:r>
    </w:p>
    <w:p>
      <w:pPr>
        <w:pStyle w:val="4"/>
        <w:pageBreakBefore w:val="0"/>
        <w:numPr>
          <w:ilvl w:val="0"/>
          <w:numId w:val="0"/>
        </w:numPr>
        <w:tabs>
          <w:tab w:val="left" w:pos="709"/>
        </w:tabs>
        <w:kinsoku/>
        <w:wordWrap/>
        <w:overflowPunct/>
        <w:topLinePunct w:val="0"/>
        <w:bidi w:val="0"/>
        <w:snapToGrid/>
        <w:spacing w:line="360" w:lineRule="auto"/>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一、采购清单</w:t>
      </w:r>
    </w:p>
    <w:tbl>
      <w:tblPr>
        <w:tblStyle w:val="5"/>
        <w:tblW w:w="0" w:type="auto"/>
        <w:tblInd w:w="0" w:type="dxa"/>
        <w:tblLayout w:type="fixed"/>
        <w:tblCellMar>
          <w:top w:w="0" w:type="dxa"/>
          <w:left w:w="108" w:type="dxa"/>
          <w:bottom w:w="0" w:type="dxa"/>
          <w:right w:w="108" w:type="dxa"/>
        </w:tblCellMar>
      </w:tblPr>
      <w:tblGrid>
        <w:gridCol w:w="1100"/>
        <w:gridCol w:w="3120"/>
        <w:gridCol w:w="1425"/>
        <w:gridCol w:w="1395"/>
        <w:gridCol w:w="2318"/>
      </w:tblGrid>
      <w:tr>
        <w:tblPrEx>
          <w:tblCellMar>
            <w:top w:w="0" w:type="dxa"/>
            <w:left w:w="108" w:type="dxa"/>
            <w:bottom w:w="0" w:type="dxa"/>
            <w:right w:w="108" w:type="dxa"/>
          </w:tblCellMar>
        </w:tblPrEx>
        <w:trPr>
          <w:trHeight w:val="312"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napToGrid/>
              <w:spacing w:before="157" w:beforeLines="50" w:line="36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3120"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before="157" w:beforeLines="50" w:line="36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货物或服务名称</w:t>
            </w:r>
          </w:p>
        </w:tc>
        <w:tc>
          <w:tcPr>
            <w:tcW w:w="1425"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before="157" w:beforeLines="50" w:line="36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数量</w:t>
            </w:r>
          </w:p>
        </w:tc>
        <w:tc>
          <w:tcPr>
            <w:tcW w:w="1395"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before="157" w:beforeLines="50" w:line="36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单位</w:t>
            </w:r>
          </w:p>
        </w:tc>
        <w:tc>
          <w:tcPr>
            <w:tcW w:w="2318" w:type="dxa"/>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bidi w:val="0"/>
              <w:snapToGrid/>
              <w:spacing w:before="157" w:beforeLines="50" w:line="36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备注</w:t>
            </w:r>
          </w:p>
        </w:tc>
      </w:tr>
      <w:tr>
        <w:tblPrEx>
          <w:tblCellMar>
            <w:top w:w="0" w:type="dxa"/>
            <w:left w:w="108" w:type="dxa"/>
            <w:bottom w:w="0" w:type="dxa"/>
            <w:right w:w="108" w:type="dxa"/>
          </w:tblCellMar>
        </w:tblPrEx>
        <w:trPr>
          <w:trHeight w:val="560" w:hRule="atLeast"/>
        </w:trPr>
        <w:tc>
          <w:tcPr>
            <w:tcW w:w="110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313" w:beforeLines="100"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31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313" w:beforeLines="100" w:line="360" w:lineRule="auto"/>
              <w:jc w:val="center"/>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通用服务器</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313" w:beforeLines="100" w:line="360" w:lineRule="auto"/>
              <w:jc w:val="center"/>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w:t>
            </w:r>
          </w:p>
        </w:tc>
        <w:tc>
          <w:tcPr>
            <w:tcW w:w="13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313" w:beforeLines="100" w:line="36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台</w:t>
            </w:r>
          </w:p>
        </w:tc>
        <w:tc>
          <w:tcPr>
            <w:tcW w:w="23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313" w:beforeLines="100" w:line="360" w:lineRule="auto"/>
              <w:jc w:val="center"/>
              <w:textAlignment w:val="auto"/>
              <w:rPr>
                <w:rFonts w:hint="eastAsia" w:ascii="宋体" w:hAnsi="宋体" w:eastAsia="宋体" w:cs="宋体"/>
                <w:color w:val="000000"/>
                <w:sz w:val="24"/>
                <w:szCs w:val="24"/>
              </w:rPr>
            </w:pPr>
          </w:p>
        </w:tc>
      </w:tr>
    </w:tbl>
    <w:p>
      <w:pPr>
        <w:pStyle w:val="4"/>
        <w:pageBreakBefore w:val="0"/>
        <w:numPr>
          <w:ilvl w:val="0"/>
          <w:numId w:val="1"/>
        </w:numPr>
        <w:tabs>
          <w:tab w:val="left" w:pos="709"/>
        </w:tabs>
        <w:kinsoku/>
        <w:wordWrap/>
        <w:overflowPunct/>
        <w:topLinePunct w:val="0"/>
        <w:bidi w:val="0"/>
        <w:snapToGrid/>
        <w:spacing w:line="36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项目背景</w:t>
      </w:r>
    </w:p>
    <w:p>
      <w:pPr>
        <w:spacing w:line="360" w:lineRule="auto"/>
        <w:ind w:firstLine="480" w:firstLineChars="200"/>
        <w:rPr>
          <w:rFonts w:ascii="宋体" w:hAnsi="宋体" w:eastAsia="宋体" w:cs="宋体"/>
          <w:sz w:val="24"/>
        </w:rPr>
      </w:pPr>
      <w:r>
        <w:rPr>
          <w:rFonts w:hint="eastAsia" w:ascii="宋体" w:hAnsi="宋体" w:eastAsia="宋体" w:cs="宋体"/>
          <w:sz w:val="24"/>
        </w:rPr>
        <w:t>北京市水务局在国家部署的洪水风险图编制、山洪灾害防治等相关工作的基础上，结合本市水旱灾害防御工作的实际需求，通过在应用过程中不断的迭代更新，已初步形成由气象卫星、测雨雷达、雨量站、水文站组成的气象雨水情监测体系，逐步构建了能够模拟流域洪水、山洪灾害等洪涝灾害降雨—产流—汇流—演进的”北京模型”体系，并在此基础上建成了集信息的查询统计分析，流域洪水、山洪、城市积水内涝预报预警和大中型水库调度演算等功能的水旱灾害防御平台。近年来，在实际应对每场降雨的的过程中，以平台为抓手，密切跟踪云团行进路径，加密与气象部门会商，依据气象部门降雨预报结果，利用”北京模型”开展流域洪水、山洪灾害、城市内涝的预报预警，及时研判洪水总量和洪峰等关键要素，超前发布预警。在洪水发生发展过程中，利用水库调洪演算分析预泄、拦洪、蓄滞等综合调度措施的影响并进行动态调整，有效发挥了防洪工程体系综合防洪减灾效益。</w:t>
      </w:r>
    </w:p>
    <w:p>
      <w:pPr>
        <w:spacing w:line="360" w:lineRule="auto"/>
        <w:ind w:firstLine="480" w:firstLineChars="200"/>
        <w:rPr>
          <w:rFonts w:ascii="宋体" w:hAnsi="宋体" w:eastAsia="宋体" w:cs="宋体"/>
          <w:sz w:val="24"/>
        </w:rPr>
      </w:pPr>
      <w:r>
        <w:rPr>
          <w:rFonts w:hint="eastAsia" w:ascii="宋体" w:hAnsi="宋体" w:eastAsia="宋体" w:cs="宋体"/>
          <w:sz w:val="24"/>
        </w:rPr>
        <w:t>然而，本次”23.7”洪水应对过程中，流域洪水预报调度能力仍然暴露出来了不少的问题，与水利部印发的《水利业务”四预”基本技术要求（试行）的通知》中的要求仍有较大的差距，对气候变化环境中极端暴雨事件的应对仍有较大的提升空间，突出表现在：一是现有模型所采用数据的精度和时效性不足以反映现状的下垫面情况，导致模拟的产汇流规律和实际的有一定的差距，影响预报预警的准确性；二是模型覆盖的范围不足，拒马河、大石河、泃河平原段等部分区域没有能够进行产汇流模拟的模型；三是流域洪水预报和调度的衔接不充分，预报和调度预演结果未能实现方便的互为边界条件，导致在实际应用中来不及支撑决策的目标；四是目前仅仅实现了基于预报的水库调度，对于流域工程的综合调度未能充分考虑，也不足以给出优化调度的决策方案；五是现有预报调度的灵活性不够，针对重点关注区间灵活计算的工具缺乏，导致应用过程中难以及时响应针对区间开展分析的需求；六是几乎没有在数字孪生的框架和视角下建构预报调度能力，导致针对实体对象的业务空间交互应用、基于业务和时空的多维统计、孪生空间的交互式表达能力有较大的欠缺，实际应用时对于灾害严重的重点关注对象的针对性分析表达和决策支持能力有明显的短板。</w:t>
      </w:r>
    </w:p>
    <w:p>
      <w:pPr>
        <w:spacing w:line="360" w:lineRule="auto"/>
        <w:ind w:firstLine="480" w:firstLineChars="200"/>
        <w:rPr>
          <w:rFonts w:hint="default" w:ascii="宋体" w:hAnsi="宋体" w:eastAsia="宋体" w:cs="宋体"/>
          <w:color w:val="000000"/>
          <w:sz w:val="24"/>
          <w:szCs w:val="24"/>
          <w:lang w:val="en-US" w:eastAsia="zh-CN"/>
        </w:rPr>
      </w:pPr>
      <w:r>
        <w:rPr>
          <w:rFonts w:hint="eastAsia" w:ascii="宋体" w:hAnsi="宋体" w:eastAsia="宋体" w:cs="宋体"/>
          <w:sz w:val="24"/>
        </w:rPr>
        <w:t>为此，根据《北京”23∙7”特大暴雨洪涝灾害灾后恢复重建总体规划》的要求，本项目拟以”23.7”海河流域性特大洪水灾后重建和能力提升为核心，聚焦本次灾害应对过程中暴露出来的短板，加快永定河、潮白河、北运河和大清河、蓟运河的数字孪生流域的建设工作，</w:t>
      </w:r>
      <w:r>
        <w:rPr>
          <w:rFonts w:hint="eastAsia" w:ascii="宋体" w:hAnsi="宋体" w:eastAsia="宋体" w:cs="宋体"/>
          <w:color w:val="000000"/>
          <w:sz w:val="24"/>
          <w:szCs w:val="24"/>
          <w:lang w:val="en-US" w:eastAsia="zh-CN"/>
        </w:rPr>
        <w:t>购置通用服务器12台，以完成</w:t>
      </w:r>
      <w:r>
        <w:rPr>
          <w:rFonts w:hint="eastAsia" w:ascii="宋体" w:hAnsi="宋体" w:eastAsia="宋体" w:cs="宋体"/>
          <w:color w:val="000000"/>
          <w:sz w:val="24"/>
          <w:szCs w:val="24"/>
        </w:rPr>
        <w:t>流域防洪预报调度数字孪生平台渲染</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模型解析</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视频智能识别模型运算</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人工智能水文模型运算</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水动力模型</w:t>
      </w:r>
      <w:r>
        <w:rPr>
          <w:rFonts w:hint="eastAsia" w:ascii="宋体" w:hAnsi="宋体" w:eastAsia="宋体" w:cs="宋体"/>
          <w:color w:val="000000"/>
          <w:sz w:val="24"/>
          <w:szCs w:val="24"/>
          <w:lang w:val="en-US" w:eastAsia="zh-CN"/>
        </w:rPr>
        <w:t>运算等任务，</w:t>
      </w:r>
      <w:r>
        <w:rPr>
          <w:rFonts w:hint="eastAsia" w:ascii="宋体" w:hAnsi="宋体" w:eastAsia="宋体" w:cs="宋体"/>
          <w:sz w:val="24"/>
        </w:rPr>
        <w:t>通过数据更新校核、模型完善提升、数字孪生技术应用等方法全面提升上述流域洪水预报预警调度能力，进一步完善北京市水旱灾害防御的”三道防线”和”四个链条”。在此基础上，逐步耦合建设数字孪生水网，全面实现北京市水利工程体系的数字孪生，更好地发挥现有水利工程的综合效益。</w:t>
      </w:r>
    </w:p>
    <w:p>
      <w:pPr>
        <w:pStyle w:val="4"/>
        <w:pageBreakBefore w:val="0"/>
        <w:numPr>
          <w:ilvl w:val="0"/>
          <w:numId w:val="1"/>
        </w:numPr>
        <w:tabs>
          <w:tab w:val="left" w:pos="709"/>
        </w:tabs>
        <w:kinsoku/>
        <w:wordWrap/>
        <w:overflowPunct/>
        <w:topLinePunct w:val="0"/>
        <w:bidi w:val="0"/>
        <w:snapToGrid/>
        <w:spacing w:line="360" w:lineRule="auto"/>
        <w:jc w:val="left"/>
        <w:textAlignment w:val="auto"/>
        <w:rPr>
          <w:rFonts w:hint="eastAsia" w:ascii="宋体" w:hAnsi="宋体" w:eastAsia="宋体" w:cs="宋体"/>
          <w:color w:val="000000"/>
          <w:sz w:val="24"/>
          <w:szCs w:val="24"/>
        </w:rPr>
      </w:pPr>
      <w:bookmarkStart w:id="2" w:name="_Toc86202632"/>
      <w:bookmarkStart w:id="3" w:name="_Toc15708"/>
      <w:bookmarkStart w:id="4" w:name="_Toc186274124"/>
      <w:bookmarkStart w:id="5" w:name="_Toc174185201"/>
      <w:r>
        <w:rPr>
          <w:rFonts w:hint="eastAsia" w:ascii="宋体" w:hAnsi="宋体" w:eastAsia="宋体" w:cs="宋体"/>
          <w:color w:val="000000"/>
          <w:sz w:val="24"/>
          <w:szCs w:val="24"/>
        </w:rPr>
        <w:t>技术参数要求</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技术指标按重要性分</w:t>
      </w:r>
      <w:r>
        <w:rPr>
          <w:rFonts w:hint="eastAsia" w:ascii="宋体" w:hAnsi="宋体" w:eastAsia="宋体" w:cs="宋体"/>
          <w:color w:val="auto"/>
          <w:sz w:val="24"/>
          <w:szCs w:val="24"/>
          <w:highlight w:val="none"/>
          <w:lang w:val="zh-CN"/>
        </w:rPr>
        <w:t>为“</w:t>
      </w:r>
      <w:r>
        <w:rPr>
          <w:rFonts w:ascii="Segoe UI Symbol" w:hAnsi="Segoe UI Symbol" w:cs="Segoe UI Symbol"/>
          <w:color w:val="auto"/>
          <w:kern w:val="0"/>
          <w:sz w:val="24"/>
          <w:highlight w:val="none"/>
        </w:rPr>
        <w:t>★</w:t>
      </w:r>
      <w:r>
        <w:rPr>
          <w:rFonts w:hint="eastAsia" w:ascii="宋体" w:hAnsi="宋体" w:eastAsia="宋体" w:cs="宋体"/>
          <w:color w:val="auto"/>
          <w:sz w:val="24"/>
          <w:szCs w:val="24"/>
          <w:highlight w:val="none"/>
          <w:lang w:val="zh-CN"/>
        </w:rPr>
        <w:t>”、“#”和一般无标示指标。</w:t>
      </w:r>
      <w:r>
        <w:rPr>
          <w:rFonts w:ascii="Segoe UI Symbol" w:hAnsi="Segoe UI Symbol" w:cs="Segoe UI Symbol"/>
          <w:color w:val="auto"/>
          <w:kern w:val="0"/>
          <w:sz w:val="24"/>
          <w:highlight w:val="none"/>
        </w:rPr>
        <w:t>★</w:t>
      </w:r>
      <w:r>
        <w:rPr>
          <w:rFonts w:hint="eastAsia" w:ascii="宋体" w:hAnsi="宋体" w:eastAsia="宋体" w:cs="宋体"/>
          <w:color w:val="auto"/>
          <w:sz w:val="24"/>
          <w:szCs w:val="24"/>
          <w:highlight w:val="none"/>
          <w:lang w:val="zh-CN"/>
        </w:rPr>
        <w:t>代表关键指</w:t>
      </w:r>
      <w:r>
        <w:rPr>
          <w:rFonts w:hint="eastAsia" w:ascii="宋体" w:hAnsi="宋体" w:eastAsia="宋体" w:cs="宋体"/>
          <w:color w:val="000000"/>
          <w:sz w:val="24"/>
          <w:szCs w:val="24"/>
          <w:highlight w:val="none"/>
          <w:lang w:val="zh-CN"/>
        </w:rPr>
        <w:t>标，#代表重要指标，无标识则表示一般指标项。</w:t>
      </w:r>
    </w:p>
    <w:tbl>
      <w:tblPr>
        <w:tblStyle w:val="5"/>
        <w:tblpPr w:leftFromText="180" w:rightFromText="180" w:vertAnchor="text" w:horzAnchor="page" w:tblpX="1300" w:tblpY="24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732"/>
        <w:gridCol w:w="1050"/>
        <w:gridCol w:w="1470"/>
        <w:gridCol w:w="4170"/>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重要性</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一级指标</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二级指标</w:t>
            </w:r>
          </w:p>
        </w:tc>
        <w:tc>
          <w:tcPr>
            <w:tcW w:w="41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指标规格要求</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CPU 规格</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CPU 信息</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default" w:ascii="宋体" w:hAnsi="宋体" w:eastAsia="宋体" w:cs="宋体"/>
                <w:sz w:val="21"/>
                <w:szCs w:val="21"/>
                <w:lang w:val="en-US" w:eastAsia="zh-CN"/>
              </w:rPr>
            </w:pPr>
            <w:r>
              <w:rPr>
                <w:rFonts w:hint="eastAsia" w:ascii="宋体" w:hAnsi="宋体" w:eastAsia="宋体" w:cs="宋体"/>
                <w:sz w:val="21"/>
                <w:szCs w:val="21"/>
              </w:rPr>
              <w:t>供应商给出CPU 信息，包含CPU 型号、物理核心数、主频、末级缓存容量、线程数、热设计功耗及支持内存的最高速率、通道数和位宽</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需配置：</w:t>
            </w:r>
          </w:p>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配置≥2颗Hygon 7360 处理器，</w:t>
            </w:r>
            <w:r>
              <w:rPr>
                <w:rFonts w:hint="eastAsia" w:ascii="宋体" w:hAnsi="宋体" w:eastAsia="宋体" w:cs="宋体"/>
                <w:sz w:val="21"/>
                <w:szCs w:val="21"/>
              </w:rPr>
              <w:br w:type="textWrapping"/>
            </w:r>
            <w:r>
              <w:rPr>
                <w:rFonts w:hint="eastAsia" w:ascii="宋体" w:hAnsi="宋体" w:eastAsia="宋体" w:cs="宋体"/>
                <w:sz w:val="21"/>
                <w:szCs w:val="21"/>
              </w:rPr>
              <w:t>每颗CPU核心数≥24核，</w:t>
            </w:r>
            <w:r>
              <w:rPr>
                <w:rFonts w:hint="eastAsia" w:ascii="宋体" w:hAnsi="宋体" w:eastAsia="宋体" w:cs="宋体"/>
                <w:sz w:val="21"/>
                <w:szCs w:val="21"/>
              </w:rPr>
              <w:br w:type="textWrapping"/>
            </w:r>
            <w:r>
              <w:rPr>
                <w:rFonts w:hint="eastAsia" w:ascii="宋体" w:hAnsi="宋体" w:eastAsia="宋体" w:cs="宋体"/>
                <w:sz w:val="21"/>
                <w:szCs w:val="21"/>
              </w:rPr>
              <w:t>每颗CPU主频≥2.2GHz，</w:t>
            </w:r>
            <w:r>
              <w:rPr>
                <w:rFonts w:hint="eastAsia" w:ascii="宋体" w:hAnsi="宋体" w:eastAsia="宋体" w:cs="宋体"/>
                <w:sz w:val="21"/>
                <w:szCs w:val="21"/>
              </w:rPr>
              <w:br w:type="textWrapping"/>
            </w:r>
            <w:r>
              <w:rPr>
                <w:rFonts w:hint="eastAsia" w:ascii="宋体" w:hAnsi="宋体" w:eastAsia="宋体" w:cs="宋体"/>
                <w:sz w:val="21"/>
                <w:szCs w:val="21"/>
              </w:rPr>
              <w:t>每颗末级缓存≥64MB，</w:t>
            </w:r>
            <w:r>
              <w:rPr>
                <w:rFonts w:hint="eastAsia" w:ascii="宋体" w:hAnsi="宋体" w:eastAsia="宋体" w:cs="宋体"/>
                <w:sz w:val="21"/>
                <w:szCs w:val="21"/>
              </w:rPr>
              <w:br w:type="textWrapping"/>
            </w:r>
            <w:r>
              <w:rPr>
                <w:rFonts w:hint="eastAsia" w:ascii="宋体" w:hAnsi="宋体" w:eastAsia="宋体" w:cs="宋体"/>
                <w:sz w:val="21"/>
                <w:szCs w:val="21"/>
              </w:rPr>
              <w:t>每颗CPU功耗≤180W</w:t>
            </w:r>
            <w:r>
              <w:rPr>
                <w:rFonts w:hint="eastAsia" w:ascii="宋体" w:hAnsi="宋体" w:eastAsia="宋体" w:cs="宋体"/>
                <w:sz w:val="21"/>
                <w:szCs w:val="21"/>
                <w:lang w:eastAsia="zh-CN"/>
              </w:rPr>
              <w:t>。</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主板规格</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主板支持的 CPU 和内存情况</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供应商给出主板支持的CPU和内存的型号数量</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需配置：</w:t>
            </w:r>
          </w:p>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机型支持≥2 颗 CPU；</w:t>
            </w:r>
            <w:r>
              <w:rPr>
                <w:rFonts w:hint="eastAsia" w:ascii="宋体" w:hAnsi="宋体" w:eastAsia="宋体" w:cs="宋体"/>
                <w:sz w:val="21"/>
                <w:szCs w:val="21"/>
              </w:rPr>
              <w:br w:type="textWrapping"/>
            </w:r>
            <w:r>
              <w:rPr>
                <w:rFonts w:hint="eastAsia" w:ascii="宋体" w:hAnsi="宋体" w:eastAsia="宋体" w:cs="宋体"/>
                <w:sz w:val="21"/>
                <w:szCs w:val="21"/>
              </w:rPr>
              <w:t>机型支持≥32 根DDR4 内存插槽，可扩展至 4TB 内存</w:t>
            </w:r>
            <w:r>
              <w:rPr>
                <w:rFonts w:hint="eastAsia" w:ascii="宋体" w:hAnsi="宋体" w:eastAsia="宋体" w:cs="宋体"/>
                <w:sz w:val="21"/>
                <w:szCs w:val="21"/>
              </w:rPr>
              <w:br w:type="textWrapping"/>
            </w:r>
            <w:r>
              <w:rPr>
                <w:rFonts w:hint="eastAsia" w:ascii="宋体" w:hAnsi="宋体" w:eastAsia="宋体" w:cs="宋体"/>
                <w:sz w:val="21"/>
                <w:szCs w:val="21"/>
              </w:rPr>
              <w:t>内存最高运行频率 3200MHz</w:t>
            </w:r>
            <w:r>
              <w:rPr>
                <w:rFonts w:hint="eastAsia" w:ascii="宋体" w:hAnsi="宋体" w:eastAsia="宋体" w:cs="宋体"/>
                <w:sz w:val="21"/>
                <w:szCs w:val="21"/>
              </w:rPr>
              <w:br w:type="textWrapping"/>
            </w:r>
            <w:r>
              <w:rPr>
                <w:rFonts w:hint="eastAsia" w:ascii="宋体" w:hAnsi="宋体" w:eastAsia="宋体" w:cs="宋体"/>
                <w:sz w:val="21"/>
                <w:szCs w:val="21"/>
              </w:rPr>
              <w:t>支持 RDIMM 内存</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主板内存槽数量</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机型支持≥32 根内存插槽；</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主板存储接口</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机型支持 SATA、SAS、M.2、U.2 等存储接口；</w:t>
            </w:r>
            <w:r>
              <w:rPr>
                <w:rFonts w:hint="eastAsia" w:ascii="宋体" w:hAnsi="宋体" w:eastAsia="宋体" w:cs="宋体"/>
                <w:sz w:val="21"/>
                <w:szCs w:val="21"/>
              </w:rPr>
              <w:br w:type="textWrapping"/>
            </w:r>
            <w:r>
              <w:rPr>
                <w:rFonts w:hint="eastAsia" w:ascii="宋体" w:hAnsi="宋体" w:eastAsia="宋体" w:cs="宋体"/>
                <w:sz w:val="21"/>
                <w:szCs w:val="21"/>
              </w:rPr>
              <w:t>板载支持2个PCIe M.2；</w:t>
            </w:r>
            <w:r>
              <w:rPr>
                <w:rFonts w:hint="eastAsia" w:ascii="宋体" w:hAnsi="宋体" w:eastAsia="宋体" w:cs="宋体"/>
                <w:sz w:val="21"/>
                <w:szCs w:val="21"/>
              </w:rPr>
              <w:br w:type="textWrapping"/>
            </w:r>
            <w:r>
              <w:rPr>
                <w:rFonts w:hint="eastAsia" w:ascii="宋体" w:hAnsi="宋体" w:eastAsia="宋体" w:cs="宋体"/>
                <w:sz w:val="21"/>
                <w:szCs w:val="21"/>
              </w:rPr>
              <w:t>外插支持2个SATA M.2，组硬RAID(PCIe卡转接方式)；</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PCIe 插槽接口</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符合 PCIe4.0 或以上的高速串行计算机扩展总线标准；</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主板 PCIe 插槽数量及规格</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≥15 个物理PCI-E插槽</w:t>
            </w:r>
            <w:r>
              <w:rPr>
                <w:rFonts w:hint="eastAsia" w:ascii="宋体" w:hAnsi="宋体" w:eastAsia="宋体" w:cs="宋体"/>
                <w:sz w:val="21"/>
                <w:szCs w:val="21"/>
              </w:rPr>
              <w:br w:type="textWrapping"/>
            </w:r>
            <w:r>
              <w:rPr>
                <w:rFonts w:hint="eastAsia" w:ascii="宋体" w:hAnsi="宋体" w:eastAsia="宋体" w:cs="宋体"/>
                <w:sz w:val="21"/>
                <w:szCs w:val="21"/>
              </w:rPr>
              <w:t>支持12个PCIe 4.0 x16插槽（可支持8个双宽x16插槽和4个单宽x16插槽）；</w:t>
            </w:r>
            <w:r>
              <w:rPr>
                <w:rFonts w:hint="eastAsia" w:ascii="宋体" w:hAnsi="宋体" w:eastAsia="宋体" w:cs="宋体"/>
                <w:sz w:val="21"/>
                <w:szCs w:val="21"/>
              </w:rPr>
              <w:br w:type="textWrapping"/>
            </w:r>
            <w:r>
              <w:rPr>
                <w:rFonts w:hint="eastAsia" w:ascii="宋体" w:hAnsi="宋体" w:eastAsia="宋体" w:cs="宋体"/>
                <w:sz w:val="21"/>
                <w:szCs w:val="21"/>
              </w:rPr>
              <w:t>1个OCP 3.0插槽；</w:t>
            </w:r>
            <w:r>
              <w:rPr>
                <w:rFonts w:hint="eastAsia" w:ascii="宋体" w:hAnsi="宋体" w:eastAsia="宋体" w:cs="宋体"/>
                <w:sz w:val="21"/>
                <w:szCs w:val="21"/>
              </w:rPr>
              <w:br w:type="textWrapping"/>
            </w:r>
            <w:r>
              <w:rPr>
                <w:rFonts w:hint="eastAsia" w:ascii="宋体" w:hAnsi="宋体" w:eastAsia="宋体" w:cs="宋体"/>
                <w:sz w:val="21"/>
                <w:szCs w:val="21"/>
              </w:rPr>
              <w:t>SAS\RAID卡专用插槽（最高可支持2个）</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内存规格</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内存数量</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配置≥256GB DDR4  RDIMM/LRDIMM内存</w:t>
            </w:r>
            <w:r>
              <w:rPr>
                <w:rFonts w:hint="eastAsia" w:ascii="宋体" w:hAnsi="宋体" w:eastAsia="宋体" w:cs="宋体"/>
                <w:sz w:val="21"/>
                <w:szCs w:val="21"/>
              </w:rPr>
              <w:br w:type="textWrapping"/>
            </w:r>
            <w:r>
              <w:rPr>
                <w:rFonts w:hint="eastAsia" w:ascii="宋体" w:hAnsi="宋体" w:eastAsia="宋体" w:cs="宋体"/>
                <w:sz w:val="21"/>
                <w:szCs w:val="21"/>
              </w:rPr>
              <w:t>支持≥32个内存插槽，最大可支持4TB内存容量，支持ECC。</w:t>
            </w:r>
            <w:r>
              <w:rPr>
                <w:rFonts w:hint="eastAsia" w:ascii="宋体" w:hAnsi="宋体" w:eastAsia="宋体" w:cs="宋体"/>
                <w:sz w:val="21"/>
                <w:szCs w:val="21"/>
              </w:rPr>
              <w:br w:type="textWrapping"/>
            </w:r>
            <w:r>
              <w:rPr>
                <w:rFonts w:hint="eastAsia" w:ascii="宋体" w:hAnsi="宋体" w:eastAsia="宋体" w:cs="宋体"/>
                <w:sz w:val="21"/>
                <w:szCs w:val="21"/>
              </w:rPr>
              <w:t>单条内存≥32G。</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内存规格</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≥DDR4</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内存通道</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机型支持32个内存通道,每个通道支持≥1 个内存插槽；</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存储规格</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硬磁盘实配容量</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配置≥2块480G 2.5 SATA 6Gb R SSD</w:t>
            </w:r>
            <w:r>
              <w:rPr>
                <w:rFonts w:hint="eastAsia" w:ascii="宋体" w:hAnsi="宋体" w:eastAsia="宋体" w:cs="宋体"/>
                <w:sz w:val="21"/>
                <w:szCs w:val="21"/>
              </w:rPr>
              <w:br w:type="textWrapping"/>
            </w:r>
            <w:r>
              <w:rPr>
                <w:rFonts w:hint="eastAsia" w:ascii="宋体" w:hAnsi="宋体" w:eastAsia="宋体" w:cs="宋体"/>
                <w:sz w:val="21"/>
                <w:szCs w:val="21"/>
              </w:rPr>
              <w:t>配置≥4块4TB 3.5吋7.2K 6Gb SATA硬盘</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硬盘实配数量</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配置≥2块 SSD 硬盘</w:t>
            </w:r>
            <w:r>
              <w:rPr>
                <w:rFonts w:hint="eastAsia" w:ascii="宋体" w:hAnsi="宋体" w:eastAsia="宋体" w:cs="宋体"/>
                <w:sz w:val="21"/>
                <w:szCs w:val="21"/>
              </w:rPr>
              <w:br w:type="textWrapping"/>
            </w:r>
            <w:r>
              <w:rPr>
                <w:rFonts w:hint="eastAsia" w:ascii="宋体" w:hAnsi="宋体" w:eastAsia="宋体" w:cs="宋体"/>
                <w:sz w:val="21"/>
                <w:szCs w:val="21"/>
              </w:rPr>
              <w:t>配置≥4块 SATA硬盘</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硬盘插槽数量及规格</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机型可支持≥24 块 3.5 硬盘；</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RAID 卡规格</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RAID 卡规格</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配置≥1块独立阵列卡，缓存不低于4G ，带电池缓存保护，不占用标准PCIe插槽</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14</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网络规格</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网口速率和数量</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配置≥一块双口1G RJ45网卡与一块双口10G无模块光纤网卡（含满配光模块）。</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外部接口规格</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显示接口</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 个 VGA 接口;</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16</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USB 接口</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 个 USB 接口</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17</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电源规格</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电源模块数量</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≥4个</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18</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电源功率</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≥2000W</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19</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整机规格</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外观和结构</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a) 服务器的零部件应紧固无松动，可插拔部件应可靠连接，开关、按钮和其它控制部件应灵活可靠，布局应方便使用；</w:t>
            </w:r>
            <w:r>
              <w:rPr>
                <w:rFonts w:hint="eastAsia" w:ascii="宋体" w:hAnsi="宋体" w:eastAsia="宋体" w:cs="宋体"/>
                <w:sz w:val="21"/>
                <w:szCs w:val="21"/>
              </w:rPr>
              <w:br w:type="textWrapping"/>
            </w:r>
            <w:r>
              <w:rPr>
                <w:rFonts w:hint="eastAsia" w:ascii="宋体" w:hAnsi="宋体" w:eastAsia="宋体" w:cs="宋体"/>
                <w:sz w:val="21"/>
                <w:szCs w:val="21"/>
              </w:rPr>
              <w:t>b) 产品表面不应有明显的凹痕、划伤、裂缝、变形和污染等。表面涂层均匀，不应起泡、龟裂、脱落和磨损，金属零部件无锈蚀及其它机械损伤；</w:t>
            </w:r>
            <w:r>
              <w:rPr>
                <w:rFonts w:hint="eastAsia" w:ascii="宋体" w:hAnsi="宋体" w:eastAsia="宋体" w:cs="宋体"/>
                <w:sz w:val="21"/>
                <w:szCs w:val="21"/>
              </w:rPr>
              <w:br w:type="textWrapping"/>
            </w:r>
            <w:r>
              <w:rPr>
                <w:rFonts w:hint="eastAsia" w:ascii="宋体" w:hAnsi="宋体" w:eastAsia="宋体" w:cs="宋体"/>
                <w:sz w:val="21"/>
                <w:szCs w:val="21"/>
              </w:rPr>
              <w:t>c) 应在服务器的显著位置提供运行状态的指示功能，并在随机文件中明确具体含义；</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尺寸</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≥175mm(高)x 446mm(宽)x838mm(深)</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21</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环境适应性</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气候环境适应性应符合 GB/T9813.3 的有关规定或相关规定，符合环境要求；</w:t>
            </w:r>
            <w:r>
              <w:rPr>
                <w:rFonts w:hint="eastAsia" w:ascii="宋体" w:hAnsi="宋体" w:eastAsia="宋体" w:cs="宋体"/>
                <w:sz w:val="21"/>
                <w:szCs w:val="21"/>
              </w:rPr>
              <w:br w:type="textWrapping"/>
            </w:r>
            <w:r>
              <w:rPr>
                <w:rFonts w:hint="eastAsia" w:ascii="宋体" w:hAnsi="宋体" w:eastAsia="宋体" w:cs="宋体"/>
                <w:sz w:val="21"/>
                <w:szCs w:val="21"/>
              </w:rPr>
              <w:t>工作温度 10～35℃；</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22</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机械环境适应性</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机械环境适应性应符合GB/T9813.3 的有关规定或相关规定，符合环境要求；</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23</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噪声</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符合GB/T 9813.3 的有关规定或相关规定，符合环境要求。</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24</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AI计算单元规格</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算力单元</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额外增加算力单元，数量≥4个，采用主动散热，单个可提供≥35.58TFLOPS FP32性能，单块显存≥24G，最大功耗≤350W，支持≥1个HDMI与3个DP接口；</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25</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计算单元连接</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最大可支持8块双宽GPU加速卡，实际运行带宽均为PCIe 4.0 x16，全部GPU卡必须安装在同一个服务器GPU主板（非多计算节点堆叠方式）</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26</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计算单元拓扑</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为满足不同场景下使用达到最优性能，GPU的PCIe 连接拓扑支持调整为CPU：GPU=1：4或者CPU：GPU=1：8</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27</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机柜规格</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机柜尺寸</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设备需可部署在服务器标准机柜中；</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28</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主板功能</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主板外部接口种类</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 VGA、USB 端口；</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29</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网络功能</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网络功能</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支持网络连接、网络访问、数据交换和网络管控功能；</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30</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CPU 功能</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计算处理</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支持通用计算及虚拟化功能；</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31</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密码算法实现</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CPU 芯片应符合GM/T 0008 的相关规定</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32</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电源功能</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电源热插拔</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支持电源热插拔</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33</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电源过流保护</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支持电源过流保护；</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34</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整机功能</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散热方式</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支持风冷散热方式；</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35</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管理系统功能</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BMC 固件基础功能</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具备管理功能，符合主流管理规范；</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36</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BIOS 固件基础功能</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具备配置功能，支持中文管理界面；</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37</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远程控制</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支持远程关机和重新启动功能</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38</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操作系统及驱动功能</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操作系统及驱动的升级</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支持通过网络、闪存盘对操作系统、驱动进行升级；</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39</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操作系统功能</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支持访问控制、安全审计、网络接入鉴别等功能；</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40</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操作系统</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配置国产操作系统，且该系统支</w:t>
            </w:r>
            <w:r>
              <w:rPr>
                <w:rFonts w:hint="eastAsia" w:ascii="宋体" w:hAnsi="宋体" w:eastAsia="宋体" w:cs="宋体"/>
                <w:sz w:val="21"/>
                <w:szCs w:val="21"/>
                <w:highlight w:val="none"/>
              </w:rPr>
              <w:t>持</w:t>
            </w:r>
            <w:r>
              <w:rPr>
                <w:rFonts w:hint="eastAsia" w:ascii="宋体" w:hAnsi="宋体" w:cs="宋体"/>
                <w:sz w:val="21"/>
                <w:szCs w:val="21"/>
                <w:highlight w:val="none"/>
                <w:lang w:eastAsia="zh-CN"/>
              </w:rPr>
              <w:t>国产</w:t>
            </w:r>
            <w:r>
              <w:rPr>
                <w:rFonts w:hint="eastAsia" w:ascii="宋体" w:hAnsi="宋体" w:eastAsia="宋体" w:cs="宋体"/>
                <w:sz w:val="21"/>
                <w:szCs w:val="21"/>
                <w:highlight w:val="none"/>
              </w:rPr>
              <w:t>自</w:t>
            </w:r>
            <w:r>
              <w:rPr>
                <w:rFonts w:hint="eastAsia" w:ascii="宋体" w:hAnsi="宋体" w:eastAsia="宋体" w:cs="宋体"/>
                <w:sz w:val="21"/>
                <w:szCs w:val="21"/>
              </w:rPr>
              <w:t>主CPU平台；构建基于自主软硬件和密码技术的内核与应用一体化的内生本质安全体系；自研内核安全访问统一控制框架KYSEC、生物识别管理框架和安全管理工具；支持多策略融合的强制访问控制机制、国密算法、可信计算通过GB/T20272第四级测评；</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41</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中文信息处理功能</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中文信息处理</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符合相关规定、标准；</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42</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关键部件安全要求</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关键部件安全要求</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CPU 和操作系统等关键部件应当符合安全可靠测评要求</w:t>
            </w:r>
            <w:r>
              <w:rPr>
                <w:rFonts w:hint="eastAsia" w:ascii="宋体" w:hAnsi="宋体" w:eastAsia="宋体" w:cs="宋体"/>
                <w:sz w:val="21"/>
                <w:szCs w:val="21"/>
                <w:highlight w:val="none"/>
                <w:lang w:eastAsia="zh-CN"/>
              </w:rPr>
              <w:t>。</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43</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固件安全要求</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故障检测</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支持故障检测功能；</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44</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系统安全要求</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弱口令字典检查</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支持弱口令字典检查功能，出现在弱口令字典中的字符串不能被设置为用户口令；</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45</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白名单访问控制</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支持白名单访问控制功能（支持功能定制）；</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46</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二次鉴别</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支持二次鉴别功能（支持功能定制）；</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47</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可信启动</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支持基于硬件的可信根支持，支持secure boot</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48</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可信度量</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支持TPM2.0/FTPM，支持TCM，支持DTM动态度量</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49</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安全刷新</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支持secure flash以及完整性校验</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密码证书安全加密存储</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支持密码证书安全加密存储（支持功能定制）；</w:t>
            </w:r>
          </w:p>
        </w:tc>
        <w:tc>
          <w:tcPr>
            <w:tcW w:w="781"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51</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敏感信息安全加密传输</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支持敏感信息安全加密传输（支持功能定制）；</w:t>
            </w:r>
          </w:p>
        </w:tc>
        <w:tc>
          <w:tcPr>
            <w:tcW w:w="781"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52</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信息安全要求</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研发过程安全</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供应商承诺：生产商已建立从需求、设计、开发、测试、维护端到端的开发流程管理机制，输出和保存开发流程中每个阶段的产品需求清单、设计文档、开发文档、测试记录等材料，保证各个流程可追溯；</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53</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物理安全</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物理安全</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安全要求应符合国家相关的规定</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54</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限用物质的限量要求</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限用物质的限量要求</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限用物质的限量应符合国家相关的规定</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55</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CPU 性能</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CPU 主频</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≥2.2GHz；</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56</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单CPU 核数</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≥24核心；</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57</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单CPU末级缓存容量</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≥64MB；</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58</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内存性能</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内存速率</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≥3200MT/s；</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59</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电源能耗</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电源能耗</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符合相关规定/标准；</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60</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部件兼容性要求</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内存兼容性</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具有广泛的兼容性，可适配多厂商产品；</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61</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固态存储兼容性</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具有广泛的兼容性，可适配多厂商产品；</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62</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网卡兼容性</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具有广泛的兼容性，可适配多厂商产品；</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63</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功能卡兼容性</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内置或适配符合 PCIe 的功能卡；</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64</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外设兼容性</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外设兼容性</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兼容多种主流生产商的外部设备；</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65</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软件兼容性</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数据库兼容</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具有广泛的兼容性，可适配多厂商产品；</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66</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中间件兼容</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具有广泛的兼容性，可适配多厂商产品；</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67</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平台软件兼容</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具有广泛的兼容性，可适配多厂商产品；</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68</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整机可靠性要求</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整机可靠性</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MTBF 不得低于250000h；</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69</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风扇可靠性</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风扇寿命应不低于 40000h；</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70</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部件可靠性</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支持硬盘、电源、风扇热插拔(内置风扇除外)；</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71</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3C认证</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提供产品3C认证证书</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72</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环境标志证书</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提供产品环境标志证书</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73</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包装及运输要求</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标志、包装、运输和贮存</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符合相关规定/标准；</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74</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服务响应</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服务响应</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提供供应商服务承诺，服务不低于</w:t>
            </w:r>
            <w:r>
              <w:rPr>
                <w:rFonts w:hint="eastAsia" w:ascii="宋体" w:hAnsi="宋体" w:eastAsia="宋体" w:cs="宋体"/>
                <w:sz w:val="21"/>
                <w:szCs w:val="21"/>
              </w:rPr>
              <w:br w:type="textWrapping"/>
            </w:r>
            <w:r>
              <w:rPr>
                <w:rFonts w:hint="eastAsia" w:ascii="宋体" w:hAnsi="宋体" w:eastAsia="宋体" w:cs="宋体"/>
                <w:sz w:val="21"/>
                <w:szCs w:val="21"/>
              </w:rPr>
              <w:t>a) 提供电话、电子邮件、远程连接等多种形式服务；</w:t>
            </w:r>
            <w:r>
              <w:rPr>
                <w:rFonts w:hint="eastAsia" w:ascii="宋体" w:hAnsi="宋体" w:eastAsia="宋体" w:cs="宋体"/>
                <w:sz w:val="21"/>
                <w:szCs w:val="21"/>
              </w:rPr>
              <w:br w:type="textWrapping"/>
            </w:r>
            <w:r>
              <w:rPr>
                <w:rFonts w:hint="eastAsia" w:ascii="宋体" w:hAnsi="宋体" w:eastAsia="宋体" w:cs="宋体"/>
                <w:sz w:val="21"/>
                <w:szCs w:val="21"/>
              </w:rPr>
              <w:t>b) 提供同城4h、异地12h 技术响应服务，2 个工作日解决问题，对于未能解决的问题和故障应提供可行的升级方案，并提供周转设备；</w:t>
            </w:r>
            <w:r>
              <w:rPr>
                <w:rFonts w:hint="eastAsia" w:ascii="宋体" w:hAnsi="宋体" w:eastAsia="宋体" w:cs="宋体"/>
                <w:sz w:val="21"/>
                <w:szCs w:val="21"/>
              </w:rPr>
              <w:br w:type="textWrapping"/>
            </w:r>
            <w:r>
              <w:rPr>
                <w:rFonts w:hint="eastAsia" w:ascii="宋体" w:hAnsi="宋体" w:eastAsia="宋体" w:cs="宋体"/>
                <w:sz w:val="21"/>
                <w:szCs w:val="21"/>
              </w:rPr>
              <w:t>c) 建立全国技术服务体系和服务团体，符合专业服务体系标准要求，提供原厂中文服务；</w:t>
            </w:r>
            <w:r>
              <w:rPr>
                <w:rFonts w:hint="eastAsia" w:ascii="宋体" w:hAnsi="宋体" w:eastAsia="宋体" w:cs="宋体"/>
                <w:sz w:val="21"/>
                <w:szCs w:val="21"/>
              </w:rPr>
              <w:br w:type="textWrapping"/>
            </w:r>
            <w:r>
              <w:rPr>
                <w:rFonts w:hint="eastAsia" w:ascii="宋体" w:hAnsi="宋体" w:eastAsia="宋体" w:cs="宋体"/>
                <w:sz w:val="21"/>
                <w:szCs w:val="21"/>
              </w:rPr>
              <w:t>d) 服务周期内提供产品的维修、换件和升级服务</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75</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培训服务</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供应商提供培训材料、产品手册、培训视频等培训相关内容；</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76</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服务周期</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服务周期</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highlight w:val="none"/>
                <w:lang w:eastAsia="zh-CN"/>
              </w:rPr>
              <w:t>安装调试完成后，设备试运行开始之日起</w:t>
            </w:r>
            <w:r>
              <w:rPr>
                <w:rFonts w:hint="eastAsia" w:ascii="宋体" w:hAnsi="宋体" w:eastAsia="宋体" w:cs="宋体"/>
                <w:sz w:val="21"/>
                <w:szCs w:val="21"/>
                <w:highlight w:val="none"/>
              </w:rPr>
              <w:t>，质量保证期为36个月</w:t>
            </w:r>
            <w:r>
              <w:rPr>
                <w:rFonts w:hint="eastAsia" w:ascii="宋体" w:hAnsi="宋体" w:eastAsia="宋体" w:cs="宋体"/>
                <w:sz w:val="21"/>
                <w:szCs w:val="21"/>
                <w:highlight w:val="none"/>
                <w:lang w:eastAsia="zh-CN"/>
              </w:rPr>
              <w:t>；</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77</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服务工具要求</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工具要求</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提供配套工具，满足部署需求；</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78</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驱动安装升级指引</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提供驱动安装升级指引服务，满足部署需求</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79</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管理软件</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提供管理、监控软件；</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80</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增值服务</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厂家升级产品软件与扩容服务</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提供厂家升级产品软件与扩容服务；</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81</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提供上门服务</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提供上门服务；</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82</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restart"/>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供应链质量</w:t>
            </w: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抗干扰性</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供应商应具备良好的供应能力；</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pageBreakBefore w:val="0"/>
              <w:widowControl/>
              <w:kinsoku/>
              <w:wordWrap/>
              <w:overflowPunct/>
              <w:topLinePunct w:val="0"/>
              <w:bidi w:val="0"/>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83</w:t>
            </w:r>
          </w:p>
        </w:tc>
        <w:tc>
          <w:tcPr>
            <w:tcW w:w="732"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p>
        </w:tc>
        <w:tc>
          <w:tcPr>
            <w:tcW w:w="1050" w:type="dxa"/>
            <w:vMerge w:val="continue"/>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p>
        </w:tc>
        <w:tc>
          <w:tcPr>
            <w:tcW w:w="1470"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供应能力证明</w:t>
            </w:r>
          </w:p>
        </w:tc>
        <w:tc>
          <w:tcPr>
            <w:tcW w:w="4170" w:type="dxa"/>
            <w:noWrap w:val="0"/>
            <w:vAlign w:val="center"/>
          </w:tcPr>
          <w:p>
            <w:pPr>
              <w:pageBreakBefore w:val="0"/>
              <w:widowControl/>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cs="宋体"/>
                <w:szCs w:val="21"/>
              </w:rPr>
              <w:t>投标人提供针对本项目设备的按时交货承诺函</w:t>
            </w:r>
            <w:r>
              <w:rPr>
                <w:rFonts w:hint="eastAsia" w:ascii="宋体" w:hAnsi="宋体" w:cs="宋体"/>
                <w:szCs w:val="21"/>
                <w:lang w:eastAsia="zh-CN"/>
              </w:rPr>
              <w:t>。</w:t>
            </w:r>
            <w:r>
              <w:rPr>
                <w:rFonts w:hint="eastAsia" w:ascii="宋体" w:hAnsi="宋体" w:cs="宋体"/>
                <w:szCs w:val="21"/>
              </w:rPr>
              <w:t>（具体交货时限以第六章合同协议书约定为准）</w:t>
            </w:r>
          </w:p>
        </w:tc>
        <w:tc>
          <w:tcPr>
            <w:tcW w:w="781" w:type="dxa"/>
            <w:noWrap w:val="0"/>
            <w:vAlign w:val="center"/>
          </w:tcPr>
          <w:p>
            <w:pPr>
              <w:pageBreakBefore w:val="0"/>
              <w:widowControl/>
              <w:kinsoku/>
              <w:wordWrap/>
              <w:overflowPunct/>
              <w:topLinePunct w:val="0"/>
              <w:bidi w:val="0"/>
              <w:snapToGrid/>
              <w:spacing w:line="360" w:lineRule="auto"/>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是</w:t>
            </w:r>
          </w:p>
        </w:tc>
      </w:tr>
    </w:tbl>
    <w:p>
      <w:pPr>
        <w:rPr>
          <w:rFonts w:hint="eastAsia"/>
        </w:rPr>
      </w:pPr>
    </w:p>
    <w:bookmarkEnd w:id="2"/>
    <w:bookmarkEnd w:id="3"/>
    <w:bookmarkEnd w:id="4"/>
    <w:bookmarkEnd w:id="5"/>
    <w:p>
      <w:pPr>
        <w:pStyle w:val="4"/>
        <w:pageBreakBefore w:val="0"/>
        <w:numPr>
          <w:ilvl w:val="0"/>
          <w:numId w:val="1"/>
        </w:numPr>
        <w:tabs>
          <w:tab w:val="left" w:pos="709"/>
        </w:tabs>
        <w:kinsoku/>
        <w:wordWrap/>
        <w:overflowPunct/>
        <w:topLinePunct w:val="0"/>
        <w:bidi w:val="0"/>
        <w:snapToGrid/>
        <w:spacing w:line="360" w:lineRule="auto"/>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★搬迁服务要求</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采购人的设备机房涉及到后期搬迁,本项目</w:t>
      </w:r>
      <w:r>
        <w:rPr>
          <w:rFonts w:hint="eastAsia" w:ascii="宋体" w:hAnsi="宋体" w:eastAsia="宋体" w:cs="宋体"/>
          <w:color w:val="000000"/>
          <w:sz w:val="24"/>
          <w:szCs w:val="24"/>
          <w:lang w:val="en-US" w:eastAsia="zh-CN"/>
        </w:rPr>
        <w:t>投标人</w:t>
      </w:r>
      <w:r>
        <w:rPr>
          <w:rFonts w:hint="eastAsia" w:ascii="宋体" w:hAnsi="宋体" w:eastAsia="宋体" w:cs="宋体"/>
          <w:color w:val="000000"/>
          <w:sz w:val="24"/>
          <w:szCs w:val="24"/>
        </w:rPr>
        <w:t>需负责将本次硬件设备配合采购人整体搬迁至新办公环境，并提供搬迁前的调研、搬迁实施、搬迁方案制定、设备运输、安装恢复等方面的实施。</w:t>
      </w:r>
    </w:p>
    <w:p>
      <w:pPr>
        <w:pStyle w:val="4"/>
        <w:pageBreakBefore w:val="0"/>
        <w:numPr>
          <w:ilvl w:val="0"/>
          <w:numId w:val="1"/>
        </w:numPr>
        <w:tabs>
          <w:tab w:val="left" w:pos="709"/>
        </w:tabs>
        <w:kinsoku/>
        <w:wordWrap/>
        <w:overflowPunct/>
        <w:topLinePunct w:val="0"/>
        <w:bidi w:val="0"/>
        <w:snapToGrid/>
        <w:spacing w:line="360" w:lineRule="auto"/>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★设备安装要求</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采购人所有购买的产品，按照采购人的要求由</w:t>
      </w:r>
      <w:r>
        <w:rPr>
          <w:rFonts w:hint="eastAsia" w:ascii="宋体" w:hAnsi="宋体" w:eastAsia="宋体" w:cs="宋体"/>
          <w:color w:val="000000"/>
          <w:sz w:val="24"/>
          <w:szCs w:val="24"/>
          <w:lang w:val="en-US" w:eastAsia="zh-CN"/>
        </w:rPr>
        <w:t>投标人</w:t>
      </w:r>
      <w:r>
        <w:rPr>
          <w:rFonts w:hint="eastAsia" w:ascii="宋体" w:hAnsi="宋体" w:eastAsia="宋体" w:cs="宋体"/>
          <w:color w:val="000000"/>
          <w:sz w:val="24"/>
          <w:szCs w:val="24"/>
        </w:rPr>
        <w:t>配合完成硬件产品的安装、调试及线缆铺设、标签打印黏贴等工作，并按照采购人需求配合完成系统初始化配置等工作。</w:t>
      </w:r>
    </w:p>
    <w:p>
      <w:pPr>
        <w:pStyle w:val="4"/>
        <w:pageBreakBefore w:val="0"/>
        <w:numPr>
          <w:ilvl w:val="0"/>
          <w:numId w:val="1"/>
        </w:numPr>
        <w:tabs>
          <w:tab w:val="left" w:pos="709"/>
        </w:tabs>
        <w:kinsoku/>
        <w:wordWrap/>
        <w:overflowPunct/>
        <w:topLinePunct w:val="0"/>
        <w:bidi w:val="0"/>
        <w:snapToGrid/>
        <w:spacing w:line="360" w:lineRule="auto"/>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商品包装材料环保要求</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1、项目实施过程中，各种设备材料涉及到商品包装的，应满足以下要求：</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（1）商品包装层数不得超过3层，空隙率不大于40%；</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（2）商品包装尽可能使用单一材质的包装材料，如因功能需求必需使用不同材质，不同材质间应便于分离；</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（3）商品包装中铅、汞、镉、六价铬的总含量应不大于100mg/kg；</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（4）商品包装印刷使用的油墨中挥发性有机化合物（VOCs）含量应不大于5%（以重量计）；</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（5）塑料材质商品包装上呈现的印刷颜色不得超过6色；</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（6）纸质商品包装应使用75%以上的可再生纤维原料生产；</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（7）木质商品包装的原料应来源于可持续性森林。</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2、商品包装中重金属（铅、汞、镉、六价铬）总量的检测应按照GB/T 10004-2008《包装用塑料复合膜、袋干法复合、挤出复合》规定的方法进行。</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3、商品包装印刷使用的油墨中挥发性有机化合物（VOCs）的检测应按照GB/T 23986-2009《色漆和清漆挥发性有机化合物（VOC）含量的测定气相色谱法》规定的方法进行。</w:t>
      </w:r>
    </w:p>
    <w:p>
      <w:pPr>
        <w:pStyle w:val="4"/>
        <w:pageBreakBefore w:val="0"/>
        <w:numPr>
          <w:ilvl w:val="0"/>
          <w:numId w:val="1"/>
        </w:numPr>
        <w:tabs>
          <w:tab w:val="left" w:pos="709"/>
        </w:tabs>
        <w:kinsoku/>
        <w:wordWrap/>
        <w:overflowPunct/>
        <w:topLinePunct w:val="0"/>
        <w:bidi w:val="0"/>
        <w:snapToGrid/>
        <w:spacing w:line="360" w:lineRule="auto"/>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★交付时间与地点</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合同签订后5天内供货，供货后10天内完成安装调试，试运行不少于30天。试运行期满后进行合同验收。</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交付地点（最终交货地点）：北京市海淀区翠微路甲3号。</w:t>
      </w:r>
    </w:p>
    <w:p>
      <w:pPr>
        <w:pStyle w:val="4"/>
        <w:pageBreakBefore w:val="0"/>
        <w:numPr>
          <w:ilvl w:val="0"/>
          <w:numId w:val="1"/>
        </w:numPr>
        <w:tabs>
          <w:tab w:val="left" w:pos="709"/>
        </w:tabs>
        <w:kinsoku/>
        <w:wordWrap/>
        <w:overflowPunct/>
        <w:topLinePunct w:val="0"/>
        <w:bidi w:val="0"/>
        <w:snapToGrid/>
        <w:spacing w:line="360" w:lineRule="auto"/>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支付方式</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 合同类型及定价方式</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（1）合同类型：买卖合同。</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（2）定价方式：固定单价。</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3）合同价款：合同价款包括合同硬件设备采购、包装运输、安装、调试、试运行、验收、售后服务以及技术资料、技术服务等费用，还包括合同项目的利润、应缴纳的税费以及各种保险费、人工费、管理费等与本合同有关的所有费用。</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 xml:space="preserve">2 </w:t>
      </w:r>
      <w:r>
        <w:rPr>
          <w:rFonts w:hint="eastAsia" w:ascii="宋体" w:hAnsi="宋体" w:eastAsia="宋体" w:cs="宋体"/>
          <w:color w:val="000000"/>
          <w:sz w:val="24"/>
          <w:szCs w:val="24"/>
        </w:rPr>
        <w:t>付款</w:t>
      </w:r>
      <w:r>
        <w:rPr>
          <w:rFonts w:hint="eastAsia" w:ascii="宋体" w:hAnsi="宋体" w:eastAsia="宋体" w:cs="宋体"/>
          <w:color w:val="000000"/>
          <w:sz w:val="24"/>
          <w:szCs w:val="24"/>
          <w:lang w:val="zh-CN"/>
        </w:rPr>
        <w:t>方式</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2.1本合同以人民币结算，付款进度和比例如下：</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（1）合同签订后15天内，支付合同价款的70%。</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（2）合同验收合格后，由采购人或政府主管机关对合同结算价进行审核，审核通过后15天内，支付合同</w:t>
      </w:r>
      <w:r>
        <w:rPr>
          <w:rFonts w:hint="eastAsia" w:ascii="宋体" w:hAnsi="宋体" w:eastAsia="宋体" w:cs="宋体"/>
          <w:color w:val="000000"/>
          <w:sz w:val="24"/>
          <w:szCs w:val="24"/>
          <w:lang w:val="en-US" w:eastAsia="zh-CN"/>
        </w:rPr>
        <w:t>剩余价款</w:t>
      </w:r>
      <w:r>
        <w:rPr>
          <w:rFonts w:hint="eastAsia" w:ascii="宋体" w:hAnsi="宋体" w:eastAsia="宋体" w:cs="宋体"/>
          <w:color w:val="000000"/>
          <w:sz w:val="24"/>
          <w:szCs w:val="24"/>
          <w:lang w:val="zh-CN"/>
        </w:rPr>
        <w:t>。</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2.2付款方式：转账支票或汇款。</w:t>
      </w:r>
    </w:p>
    <w:p>
      <w:pPr>
        <w:pStyle w:val="4"/>
        <w:pageBreakBefore w:val="0"/>
        <w:numPr>
          <w:ilvl w:val="0"/>
          <w:numId w:val="1"/>
        </w:numPr>
        <w:tabs>
          <w:tab w:val="left" w:pos="709"/>
        </w:tabs>
        <w:kinsoku/>
        <w:wordWrap/>
        <w:overflowPunct/>
        <w:topLinePunct w:val="0"/>
        <w:bidi w:val="0"/>
        <w:snapToGrid/>
        <w:spacing w:line="360" w:lineRule="auto"/>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★售后服务</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产品的</w:t>
      </w:r>
      <w:r>
        <w:rPr>
          <w:rFonts w:hint="eastAsia" w:ascii="宋体" w:hAnsi="宋体" w:eastAsia="宋体" w:cs="宋体"/>
          <w:color w:val="000000"/>
          <w:sz w:val="24"/>
          <w:szCs w:val="24"/>
          <w:lang w:val="en-US" w:eastAsia="zh-CN"/>
        </w:rPr>
        <w:t>投标人</w:t>
      </w:r>
      <w:r>
        <w:rPr>
          <w:rFonts w:hint="eastAsia" w:ascii="宋体" w:hAnsi="宋体" w:eastAsia="宋体" w:cs="宋体"/>
          <w:color w:val="000000"/>
          <w:sz w:val="24"/>
          <w:szCs w:val="24"/>
        </w:rPr>
        <w:t>须配</w:t>
      </w:r>
      <w:r>
        <w:rPr>
          <w:rFonts w:hint="eastAsia" w:ascii="宋体" w:hAnsi="宋体" w:eastAsia="宋体" w:cs="宋体"/>
          <w:color w:val="auto"/>
          <w:sz w:val="24"/>
          <w:szCs w:val="24"/>
        </w:rPr>
        <w:t>合采购</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落实</w:t>
      </w:r>
      <w:r>
        <w:rPr>
          <w:rFonts w:hint="eastAsia" w:ascii="宋体" w:hAnsi="宋体" w:eastAsia="宋体" w:cs="宋体"/>
          <w:color w:val="auto"/>
          <w:sz w:val="24"/>
          <w:szCs w:val="24"/>
          <w:highlight w:val="none"/>
        </w:rPr>
        <w:t>所</w:t>
      </w:r>
      <w:r>
        <w:rPr>
          <w:rFonts w:hint="eastAsia" w:ascii="宋体" w:hAnsi="宋体" w:eastAsia="宋体" w:cs="宋体"/>
          <w:color w:val="000000"/>
          <w:sz w:val="24"/>
          <w:szCs w:val="24"/>
        </w:rPr>
        <w:t>有售后服务，所购产品对应的售后技术支持人员不能少于2名。</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质保期：</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中标人</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eastAsia="zh-CN"/>
        </w:rPr>
        <w:t>安装调试完成后，设备试运行开始之日起</w:t>
      </w:r>
      <w:r>
        <w:rPr>
          <w:rFonts w:hint="eastAsia" w:ascii="宋体" w:hAnsi="宋体" w:eastAsia="宋体" w:cs="宋体"/>
          <w:color w:val="000000"/>
          <w:sz w:val="24"/>
          <w:szCs w:val="24"/>
          <w:highlight w:val="none"/>
        </w:rPr>
        <w:t>，提供3年7*24</w:t>
      </w:r>
      <w:r>
        <w:rPr>
          <w:rFonts w:hint="eastAsia" w:ascii="宋体" w:hAnsi="宋体" w:eastAsia="宋体" w:cs="宋体"/>
          <w:color w:val="000000"/>
          <w:sz w:val="24"/>
          <w:szCs w:val="24"/>
          <w:highlight w:val="none"/>
          <w:lang w:val="en-US" w:eastAsia="zh-CN"/>
        </w:rPr>
        <w:t>小时</w:t>
      </w:r>
      <w:r>
        <w:rPr>
          <w:rFonts w:hint="eastAsia" w:ascii="宋体" w:hAnsi="宋体" w:eastAsia="宋体" w:cs="宋体"/>
          <w:color w:val="000000"/>
          <w:sz w:val="24"/>
          <w:szCs w:val="24"/>
          <w:highlight w:val="none"/>
        </w:rPr>
        <w:t>技术支持。</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3.如果</w:t>
      </w:r>
      <w:r>
        <w:rPr>
          <w:rFonts w:hint="eastAsia" w:ascii="宋体" w:hAnsi="宋体" w:eastAsia="宋体" w:cs="宋体"/>
          <w:color w:val="000000"/>
          <w:sz w:val="24"/>
          <w:szCs w:val="24"/>
          <w:highlight w:val="none"/>
          <w:lang w:val="en-US" w:eastAsia="zh-CN"/>
        </w:rPr>
        <w:t>中标人</w:t>
      </w:r>
      <w:r>
        <w:rPr>
          <w:rFonts w:hint="eastAsia" w:ascii="宋体" w:hAnsi="宋体" w:eastAsia="宋体" w:cs="宋体"/>
          <w:color w:val="000000"/>
          <w:sz w:val="24"/>
          <w:szCs w:val="24"/>
          <w:highlight w:val="none"/>
        </w:rPr>
        <w:t>未在规定时间内按照要求提供服务，采购人有权要求寻找第三方进行解决。由上发生的一切费用由</w:t>
      </w:r>
      <w:r>
        <w:rPr>
          <w:rFonts w:hint="eastAsia" w:ascii="宋体" w:hAnsi="宋体" w:eastAsia="宋体" w:cs="宋体"/>
          <w:color w:val="000000"/>
          <w:sz w:val="24"/>
          <w:szCs w:val="24"/>
          <w:highlight w:val="none"/>
          <w:lang w:val="en-US" w:eastAsia="zh-CN"/>
        </w:rPr>
        <w:t>中标人</w:t>
      </w:r>
      <w:r>
        <w:rPr>
          <w:rFonts w:hint="eastAsia" w:ascii="宋体" w:hAnsi="宋体" w:eastAsia="宋体" w:cs="宋体"/>
          <w:color w:val="000000"/>
          <w:sz w:val="24"/>
          <w:szCs w:val="24"/>
          <w:highlight w:val="none"/>
        </w:rPr>
        <w:t>负担。</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color w:val="000000"/>
          <w:sz w:val="24"/>
          <w:szCs w:val="24"/>
          <w:highlight w:val="none"/>
          <w:lang w:val="en-US" w:eastAsia="zh-CN"/>
        </w:rPr>
        <w:t>中标人</w:t>
      </w:r>
      <w:r>
        <w:rPr>
          <w:rFonts w:hint="eastAsia" w:ascii="宋体" w:hAnsi="宋体" w:eastAsia="宋体" w:cs="宋体"/>
          <w:color w:val="000000"/>
          <w:sz w:val="24"/>
          <w:szCs w:val="24"/>
        </w:rPr>
        <w:t>必须保证，硬件设备在保修期内由于设备本身质量原因造成的任何易损、损伤或损坏，</w:t>
      </w:r>
      <w:r>
        <w:rPr>
          <w:rFonts w:hint="eastAsia" w:ascii="宋体" w:hAnsi="宋体" w:eastAsia="宋体" w:cs="宋体"/>
          <w:color w:val="000000"/>
          <w:sz w:val="24"/>
          <w:szCs w:val="24"/>
          <w:lang w:val="en-US" w:eastAsia="zh-CN"/>
        </w:rPr>
        <w:t>中标人应</w:t>
      </w:r>
      <w:r>
        <w:rPr>
          <w:rFonts w:hint="eastAsia" w:ascii="宋体" w:hAnsi="宋体" w:eastAsia="宋体" w:cs="宋体"/>
          <w:color w:val="000000"/>
          <w:sz w:val="24"/>
          <w:szCs w:val="24"/>
        </w:rPr>
        <w:t>负责修理或更换</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费用包含在投标报价中）</w:t>
      </w:r>
      <w:r>
        <w:rPr>
          <w:rFonts w:hint="eastAsia" w:ascii="宋体" w:hAnsi="宋体" w:eastAsia="宋体" w:cs="宋体"/>
          <w:color w:val="000000"/>
          <w:sz w:val="24"/>
          <w:szCs w:val="24"/>
        </w:rPr>
        <w:t>。</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5.中标人：由于采购人涉及后期机房迁移，</w:t>
      </w:r>
      <w:r>
        <w:rPr>
          <w:rFonts w:hint="eastAsia" w:ascii="宋体" w:hAnsi="宋体" w:eastAsia="宋体" w:cs="宋体"/>
          <w:color w:val="000000"/>
          <w:sz w:val="24"/>
          <w:szCs w:val="24"/>
          <w:highlight w:val="none"/>
          <w:lang w:val="en-US" w:eastAsia="zh-CN"/>
        </w:rPr>
        <w:t>中标人</w:t>
      </w:r>
      <w:r>
        <w:rPr>
          <w:rFonts w:hint="eastAsia" w:ascii="宋体" w:hAnsi="宋体" w:eastAsia="宋体" w:cs="宋体"/>
          <w:color w:val="000000"/>
          <w:sz w:val="24"/>
          <w:szCs w:val="24"/>
        </w:rPr>
        <w:t>需提供一次硬件搬迁服务</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费用包含在投标报价中）</w:t>
      </w:r>
      <w:r>
        <w:rPr>
          <w:rFonts w:hint="eastAsia" w:ascii="宋体" w:hAnsi="宋体" w:eastAsia="宋体" w:cs="宋体"/>
          <w:color w:val="000000"/>
          <w:sz w:val="24"/>
          <w:szCs w:val="24"/>
        </w:rPr>
        <w:t>。</w:t>
      </w:r>
    </w:p>
    <w:p>
      <w:pPr>
        <w:pStyle w:val="4"/>
        <w:pageBreakBefore w:val="0"/>
        <w:numPr>
          <w:ilvl w:val="0"/>
          <w:numId w:val="1"/>
        </w:numPr>
        <w:tabs>
          <w:tab w:val="left" w:pos="709"/>
        </w:tabs>
        <w:kinsoku/>
        <w:wordWrap/>
        <w:overflowPunct/>
        <w:topLinePunct w:val="0"/>
        <w:bidi w:val="0"/>
        <w:snapToGrid/>
        <w:spacing w:line="360" w:lineRule="auto"/>
        <w:jc w:val="both"/>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★验收服务要求</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1.设备开箱检验在安装现场进行。设备由</w:t>
      </w:r>
      <w:r>
        <w:rPr>
          <w:rFonts w:hint="eastAsia" w:ascii="宋体" w:hAnsi="宋体" w:eastAsia="宋体" w:cs="宋体"/>
          <w:color w:val="000000"/>
          <w:sz w:val="24"/>
          <w:szCs w:val="24"/>
          <w:highlight w:val="none"/>
          <w:lang w:val="en-US" w:eastAsia="zh-CN"/>
        </w:rPr>
        <w:t>中标人</w:t>
      </w:r>
      <w:r>
        <w:rPr>
          <w:rFonts w:hint="eastAsia" w:ascii="宋体" w:hAnsi="宋体" w:eastAsia="宋体" w:cs="宋体"/>
          <w:color w:val="000000"/>
          <w:sz w:val="24"/>
          <w:szCs w:val="24"/>
        </w:rPr>
        <w:t>运输到安装现场进行卸车后，采购人与</w:t>
      </w:r>
      <w:r>
        <w:rPr>
          <w:rFonts w:hint="eastAsia" w:ascii="宋体" w:hAnsi="宋体" w:eastAsia="宋体" w:cs="宋体"/>
          <w:color w:val="000000"/>
          <w:sz w:val="24"/>
          <w:szCs w:val="24"/>
          <w:highlight w:val="none"/>
          <w:lang w:val="en-US" w:eastAsia="zh-CN"/>
        </w:rPr>
        <w:t>中标人</w:t>
      </w:r>
      <w:r>
        <w:rPr>
          <w:rFonts w:hint="eastAsia" w:ascii="宋体" w:hAnsi="宋体" w:eastAsia="宋体" w:cs="宋体"/>
          <w:color w:val="000000"/>
          <w:sz w:val="24"/>
          <w:szCs w:val="24"/>
        </w:rPr>
        <w:t>进行设备检验。</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highlight w:val="none"/>
          <w:lang w:val="en-US" w:eastAsia="zh-CN"/>
        </w:rPr>
        <w:t>中标人</w:t>
      </w:r>
      <w:r>
        <w:rPr>
          <w:rFonts w:hint="eastAsia" w:ascii="宋体" w:hAnsi="宋体" w:eastAsia="宋体" w:cs="宋体"/>
          <w:color w:val="000000"/>
          <w:sz w:val="24"/>
          <w:szCs w:val="24"/>
        </w:rPr>
        <w:t>应在开箱前3天书</w:t>
      </w:r>
      <w:bookmarkStart w:id="6" w:name="_GoBack"/>
      <w:bookmarkEnd w:id="6"/>
      <w:r>
        <w:rPr>
          <w:rFonts w:hint="eastAsia" w:ascii="宋体" w:hAnsi="宋体" w:eastAsia="宋体" w:cs="宋体"/>
          <w:color w:val="000000"/>
          <w:sz w:val="24"/>
          <w:szCs w:val="24"/>
        </w:rPr>
        <w:t>面通知采购人。</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3.设备开箱检验工作由采购人主持。采购人按设备订货清单、发货清单与</w:t>
      </w:r>
      <w:r>
        <w:rPr>
          <w:rFonts w:hint="eastAsia" w:ascii="宋体" w:hAnsi="宋体" w:eastAsia="宋体" w:cs="宋体"/>
          <w:color w:val="000000"/>
          <w:sz w:val="24"/>
          <w:szCs w:val="24"/>
          <w:highlight w:val="none"/>
          <w:lang w:val="en-US" w:eastAsia="zh-CN"/>
        </w:rPr>
        <w:t>中标人</w:t>
      </w:r>
      <w:r>
        <w:rPr>
          <w:rFonts w:hint="eastAsia" w:ascii="宋体" w:hAnsi="宋体" w:eastAsia="宋体" w:cs="宋体"/>
          <w:color w:val="000000"/>
          <w:sz w:val="24"/>
          <w:szCs w:val="24"/>
        </w:rPr>
        <w:t>代表共同进行检查、清点。各项工作完毕后由采购人和</w:t>
      </w:r>
      <w:r>
        <w:rPr>
          <w:rFonts w:hint="eastAsia" w:ascii="宋体" w:hAnsi="宋体" w:eastAsia="宋体" w:cs="宋体"/>
          <w:color w:val="000000"/>
          <w:sz w:val="24"/>
          <w:szCs w:val="24"/>
          <w:highlight w:val="none"/>
          <w:lang w:val="en-US" w:eastAsia="zh-CN"/>
        </w:rPr>
        <w:t>中标人</w:t>
      </w:r>
      <w:r>
        <w:rPr>
          <w:rFonts w:hint="eastAsia" w:ascii="宋体" w:hAnsi="宋体" w:eastAsia="宋体" w:cs="宋体"/>
          <w:color w:val="000000"/>
          <w:sz w:val="24"/>
          <w:szCs w:val="24"/>
        </w:rPr>
        <w:t>会签设备开箱检验记录。开箱检验的日期即为该设备的交货日期。</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4.全部设备已按合同规定完成到货、签收、安装、调试、试运行，质量符合要求，经</w:t>
      </w:r>
      <w:r>
        <w:rPr>
          <w:rFonts w:hint="eastAsia" w:ascii="宋体" w:hAnsi="宋体" w:eastAsia="宋体" w:cs="宋体"/>
          <w:color w:val="000000"/>
          <w:sz w:val="24"/>
          <w:szCs w:val="24"/>
          <w:highlight w:val="none"/>
          <w:lang w:val="en-US" w:eastAsia="zh-CN"/>
        </w:rPr>
        <w:t>中标人</w:t>
      </w:r>
      <w:r>
        <w:rPr>
          <w:rFonts w:hint="eastAsia" w:ascii="宋体" w:hAnsi="宋体" w:eastAsia="宋体" w:cs="宋体"/>
          <w:color w:val="000000"/>
          <w:sz w:val="24"/>
          <w:szCs w:val="24"/>
        </w:rPr>
        <w:t>申请，采购人批准后，才能进行合同验收。</w:t>
      </w:r>
    </w:p>
    <w:p>
      <w:pPr>
        <w:pageBreakBefore w:val="0"/>
        <w:kinsoku/>
        <w:wordWrap/>
        <w:overflowPunct/>
        <w:topLinePunct w:val="0"/>
        <w:bidi w:val="0"/>
        <w:snapToGrid/>
        <w:spacing w:line="360" w:lineRule="auto"/>
        <w:ind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5.合同验收由采购人组织，依据技术标准规范、合同文件对最终交付设备的技术性能和商务履约情况进行验收。采购人有权邀请相关专业人员或者委托第三方验收。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F5A8A9"/>
    <w:multiLevelType w:val="singleLevel"/>
    <w:tmpl w:val="19F5A8A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lMTk1ZjM0MDA1ODRiMjA1ZTdmNmEzMGU2ZTAzMmUifQ=="/>
  </w:docVars>
  <w:rsids>
    <w:rsidRoot w:val="6C2E1A07"/>
    <w:rsid w:val="5A661671"/>
    <w:rsid w:val="6C2E1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autoRedefine/>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tabs>
        <w:tab w:val="left" w:pos="567"/>
      </w:tabs>
      <w:spacing w:before="120" w:line="22" w:lineRule="atLeast"/>
    </w:pPr>
    <w:rPr>
      <w:rFonts w:ascii="宋体" w:hAnsi="宋体"/>
      <w:sz w:val="24"/>
    </w:rPr>
  </w:style>
  <w:style w:type="paragraph" w:styleId="3">
    <w:name w:val="Body Text 2"/>
    <w:basedOn w:val="1"/>
    <w:autoRedefine/>
    <w:semiHidden/>
    <w:unhideWhenUsed/>
    <w:qFormat/>
    <w:uiPriority w:val="99"/>
    <w:pPr>
      <w:spacing w:after="120" w:line="480"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2024-03-11T03:34:00Z</dcterms:created>
  <dc:creator>Sonny</dc:creator>
  <cp:lastModifiedBy>Sonny</cp:lastModifiedBy>
  <dcterms:modified xsi:type="dcterms:W3CDTF">2024-03-11T08:09:07Z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BDC5B1FCC73C4E238086A3C6EE675244_11</vt:lpwstr>
  </property>
</Properties>
</file>