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b/>
          <w:sz w:val="36"/>
          <w:szCs w:val="36"/>
        </w:rPr>
      </w:pPr>
      <w:r>
        <w:rPr>
          <w:b/>
          <w:sz w:val="36"/>
          <w:szCs w:val="36"/>
        </w:rPr>
        <w:t>采购需求</w:t>
      </w:r>
    </w:p>
    <w:p>
      <w:pPr>
        <w:numPr>
          <w:ilvl w:val="0"/>
          <w:numId w:val="1"/>
        </w:num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需求概述</w:t>
      </w:r>
    </w:p>
    <w:tbl>
      <w:tblPr>
        <w:tblStyle w:val="7"/>
        <w:tblW w:w="8773" w:type="dxa"/>
        <w:tblInd w:w="91" w:type="dxa"/>
        <w:tblLayout w:type="fixed"/>
        <w:tblCellMar>
          <w:top w:w="0" w:type="dxa"/>
          <w:left w:w="108" w:type="dxa"/>
          <w:bottom w:w="0" w:type="dxa"/>
          <w:right w:w="108" w:type="dxa"/>
        </w:tblCellMar>
      </w:tblPr>
      <w:tblGrid>
        <w:gridCol w:w="442"/>
        <w:gridCol w:w="1538"/>
        <w:gridCol w:w="762"/>
        <w:gridCol w:w="1027"/>
        <w:gridCol w:w="1131"/>
        <w:gridCol w:w="1500"/>
        <w:gridCol w:w="1037"/>
        <w:gridCol w:w="1336"/>
      </w:tblGrid>
      <w:tr>
        <w:tblPrEx>
          <w:tblLayout w:type="fixed"/>
          <w:tblCellMar>
            <w:top w:w="0" w:type="dxa"/>
            <w:left w:w="108" w:type="dxa"/>
            <w:bottom w:w="0" w:type="dxa"/>
            <w:right w:w="108" w:type="dxa"/>
          </w:tblCellMar>
        </w:tblPrEx>
        <w:trPr>
          <w:trHeight w:val="283" w:hRule="atLeast"/>
        </w:trPr>
        <w:tc>
          <w:tcPr>
            <w:tcW w:w="442" w:type="dxa"/>
            <w:tcBorders>
              <w:top w:val="single" w:color="000000" w:sz="8" w:space="0"/>
              <w:left w:val="single" w:color="000000" w:sz="8" w:space="0"/>
              <w:bottom w:val="single" w:color="000000" w:sz="8" w:space="0"/>
              <w:right w:val="single" w:color="000000" w:sz="8" w:space="0"/>
            </w:tcBorders>
            <w:shd w:val="clear" w:color="auto" w:fill="CFCECE"/>
            <w:vAlign w:val="center"/>
          </w:tcPr>
          <w:p>
            <w:pPr>
              <w:widowControl/>
              <w:jc w:val="center"/>
              <w:textAlignment w:val="top"/>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序号</w:t>
            </w:r>
          </w:p>
        </w:tc>
        <w:tc>
          <w:tcPr>
            <w:tcW w:w="1538" w:type="dxa"/>
            <w:tcBorders>
              <w:top w:val="single" w:color="000000" w:sz="8" w:space="0"/>
              <w:left w:val="single" w:color="000000" w:sz="8" w:space="0"/>
              <w:bottom w:val="single" w:color="000000" w:sz="8" w:space="0"/>
              <w:right w:val="single" w:color="000000" w:sz="8" w:space="0"/>
            </w:tcBorders>
            <w:shd w:val="clear" w:color="auto" w:fill="CFCECE"/>
            <w:vAlign w:val="center"/>
          </w:tcPr>
          <w:p>
            <w:pPr>
              <w:widowControl/>
              <w:jc w:val="center"/>
              <w:textAlignment w:val="top"/>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货品名称</w:t>
            </w:r>
          </w:p>
        </w:tc>
        <w:tc>
          <w:tcPr>
            <w:tcW w:w="762" w:type="dxa"/>
            <w:tcBorders>
              <w:top w:val="single" w:color="000000" w:sz="8" w:space="0"/>
              <w:left w:val="single" w:color="000000" w:sz="8" w:space="0"/>
              <w:bottom w:val="single" w:color="000000" w:sz="8" w:space="0"/>
              <w:right w:val="single" w:color="000000" w:sz="8" w:space="0"/>
            </w:tcBorders>
            <w:shd w:val="clear" w:color="auto" w:fill="CFCECE"/>
            <w:vAlign w:val="center"/>
          </w:tcPr>
          <w:p>
            <w:pPr>
              <w:widowControl/>
              <w:jc w:val="center"/>
              <w:textAlignment w:val="top"/>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数</w:t>
            </w:r>
            <w:r>
              <w:rPr>
                <w:rStyle w:val="9"/>
                <w:rFonts w:ascii="宋体" w:hAnsi="宋体" w:eastAsia="宋体" w:cs="宋体"/>
                <w:b/>
                <w:bCs/>
                <w:color w:val="000000" w:themeColor="text1"/>
                <w:sz w:val="24"/>
                <w:szCs w:val="24"/>
                <w:lang w:bidi="ar"/>
                <w14:textFill>
                  <w14:solidFill>
                    <w14:schemeClr w14:val="tx1"/>
                  </w14:solidFill>
                </w14:textFill>
              </w:rPr>
              <w:t>量</w:t>
            </w:r>
          </w:p>
        </w:tc>
        <w:tc>
          <w:tcPr>
            <w:tcW w:w="1027" w:type="dxa"/>
            <w:tcBorders>
              <w:top w:val="single" w:color="000000" w:sz="8" w:space="0"/>
              <w:left w:val="single" w:color="000000" w:sz="8" w:space="0"/>
              <w:bottom w:val="single" w:color="000000" w:sz="8" w:space="0"/>
              <w:right w:val="single" w:color="000000" w:sz="8" w:space="0"/>
            </w:tcBorders>
            <w:shd w:val="clear" w:color="auto" w:fill="CFCECE"/>
            <w:vAlign w:val="center"/>
          </w:tcPr>
          <w:p>
            <w:pPr>
              <w:widowControl/>
              <w:jc w:val="center"/>
              <w:textAlignment w:val="top"/>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单位</w:t>
            </w:r>
          </w:p>
        </w:tc>
        <w:tc>
          <w:tcPr>
            <w:tcW w:w="1131" w:type="dxa"/>
            <w:tcBorders>
              <w:top w:val="single" w:color="000000" w:sz="8" w:space="0"/>
              <w:left w:val="single" w:color="000000" w:sz="8" w:space="0"/>
              <w:bottom w:val="single" w:color="000000" w:sz="8" w:space="0"/>
              <w:right w:val="single" w:color="000000" w:sz="8" w:space="0"/>
            </w:tcBorders>
            <w:shd w:val="clear" w:color="auto" w:fill="CFCECE"/>
            <w:vAlign w:val="center"/>
          </w:tcPr>
          <w:p>
            <w:pPr>
              <w:widowControl/>
              <w:jc w:val="center"/>
              <w:textAlignment w:val="top"/>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预算单价</w:t>
            </w:r>
          </w:p>
          <w:p>
            <w:pPr>
              <w:pStyle w:val="2"/>
              <w:ind w:firstLine="0"/>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（万元）</w:t>
            </w:r>
          </w:p>
        </w:tc>
        <w:tc>
          <w:tcPr>
            <w:tcW w:w="1500" w:type="dxa"/>
            <w:tcBorders>
              <w:top w:val="single" w:color="000000" w:sz="8" w:space="0"/>
              <w:left w:val="single" w:color="000000" w:sz="8" w:space="0"/>
              <w:bottom w:val="single" w:color="000000" w:sz="8" w:space="0"/>
              <w:right w:val="single" w:color="000000" w:sz="8" w:space="0"/>
            </w:tcBorders>
            <w:shd w:val="clear" w:color="auto" w:fill="CFCECE"/>
            <w:vAlign w:val="center"/>
          </w:tcPr>
          <w:p>
            <w:pPr>
              <w:widowControl/>
              <w:jc w:val="center"/>
              <w:textAlignment w:val="top"/>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预算合计</w:t>
            </w:r>
            <w:r>
              <w:rPr>
                <w:rFonts w:hint="eastAsia" w:ascii="宋体" w:hAnsi="宋体" w:cs="宋体"/>
                <w:b/>
                <w:bCs/>
                <w:color w:val="000000" w:themeColor="text1"/>
                <w:sz w:val="24"/>
                <w14:textFill>
                  <w14:solidFill>
                    <w14:schemeClr w14:val="tx1"/>
                  </w14:solidFill>
                </w14:textFill>
              </w:rPr>
              <w:t>（万元）</w:t>
            </w:r>
          </w:p>
        </w:tc>
        <w:tc>
          <w:tcPr>
            <w:tcW w:w="1037" w:type="dxa"/>
            <w:tcBorders>
              <w:top w:val="single" w:color="000000" w:sz="8" w:space="0"/>
              <w:left w:val="single" w:color="000000" w:sz="8" w:space="0"/>
              <w:bottom w:val="single" w:color="000000" w:sz="8" w:space="0"/>
              <w:right w:val="single" w:color="000000" w:sz="8" w:space="0"/>
            </w:tcBorders>
            <w:shd w:val="clear" w:color="auto" w:fill="CFCECE"/>
          </w:tcPr>
          <w:p>
            <w:pPr>
              <w:widowControl/>
              <w:jc w:val="center"/>
              <w:textAlignment w:val="top"/>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中小企业划型</w:t>
            </w:r>
          </w:p>
        </w:tc>
        <w:tc>
          <w:tcPr>
            <w:tcW w:w="1336" w:type="dxa"/>
            <w:tcBorders>
              <w:top w:val="single" w:color="000000" w:sz="8" w:space="0"/>
              <w:left w:val="single" w:color="000000" w:sz="8" w:space="0"/>
              <w:bottom w:val="single" w:color="000000" w:sz="8" w:space="0"/>
              <w:right w:val="single" w:color="000000" w:sz="8" w:space="0"/>
            </w:tcBorders>
            <w:shd w:val="clear" w:color="auto" w:fill="CFCECE"/>
            <w:vAlign w:val="center"/>
          </w:tcPr>
          <w:p>
            <w:pPr>
              <w:widowControl/>
              <w:jc w:val="center"/>
              <w:textAlignment w:val="top"/>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货品类型</w:t>
            </w:r>
          </w:p>
        </w:tc>
      </w:tr>
      <w:tr>
        <w:tblPrEx>
          <w:tblLayout w:type="fixed"/>
          <w:tblCellMar>
            <w:top w:w="0" w:type="dxa"/>
            <w:left w:w="108" w:type="dxa"/>
            <w:bottom w:w="0" w:type="dxa"/>
            <w:right w:w="108" w:type="dxa"/>
          </w:tblCellMar>
        </w:tblPrEx>
        <w:trPr>
          <w:trHeight w:val="782" w:hRule="atLeast"/>
        </w:trPr>
        <w:tc>
          <w:tcPr>
            <w:tcW w:w="44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w:t>
            </w:r>
          </w:p>
        </w:tc>
        <w:tc>
          <w:tcPr>
            <w:tcW w:w="153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集群服务器</w:t>
            </w:r>
          </w:p>
        </w:tc>
        <w:tc>
          <w:tcPr>
            <w:tcW w:w="76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17</w:t>
            </w:r>
          </w:p>
        </w:tc>
        <w:tc>
          <w:tcPr>
            <w:tcW w:w="1027"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c>
          <w:tcPr>
            <w:tcW w:w="1131"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9.65</w:t>
            </w:r>
          </w:p>
        </w:tc>
        <w:tc>
          <w:tcPr>
            <w:tcW w:w="1500"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164.05</w:t>
            </w:r>
          </w:p>
        </w:tc>
        <w:tc>
          <w:tcPr>
            <w:tcW w:w="1037"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工业</w:t>
            </w:r>
          </w:p>
        </w:tc>
        <w:tc>
          <w:tcPr>
            <w:tcW w:w="1336" w:type="dxa"/>
            <w:tcBorders>
              <w:top w:val="nil"/>
              <w:left w:val="single" w:color="000000" w:sz="8" w:space="0"/>
              <w:bottom w:val="single" w:color="000000" w:sz="8" w:space="0"/>
              <w:right w:val="single" w:color="000000" w:sz="8"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核心产品</w:t>
            </w:r>
          </w:p>
        </w:tc>
      </w:tr>
      <w:tr>
        <w:tblPrEx>
          <w:tblLayout w:type="fixed"/>
          <w:tblCellMar>
            <w:top w:w="0" w:type="dxa"/>
            <w:left w:w="108" w:type="dxa"/>
            <w:bottom w:w="0" w:type="dxa"/>
            <w:right w:w="108" w:type="dxa"/>
          </w:tblCellMar>
        </w:tblPrEx>
        <w:trPr>
          <w:trHeight w:val="782" w:hRule="atLeast"/>
        </w:trPr>
        <w:tc>
          <w:tcPr>
            <w:tcW w:w="442"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w:t>
            </w:r>
          </w:p>
        </w:tc>
        <w:tc>
          <w:tcPr>
            <w:tcW w:w="1538"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数据库服务器</w:t>
            </w:r>
          </w:p>
        </w:tc>
        <w:tc>
          <w:tcPr>
            <w:tcW w:w="762"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w:t>
            </w:r>
          </w:p>
        </w:tc>
        <w:tc>
          <w:tcPr>
            <w:tcW w:w="1027"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c>
          <w:tcPr>
            <w:tcW w:w="1131"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10.6</w:t>
            </w:r>
          </w:p>
        </w:tc>
        <w:tc>
          <w:tcPr>
            <w:tcW w:w="1500" w:type="dxa"/>
            <w:tcBorders>
              <w:top w:val="nil"/>
              <w:left w:val="single" w:color="000000" w:sz="8" w:space="0"/>
              <w:bottom w:val="single" w:color="auto" w:sz="4" w:space="0"/>
              <w:right w:val="single" w:color="000000" w:sz="8"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95.4</w:t>
            </w:r>
          </w:p>
        </w:tc>
        <w:tc>
          <w:tcPr>
            <w:tcW w:w="1037" w:type="dxa"/>
            <w:tcBorders>
              <w:top w:val="nil"/>
              <w:left w:val="single" w:color="000000" w:sz="8" w:space="0"/>
              <w:bottom w:val="single" w:color="auto" w:sz="4" w:space="0"/>
              <w:right w:val="single" w:color="000000" w:sz="8"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工业</w:t>
            </w:r>
          </w:p>
        </w:tc>
        <w:tc>
          <w:tcPr>
            <w:tcW w:w="1336" w:type="dxa"/>
            <w:tcBorders>
              <w:top w:val="nil"/>
              <w:left w:val="single" w:color="000000" w:sz="8" w:space="0"/>
              <w:bottom w:val="single" w:color="auto" w:sz="4" w:space="0"/>
              <w:right w:val="single" w:color="000000" w:sz="8"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非核心产品</w:t>
            </w:r>
          </w:p>
        </w:tc>
      </w:tr>
      <w:tr>
        <w:tblPrEx>
          <w:tblLayout w:type="fixed"/>
          <w:tblCellMar>
            <w:top w:w="0" w:type="dxa"/>
            <w:left w:w="108" w:type="dxa"/>
            <w:bottom w:w="0" w:type="dxa"/>
            <w:right w:w="108" w:type="dxa"/>
          </w:tblCellMar>
        </w:tblPrEx>
        <w:trPr>
          <w:trHeight w:val="90" w:hRule="atLeast"/>
        </w:trPr>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w:t>
            </w: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光盘存储设备</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w:t>
            </w: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台</w:t>
            </w: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45</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90</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工业</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非核心产品</w:t>
            </w:r>
          </w:p>
        </w:tc>
      </w:tr>
      <w:tr>
        <w:tblPrEx>
          <w:tblLayout w:type="fixed"/>
          <w:tblCellMar>
            <w:top w:w="0" w:type="dxa"/>
            <w:left w:w="108" w:type="dxa"/>
            <w:bottom w:w="0" w:type="dxa"/>
            <w:right w:w="108" w:type="dxa"/>
          </w:tblCellMar>
        </w:tblPrEx>
        <w:trPr>
          <w:trHeight w:val="782" w:hRule="atLeast"/>
        </w:trPr>
        <w:tc>
          <w:tcPr>
            <w:tcW w:w="4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总计</w:t>
            </w: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p>
        </w:tc>
        <w:tc>
          <w:tcPr>
            <w:tcW w:w="10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p>
        </w:tc>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349.45</w:t>
            </w:r>
          </w:p>
        </w:tc>
        <w:tc>
          <w:tcPr>
            <w:tcW w:w="1037" w:type="dxa"/>
            <w:tcBorders>
              <w:top w:val="single" w:color="auto" w:sz="4" w:space="0"/>
              <w:left w:val="single" w:color="auto" w:sz="4" w:space="0"/>
              <w:bottom w:val="single" w:color="auto" w:sz="4" w:space="0"/>
              <w:right w:val="single" w:color="auto" w:sz="4" w:space="0"/>
            </w:tcBorders>
          </w:tcPr>
          <w:p>
            <w:pPr>
              <w:widowControl/>
              <w:jc w:val="center"/>
              <w:textAlignment w:val="top"/>
              <w:rPr>
                <w:rFonts w:ascii="宋体" w:hAnsi="宋体" w:cs="宋体"/>
                <w:color w:val="000000" w:themeColor="text1"/>
                <w:kern w:val="0"/>
                <w:sz w:val="24"/>
                <w:lang w:bidi="ar"/>
                <w14:textFill>
                  <w14:solidFill>
                    <w14:schemeClr w14:val="tx1"/>
                  </w14:solidFill>
                </w14:textFill>
              </w:rPr>
            </w:pPr>
          </w:p>
        </w:tc>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ascii="宋体" w:hAnsi="宋体" w:cs="宋体"/>
                <w:color w:val="000000" w:themeColor="text1"/>
                <w:kern w:val="0"/>
                <w:sz w:val="24"/>
                <w:lang w:bidi="ar"/>
                <w14:textFill>
                  <w14:solidFill>
                    <w14:schemeClr w14:val="tx1"/>
                  </w14:solidFill>
                </w14:textFill>
              </w:rPr>
            </w:pPr>
          </w:p>
        </w:tc>
      </w:tr>
    </w:tbl>
    <w:p>
      <w:pPr>
        <w:pStyle w:val="2"/>
        <w:rPr>
          <w:rFonts w:hAnsi="宋体" w:cs="宋体"/>
          <w:color w:val="000000" w:themeColor="text1"/>
          <w14:textFill>
            <w14:solidFill>
              <w14:schemeClr w14:val="tx1"/>
            </w14:solidFill>
          </w14:textFill>
        </w:rPr>
      </w:pPr>
    </w:p>
    <w:p>
      <w:pPr>
        <w:numPr>
          <w:ilvl w:val="0"/>
          <w:numId w:val="1"/>
        </w:num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具体设备参数</w:t>
      </w:r>
    </w:p>
    <w:p>
      <w:pPr>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参数中带★的项为必须满足项。</w:t>
      </w:r>
    </w:p>
    <w:p>
      <w:pPr>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参数中带#的项为可满足项，如不满足该项，则无法获得该对应的评分。</w:t>
      </w:r>
    </w:p>
    <w:p>
      <w:pPr>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br w:type="page"/>
      </w:r>
    </w:p>
    <w:p>
      <w:pPr>
        <w:pStyle w:val="3"/>
        <w:numPr>
          <w:ilvl w:val="0"/>
          <w:numId w:val="2"/>
        </w:numPr>
        <w:spacing w:before="0" w:line="240" w:lineRule="auto"/>
        <w:ind w:firstLine="0"/>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集群服务器（核心产品）</w:t>
      </w:r>
    </w:p>
    <w:tbl>
      <w:tblPr>
        <w:tblStyle w:val="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09"/>
        <w:gridCol w:w="1276"/>
        <w:gridCol w:w="170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709"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w:t>
            </w:r>
          </w:p>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号</w:t>
            </w:r>
          </w:p>
        </w:tc>
        <w:tc>
          <w:tcPr>
            <w:tcW w:w="1276" w:type="dxa"/>
            <w:shd w:val="clear" w:color="auto" w:fill="FFFFFF" w:themeFill="background1"/>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指标分类</w:t>
            </w:r>
          </w:p>
        </w:tc>
        <w:tc>
          <w:tcPr>
            <w:tcW w:w="1701" w:type="dxa"/>
            <w:shd w:val="clear" w:color="auto" w:fill="FFFFFF" w:themeFill="background1"/>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指标名称</w:t>
            </w:r>
          </w:p>
        </w:tc>
        <w:tc>
          <w:tcPr>
            <w:tcW w:w="5528"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970"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整机规格要求</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★外观和结构</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a)服务器的零部件应紧固无松动，可插拔部件应可靠连接，开关、按钮和其它控制部件应灵活可靠，布局应方便使用；</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b) 产品表面不应有明显的凹痕、划伤、裂缝、变形和污染等。表面涂层均匀，不应起泡、龟裂、脱落和磨损，金属零部件无锈蚀及其它机械损伤；</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c) 产品表面说明功能的文字、符号和标志应清晰、端正且牢固；</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d) 应在服务器的显著位置提供运行状态的指示功能，并在随机文件中明确具体含义；</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e) 机架、机箱的尺寸应符合通用机柜的安装要求，插入总线插座的电路板接口外形尺寸应符合有关总线标准的规定，将机箱固定在机柜上，机箱底面最大下垂变形不得干涉相邻机体；</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f) 服务器尺寸具体要求在随机文件中明确；</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g）支持安装至600mm宽标准机柜；高度≤2U；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★尺寸（高</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×宽×深）</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供应商给出产品尺寸；</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设计应遵循标准化、系列化的要求；机箱的内部结构符合通用部件的安装需要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080"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★环境适应性</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气候环境适应性应符合 GB/T9813.3 的有关规定，工作温度 10～35℃，贮存运输温度-40～55℃；工作相对湿度 35%～80%，贮存运输相对湿度 20％～93%（40℃）；大气压86～106kPa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0"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★机械环境</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适应性</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机械环境适应性应符合 GB/T9813.3 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★噪声</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 GB/T 9813.3 的有关规定，在产品说明中给出具体测试值。塔式服务器噪声在空闲状态下不大于 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20"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276" w:type="dxa"/>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机柜规格</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★机柜尺寸</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供应商需提供长度、高度和深度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276" w:type="dxa"/>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CPU规格</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★CPU信息</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供应商给出 CPU 信息，包含 CPU 型号、物理核心数、主频、末级缓存容量、线程数、热设计功耗及支持内存的最高速率、通道数和位宽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9"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功能</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★计算处理</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支持通用计算及虚拟化功能。处理器需集成整型计算单元、浮点计算单元、内存控制器、I/O 模块等，处理器与存储部件、网络部件、I/O部件等组成计算系统，提供数据处理、网络接入等计算相关功能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810" w:hRule="atLeast"/>
        </w:trPr>
        <w:tc>
          <w:tcPr>
            <w:tcW w:w="709" w:type="dxa"/>
            <w:shd w:val="clear" w:color="auto" w:fill="FFFFFF" w:themeFill="background1"/>
            <w:vAlign w:val="center"/>
          </w:tcPr>
          <w:p>
            <w:pPr>
              <w:widowControl/>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9</w:t>
            </w:r>
          </w:p>
        </w:tc>
        <w:tc>
          <w:tcPr>
            <w:tcW w:w="1276" w:type="dxa"/>
            <w:vMerge w:val="continue"/>
            <w:shd w:val="clear" w:color="auto" w:fill="FFFFFF" w:themeFill="background1"/>
            <w:vAlign w:val="center"/>
          </w:tcPr>
          <w:p>
            <w:pPr>
              <w:widowControl/>
              <w:jc w:val="center"/>
              <w:rPr>
                <w:rFonts w:hint="eastAsia"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★密码算法实现</w:t>
            </w:r>
          </w:p>
        </w:tc>
        <w:tc>
          <w:tcPr>
            <w:tcW w:w="5528" w:type="dxa"/>
            <w:shd w:val="clear" w:color="auto" w:fill="FFFFFF" w:themeFill="background1"/>
            <w:vAlign w:val="center"/>
          </w:tcPr>
          <w:p>
            <w:pPr>
              <w:widowControl/>
              <w:jc w:val="left"/>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 芯片或服务器安全芯片应符合 GM/T 0008 的相关规定，或芯片密码模块应符合 GB/T</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37092 或 GM/T 0028 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性能</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 数量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 主频</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基础频率≥2.40GHz 最大睿频≥4.10GHz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★单CPU核数</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内核32核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#单CPU末级缓存容量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缓存≥60MB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79"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1276" w:type="dxa"/>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主板功能</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★主板外部接口种类</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可支持USB、显示、管理等接口。例如：VGA、DP、HDMI、USB3.0、BMC 管理端口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★支持CPU和内存情况+</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供应商给出主板支持的 CPU 和内存的型号数量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16</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#主板内存槽数量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槽位不少于32个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17</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#主板存储接口</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支持安装SAS/SATA HDD/SSD硬盘；支持NVMe U.2硬盘槽位。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18</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★PCLe插槽接口</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PCIe 5.0或以上的高速串行计算机扩展总线标准，可向下兼容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19</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#主板PCLe插槽数量及规格</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支持≥12个PCIe插槽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20</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★内存数量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★内存规格</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≥DDR5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#内存通道</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支持≥8通道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性能</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★单内存模块容量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#内存速率</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支持≥4800MT/s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存储需求　</w:t>
            </w:r>
          </w:p>
        </w:tc>
        <w:tc>
          <w:tcPr>
            <w:tcW w:w="1701" w:type="dxa"/>
            <w:shd w:val="clear" w:color="auto" w:fill="FFFFFF" w:themeFill="background1"/>
            <w:noWrap/>
            <w:vAlign w:val="bottom"/>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★硬盘实配容量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3.84TB  SATA接口SSD UC通用硬盘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26</w:t>
            </w:r>
          </w:p>
        </w:tc>
        <w:tc>
          <w:tcPr>
            <w:tcW w:w="1276" w:type="dxa"/>
            <w:vMerge w:val="continue"/>
            <w:shd w:val="clear" w:color="auto" w:fill="FFFFFF" w:themeFill="background1"/>
            <w:vAlign w:val="center"/>
          </w:tcPr>
          <w:p>
            <w:pPr>
              <w:jc w:val="center"/>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bottom"/>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★硬盘接口类型</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支持SATA 3.0及以上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27</w:t>
            </w:r>
          </w:p>
        </w:tc>
        <w:tc>
          <w:tcPr>
            <w:tcW w:w="1276" w:type="dxa"/>
            <w:vMerge w:val="continue"/>
            <w:shd w:val="clear" w:color="auto" w:fill="FFFFFF" w:themeFill="background1"/>
            <w:vAlign w:val="center"/>
          </w:tcPr>
          <w:p>
            <w:pPr>
              <w:jc w:val="center"/>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bottom"/>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★硬盘实配数量</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2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28</w:t>
            </w:r>
          </w:p>
        </w:tc>
        <w:tc>
          <w:tcPr>
            <w:tcW w:w="1276" w:type="dxa"/>
            <w:vMerge w:val="continue"/>
            <w:shd w:val="clear" w:color="auto" w:fill="FFFFFF" w:themeFill="background1"/>
            <w:vAlign w:val="center"/>
          </w:tcPr>
          <w:p>
            <w:pPr>
              <w:jc w:val="center"/>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★硬盘插槽数量及规格</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a）支持2.5英寸</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b）支持安装 SATA/HDD/SSD/NVMe硬盘，硬盘槽位不少于20个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29</w:t>
            </w:r>
          </w:p>
        </w:tc>
        <w:tc>
          <w:tcPr>
            <w:tcW w:w="1276" w:type="dxa"/>
            <w:vMerge w:val="continue"/>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bottom"/>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★硬盘其他参数要求</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固态盘符合 SJ/T 11654 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30</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RAID卡功能</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RAID卡RAID 级别支持</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配有阵列控制器，RAID 模式支持 RAID 0/1/10/5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1276" w:type="dxa"/>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RAID卡性能</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★RAID卡缓存容量大小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网络</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功能</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★网络功能</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支持网络连接、网络访问、数据交换和网络管控功能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33</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网络规格</w:t>
            </w:r>
          </w:p>
        </w:tc>
        <w:tc>
          <w:tcPr>
            <w:tcW w:w="1701"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★网口速率和数量</w:t>
            </w:r>
          </w:p>
        </w:tc>
        <w:tc>
          <w:tcPr>
            <w:tcW w:w="5528"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10GE SFP+ 网口≥4个（网卡数量≥2），1GE 网口不少于4个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5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★独立网卡网卡数量</w:t>
            </w:r>
          </w:p>
        </w:tc>
        <w:tc>
          <w:tcPr>
            <w:tcW w:w="5528"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若配独立网卡，网卡数≥1，每个网卡网口数≥2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35</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★独立网卡网卡接口类型</w:t>
            </w:r>
          </w:p>
        </w:tc>
        <w:tc>
          <w:tcPr>
            <w:tcW w:w="5528"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RJ45，或SFP+（单块光口网卡，配25米OM4多模光纤1条）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36</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★板载网卡接口类型</w:t>
            </w:r>
          </w:p>
        </w:tc>
        <w:tc>
          <w:tcPr>
            <w:tcW w:w="5528" w:type="dxa"/>
            <w:shd w:val="clear" w:color="auto" w:fill="FFFFFF" w:themeFill="background1"/>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RJ45，或SFP+（单块光口网卡，配25米OM4多模光纤1条）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37</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外部接口规格</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★显示接口</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显示接口数量≥2个，前置显示接口≥1个。类型不少于1种，如：VGA、HDMI、DP等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38</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★USB接口</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总USB接口≥3个，前置USB接口≥2个，类型如USB2.0、USB3.0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39</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电源规格</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★电源冗余</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整机电源模块按 1+1 冗余或 N+1 冗余配置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40</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★电源模块数量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41</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★电源功率</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42</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电源功能</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★电源热插拔</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电源模块具备热插拔功能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43</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★电源过流保护</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电源模块支持过流及短路保护的功能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8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44</w:t>
            </w:r>
          </w:p>
        </w:tc>
        <w:tc>
          <w:tcPr>
            <w:tcW w:w="1276" w:type="dxa"/>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整机功能</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★散热方式</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支持风冷或液冷等散热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45</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管理系统功能</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★BMC 固件</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基础功能</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1)支持设备日志记录，包括但不限于登录日志、操作日志和报警日志等功能；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2)支持日志信息导出和记录删除功能；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3)支持通过管理接口向外输出准确的报警信息功能；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4)支持故障提示功能，并可通过接口读取服务器故障信息；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5)支持基于网络的固件更新功能，包括 BMC 和 BIOS 等；</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6)支持基于网络安装操作系统的功能，并可通过网络控制台访问设备；</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7)支持通过本地的硬盘或光驱等存储设备，基于网络完成设备的操作系统安装功能；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8)支持通过浏览器打开管理界面并登录功能；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9)支持读取设备主板的工作环境温度功能；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10)支持读取服务器 CPU 等核心器件的温度功能；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11)支持通过外部管理工具进行 BMC参数设置的功能，并可基于网络通过外部管理工具对 BMC 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75"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46</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★BIOS 固件基础功能</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a）支持查看固件版本、内存信息、主板信息、处理器信息和系统时间信息功能；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b）支持查看 PCIe 设备信息，SATA设备信息功能；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c）支持设置启动顺序，并按照设置的启动顺序启动功能；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d）支持板载显示控制或独立显卡的显示控制功能；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e）支持 RAID 识别和启动功能；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f）支持串口重定向功能；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g）支持固件更新功能；</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h）支持 BIOS 固件设置的恢复出厂功能；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47</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★远程控制</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支持远程关机和重新启动功能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81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48</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操作系统及驱动功能</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★操作系统及驱动的升级</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支持通过网络、闪存盘对操作系统、驱动进行升级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49</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★操作系统功能</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支持访问控制、安全审计、网络接入鉴别等功能；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50</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中文信息处理功能</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★中文信息处理</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如涉及中心信息处理，应符合 GB 18030的有关规定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71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51</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固件安全要求</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★故障检测</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支持故障检测功能，可以检测到具体的 FRU（内存、硬盘等）的故障并发出告警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52</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系统安全</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要求</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★弱口令字典检查</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支持弱口令字典检查功能，出现在弱口令字典中的字符串不能被设置为用户口令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53</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★白名单访问控制</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支持基于时间、IP 或 MAC 白名单访问控制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54</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★二次鉴别</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支持二次鉴别功能。对于用户配置、权限配置、公钥导入等重要的管理操作，已登录用户应通过二次鉴别后，才能执行操作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55</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★密码证书安全加密存储</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支持对带外管理系统中的用户口令和证书等敏感信息进行加密存储，禁止使用私有的和业界已知不安全的密码算法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56</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★敏感信息</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安全加密传输</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支持使用安全的传输加密协议（如SSH 或 HTTPS 等）传输用户的敏感信息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81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57</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信息安全</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要求</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★研发过程安全</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供应商承诺，生产商已建立从需求、设计、开发、测试、维护端到端的开发流程管理机制，输出和保存开发流程中每个阶段的产品需求清单、设计文档、开发文档、测试记录等材料，保证各个流程可追溯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58</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物理安全</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★物理安全</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安全要求应符合 GB 4943.1 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59</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限用物质</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的限量要求</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★限用物质</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的限量要求</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限用物质的限量应符合 GB/T 26572的要求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60</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能耗</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★电源能耗</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 GB/T 9813.3 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61</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部件</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兼容</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性要</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求</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#内存兼容</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性</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适配3种及以上厂商的内存产品，且均不低于产品支持的内存规格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62</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#固态存储</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兼容性</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适配3种或以上厂商的固态存储产品，且均不低于产品支持的固态存储设备规格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63</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#网卡兼容</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网卡应适配两种或以上厂商产品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42"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64</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★功能卡兼</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容性</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内置或适配符合 PCIe 的功能卡，如：网络功能卡、存储功能卡及图形显示功能卡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81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65</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外设</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兼容</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性</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#外设兼容性</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兼容多种主流生产商的外部设备，包括显示器、键盘、鼠标、闪存盘、移动硬盘、USB 光驱及 KVM 等，要求使用不同厂商的外部设备时，系统均能正常识别和安装驱动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66</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软件</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兼容</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性</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#数据库兼容</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 3 个及以上厂商的数据库产品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67</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#中间件兼容</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 3 个及以上厂商的中间件产品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68</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#平台软件兼容</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 3 个及以上厂商的大数据产品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69</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sz w:val="24"/>
                <w:szCs w:val="24"/>
                <w:lang w:val="en-US" w:eastAsia="zh-CN"/>
              </w:rPr>
              <w:t>#</w:t>
            </w:r>
            <w:r>
              <w:rPr>
                <w:rFonts w:ascii="宋体" w:hAnsi="宋体" w:eastAsia="宋体" w:cs="宋体"/>
                <w:sz w:val="24"/>
                <w:szCs w:val="24"/>
              </w:rPr>
              <w:t>虚拟化软件兼容</w:t>
            </w:r>
          </w:p>
        </w:tc>
        <w:tc>
          <w:tcPr>
            <w:tcW w:w="5528" w:type="dxa"/>
            <w:shd w:val="clear" w:color="auto" w:fill="FFFFFF" w:themeFill="background1"/>
            <w:noWrap/>
            <w:vAlign w:val="center"/>
          </w:tcPr>
          <w:p>
            <w:pPr>
              <w:widowControl/>
              <w:jc w:val="left"/>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sz w:val="24"/>
                <w:szCs w:val="24"/>
                <w:lang w:val="en-US" w:eastAsia="zh-CN"/>
              </w:rPr>
              <w:t>兼容2款及以上虚拟化软件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90" w:hRule="atLeast"/>
        </w:trPr>
        <w:tc>
          <w:tcPr>
            <w:tcW w:w="709" w:type="dxa"/>
            <w:shd w:val="clear" w:color="auto" w:fill="FFFFFF" w:themeFill="background1"/>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lang w:bidi="ar"/>
              </w:rPr>
              <w:t>70</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整机可靠</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性要求</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#整机可靠性</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m1 值（MTBF 的不可接受值）不得低于 30000h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71</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#风扇可靠性</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风扇寿命应不低于 40000h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72</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★部件可靠性</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支持硬盘、电源、风扇热插拔(内置风扇除外)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73</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包装及运输要求</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★标志、包装、运输和贮存</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 GB/T 9813.3 和商品包装政府采购需求标准的相关规定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74</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服务响应</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#服务响应</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 提供电话、电子邮件、远程连接等多种形式服务；</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b) 提供同城 4h、异地 12h 技术响应服务，2 个工作日解决问题，对于未能解决的问题和故障应提供可行的升级方案，并提供周转设备；</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c) 建立全国技术服务体系和服务团体，符合专业服务体系标准要求，提供原厂中文服务；</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d) 服务周期内提供产品的维修、换件和升级服务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75</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★培训服务</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供应商提供培训材料、产品手册、培训视频等培训相关内容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76</w:t>
            </w:r>
          </w:p>
        </w:tc>
        <w:tc>
          <w:tcPr>
            <w:tcW w:w="1276"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周期</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#服务周期</w:t>
            </w:r>
          </w:p>
        </w:tc>
        <w:tc>
          <w:tcPr>
            <w:tcW w:w="5528" w:type="dxa"/>
            <w:shd w:val="clear" w:color="auto" w:fill="FFFFFF" w:themeFill="background1"/>
            <w:vAlign w:val="center"/>
          </w:tcPr>
          <w:p>
            <w:pPr>
              <w:widowControl/>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 产品免费服务周期（含换件和维修）应不小于 3 年；</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b) 设备停产后继续提供质量保障服务（含备品备件），服务终止时间与最后一批设备交付时间间隔不低于 6 年；</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c) 产品停止服务时间应提前 1 年告知客户；</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d) 产品发布日期需在随机文件中明确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77</w:t>
            </w:r>
          </w:p>
        </w:tc>
        <w:tc>
          <w:tcPr>
            <w:tcW w:w="1276" w:type="dxa"/>
            <w:vMerge w:val="restart"/>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工具要求</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★工具要求</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供应商提供设置服务器硬件、辅助操作系统安装等功能的辅助工具和管理软件。且随附软件应具有合法授权或版权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78</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★驱动安装</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升级指引</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供应商提供出厂安装的配件所需的驱动程序，形式包括但不限于驱动光盘、驱动下载链接等。其他配件应提供指引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79</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★管理软件</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具备资源管理、系统管理、性能监控、健康监控、基于网络控制、报警设置功能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80</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增值服务</w:t>
            </w: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#厂家升级产品软件与扩容服务</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供应商提供原厂级的部件/软件产品升级和扩容能力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6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81</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#提供上门服务</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供应商具备提供上门服务的能力(可收费)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09" w:type="dxa"/>
            <w:shd w:val="clear" w:color="auto" w:fill="FFFFFF" w:themeFill="background1"/>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82</w:t>
            </w:r>
          </w:p>
        </w:tc>
        <w:tc>
          <w:tcPr>
            <w:tcW w:w="1276" w:type="dxa"/>
            <w:vMerge w:val="restart"/>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供应链质 量</w:t>
            </w: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★抗干扰性</w:t>
            </w:r>
          </w:p>
        </w:tc>
        <w:tc>
          <w:tcPr>
            <w:tcW w:w="5528" w:type="dxa"/>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当产品部件出现供应风险时，应通知客户并提供风险应对方案确保产品的服务保障，必要时应停止相关受影响产品的销售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9" w:type="dxa"/>
            <w:shd w:val="clear" w:color="auto" w:fill="FFFFFF" w:themeFill="background1"/>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8</w:t>
            </w:r>
            <w:r>
              <w:rPr>
                <w:rFonts w:hint="eastAsia" w:ascii="宋体" w:hAnsi="宋体" w:cs="宋体"/>
                <w:color w:val="000000"/>
                <w:kern w:val="0"/>
                <w:sz w:val="24"/>
                <w:lang w:val="en-US" w:eastAsia="zh-CN" w:bidi="ar"/>
              </w:rPr>
              <w:t>3</w:t>
            </w:r>
          </w:p>
        </w:tc>
        <w:tc>
          <w:tcPr>
            <w:tcW w:w="1276" w:type="dxa"/>
            <w:vMerge w:val="continue"/>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701"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★供应能力证明</w:t>
            </w:r>
          </w:p>
        </w:tc>
        <w:tc>
          <w:tcPr>
            <w:tcW w:w="5528" w:type="dxa"/>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供应商提供供应链稳定承诺书，确保产品的部件在产品服务周期内稳定供货</w:t>
            </w:r>
          </w:p>
        </w:tc>
      </w:tr>
    </w:tbl>
    <w:p>
      <w:pP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eastAsia="宋体" w:cs="宋体"/>
          <w:i w:val="0"/>
          <w:iCs w:val="0"/>
          <w:caps w:val="0"/>
          <w:color w:val="000000" w:themeColor="text1"/>
          <w:spacing w:val="0"/>
          <w:kern w:val="0"/>
          <w:sz w:val="24"/>
          <w:szCs w:val="24"/>
          <w:shd w:val="clear"/>
          <w14:textFill>
            <w14:solidFill>
              <w14:schemeClr w14:val="tx1"/>
            </w14:solidFill>
          </w14:textFill>
        </w:rPr>
        <w:t>以上服务器设备用于北单游戏系统，该系统不属于为党政机关提供支持保障的电子信息政务系统。鉴于彩票高性能交易系统对兼容性、稳定性和适配性的要求，本项目未将“关于印发《通用服务器政府采购需求标准（2023年版）》的通知（财库〔2023〕33号）"中</w:t>
      </w:r>
      <w:r>
        <w:rPr>
          <w:rFonts w:hint="eastAsia" w:ascii="宋体" w:hAnsi="宋体" w:cs="宋体"/>
          <w:i w:val="0"/>
          <w:iCs w:val="0"/>
          <w:caps w:val="0"/>
          <w:color w:val="000000" w:themeColor="text1"/>
          <w:spacing w:val="0"/>
          <w:kern w:val="0"/>
          <w:sz w:val="24"/>
          <w:szCs w:val="24"/>
          <w:shd w:val="clear"/>
          <w:lang w:eastAsia="zh-CN"/>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shd w:val="clear"/>
          <w14:textFill>
            <w14:solidFill>
              <w14:schemeClr w14:val="tx1"/>
            </w14:solidFill>
          </w14:textFill>
        </w:rPr>
        <w:t>第75项“安全要求，关键部件安全要求，CPU 和操作系统等关键部件应当符合安全可靠测评要求”纳入采购的必要需求。</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2、供应商在投标、响应环节出具关于所提供通用服务器满足采购文件要求承诺函的，即视为相关产品符合要求。</w:t>
      </w:r>
    </w:p>
    <w:p>
      <w:pPr>
        <w:rPr>
          <w:rFonts w:ascii="宋体" w:hAnsi="宋体" w:cs="宋体"/>
          <w:color w:val="000000" w:themeColor="text1"/>
          <w:kern w:val="0"/>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widowControl/>
        <w:jc w:val="left"/>
        <w:rPr>
          <w:rFonts w:ascii="宋体" w:hAnsi="宋体" w:cs="宋体"/>
          <w:color w:val="000000" w:themeColor="text1"/>
          <w:sz w:val="24"/>
          <w14:textFill>
            <w14:solidFill>
              <w14:schemeClr w14:val="tx1"/>
            </w14:solidFill>
          </w14:textFill>
        </w:rPr>
      </w:pPr>
    </w:p>
    <w:p>
      <w:pPr>
        <w:pStyle w:val="3"/>
        <w:numPr>
          <w:ilvl w:val="0"/>
          <w:numId w:val="2"/>
        </w:numPr>
        <w:spacing w:before="0" w:line="240" w:lineRule="auto"/>
        <w:ind w:firstLine="0"/>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数据库服务器（非核心产品）</w:t>
      </w:r>
    </w:p>
    <w:p>
      <w:pPr>
        <w:rPr>
          <w:rFonts w:ascii="宋体" w:hAnsi="宋体" w:cs="宋体"/>
          <w:color w:val="000000" w:themeColor="text1"/>
          <w:kern w:val="0"/>
          <w:sz w:val="24"/>
          <w14:textFill>
            <w14:solidFill>
              <w14:schemeClr w14:val="tx1"/>
            </w14:solidFill>
          </w14:textFill>
        </w:rPr>
      </w:pPr>
    </w:p>
    <w:tbl>
      <w:tblPr>
        <w:tblStyle w:val="7"/>
        <w:tblW w:w="9461" w:type="dxa"/>
        <w:tblInd w:w="119" w:type="dxa"/>
        <w:tblLayout w:type="fixed"/>
        <w:tblCellMar>
          <w:top w:w="0" w:type="dxa"/>
          <w:left w:w="108" w:type="dxa"/>
          <w:bottom w:w="0" w:type="dxa"/>
          <w:right w:w="108" w:type="dxa"/>
        </w:tblCellMar>
      </w:tblPr>
      <w:tblGrid>
        <w:gridCol w:w="875"/>
        <w:gridCol w:w="1154"/>
        <w:gridCol w:w="1677"/>
        <w:gridCol w:w="5519"/>
        <w:gridCol w:w="236"/>
      </w:tblGrid>
      <w:tr>
        <w:tblPrEx>
          <w:tblLayout w:type="fixed"/>
          <w:tblCellMar>
            <w:top w:w="0" w:type="dxa"/>
            <w:left w:w="108" w:type="dxa"/>
            <w:bottom w:w="0" w:type="dxa"/>
            <w:right w:w="108" w:type="dxa"/>
          </w:tblCellMar>
        </w:tblPrEx>
        <w:trPr>
          <w:gridAfter w:val="1"/>
          <w:wAfter w:w="236" w:type="dxa"/>
          <w:trHeight w:val="521" w:hRule="atLeast"/>
        </w:trPr>
        <w:tc>
          <w:tcPr>
            <w:tcW w:w="875"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1154" w:type="dxa"/>
            <w:vMerge w:val="restart"/>
            <w:tcBorders>
              <w:top w:val="single" w:color="auto" w:sz="8" w:space="0"/>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指标分类</w:t>
            </w:r>
          </w:p>
        </w:tc>
        <w:tc>
          <w:tcPr>
            <w:tcW w:w="1677" w:type="dxa"/>
            <w:vMerge w:val="restart"/>
            <w:tcBorders>
              <w:top w:val="single" w:color="auto" w:sz="8" w:space="0"/>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指标名称</w:t>
            </w:r>
          </w:p>
        </w:tc>
        <w:tc>
          <w:tcPr>
            <w:tcW w:w="5519"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指标要求</w:t>
            </w: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b/>
                <w:bCs/>
                <w:color w:val="000000" w:themeColor="text1"/>
                <w:kern w:val="0"/>
                <w:sz w:val="24"/>
                <w14:textFill>
                  <w14:solidFill>
                    <w14:schemeClr w14:val="tx1"/>
                  </w14:solidFill>
                </w14:textFill>
              </w:rPr>
            </w:pPr>
          </w:p>
        </w:tc>
        <w:tc>
          <w:tcPr>
            <w:tcW w:w="115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themeColor="text1"/>
                <w:kern w:val="0"/>
                <w:sz w:val="24"/>
                <w14:textFill>
                  <w14:solidFill>
                    <w14:schemeClr w14:val="tx1"/>
                  </w14:solidFill>
                </w14:textFill>
              </w:rPr>
            </w:pPr>
          </w:p>
        </w:tc>
        <w:tc>
          <w:tcPr>
            <w:tcW w:w="167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themeColor="text1"/>
                <w:kern w:val="0"/>
                <w:sz w:val="24"/>
                <w14:textFill>
                  <w14:solidFill>
                    <w14:schemeClr w14:val="tx1"/>
                  </w14:solidFill>
                </w14:textFill>
              </w:rPr>
            </w:pPr>
          </w:p>
        </w:tc>
        <w:tc>
          <w:tcPr>
            <w:tcW w:w="551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themeColor="text1"/>
                <w:kern w:val="0"/>
                <w:sz w:val="24"/>
                <w14:textFill>
                  <w14:solidFill>
                    <w14:schemeClr w14:val="tx1"/>
                  </w14:solidFill>
                </w14:textFill>
              </w:rPr>
            </w:pPr>
          </w:p>
        </w:tc>
        <w:tc>
          <w:tcPr>
            <w:tcW w:w="236" w:type="dxa"/>
            <w:tcBorders>
              <w:top w:val="nil"/>
              <w:left w:val="nil"/>
              <w:bottom w:val="nil"/>
              <w:right w:val="nil"/>
            </w:tcBorders>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整机规格要求</w:t>
            </w:r>
          </w:p>
        </w:tc>
        <w:tc>
          <w:tcPr>
            <w:tcW w:w="1677"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★外观和结构</w:t>
            </w: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a)服务器的零部件应紧固无松动，可插拔部件应可靠连接，开关、按钮和其它控制部件应灵活可靠，布局应方便使用；</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 产品表面不应有明显的凹痕、划伤、裂缝、变形和污染等。表面涂层均匀，不应起泡、龟裂、脱落和磨损，金属零部件无锈蚀及其它机械损伤；</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 产品表面说明功能的文字、符号和标志应清晰、端正且牢固；</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d) 应在服务器的显著位置提供运行状态的指示功能，并在随机文件中明确具体含义；</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81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e) 机架、机箱的尺寸应符合通用机柜的安装要求，插入总线插座的电路板接口外形尺寸应符合有关总线标准的规定，将机箱固定在机柜上，机箱底面最大下垂变形不得干涉相邻机体；</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f) 服务器尺寸具体要求在随机文件中明确；</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g）支持安装至600mm宽标准机柜；高度≤2U；</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★尺寸（高</w:t>
            </w: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供应商给出产品尺寸；</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×宽×深）</w:t>
            </w:r>
          </w:p>
        </w:tc>
        <w:tc>
          <w:tcPr>
            <w:tcW w:w="5519" w:type="dxa"/>
            <w:tcBorders>
              <w:top w:val="nil"/>
              <w:left w:val="nil"/>
              <w:bottom w:val="single" w:color="auto" w:sz="4"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设计应遵循标准化、系列化的要求；机箱的内部结构符合通用部件的安装需要</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single" w:color="auto" w:sz="8" w:space="0"/>
              <w:bottom w:val="single" w:color="000000" w:sz="8"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★环境适应性</w:t>
            </w:r>
          </w:p>
        </w:tc>
        <w:tc>
          <w:tcPr>
            <w:tcW w:w="55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气候环境适应性应符合 GB/T9813.3 的有关规定，工作温度 10～35℃，贮存运输温度-40～55℃；工作相对湿度 35%～80%，贮存运输相对湿度 20％～93%（40℃）；大气压86～106kPa</w:t>
            </w: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★机械环境</w:t>
            </w:r>
          </w:p>
        </w:tc>
        <w:tc>
          <w:tcPr>
            <w:tcW w:w="55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机械环境适应性应符合 GB/T9813.3 的有关规定</w:t>
            </w: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适应性</w:t>
            </w:r>
          </w:p>
        </w:tc>
        <w:tc>
          <w:tcPr>
            <w:tcW w:w="5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★噪声</w:t>
            </w:r>
          </w:p>
        </w:tc>
        <w:tc>
          <w:tcPr>
            <w:tcW w:w="5519" w:type="dxa"/>
            <w:tcBorders>
              <w:top w:val="single" w:color="auto" w:sz="4" w:space="0"/>
              <w:left w:val="single" w:color="auto" w:sz="8" w:space="0"/>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 GB/T 9813.3 的有关规定，在产品说明中给出具体测试值。塔式服务器噪声在空闲状态下不大于 50dB</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1154" w:type="dxa"/>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机柜规格</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★机柜尺寸</w:t>
            </w:r>
          </w:p>
        </w:tc>
        <w:tc>
          <w:tcPr>
            <w:tcW w:w="5519"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供应商给出长度、高度和深度</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1154" w:type="dxa"/>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CPU规格</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★CPU信息</w:t>
            </w:r>
          </w:p>
        </w:tc>
        <w:tc>
          <w:tcPr>
            <w:tcW w:w="5519" w:type="dxa"/>
            <w:tcBorders>
              <w:top w:val="single" w:color="auto" w:sz="8" w:space="0"/>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供应商给出 CPU 信息，包含 CPU 型号、物理核心数、主频、末级缓存容量、线程数、热设计功耗及支持内存的最高速率、通道数和位宽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1154"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功能</w:t>
            </w:r>
          </w:p>
        </w:tc>
        <w:tc>
          <w:tcPr>
            <w:tcW w:w="1677"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★计算处理</w:t>
            </w:r>
          </w:p>
        </w:tc>
        <w:tc>
          <w:tcPr>
            <w:tcW w:w="551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支持通用计算及虚拟化功能。处理器需集成整型计算单元、浮点计算单元、内存控制器、I/O 模块等，处理器与存储部件、网络部件、I/O部件等组成计算系统，提供数据处理、网络接入等计算相关功能</w:t>
            </w:r>
          </w:p>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trPr>
        <w:tc>
          <w:tcPr>
            <w:tcW w:w="875"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p>
        </w:tc>
        <w:tc>
          <w:tcPr>
            <w:tcW w:w="1154" w:type="dxa"/>
            <w:vMerge w:val="continue"/>
            <w:tcBorders>
              <w:left w:val="single" w:color="auto" w:sz="8" w:space="0"/>
              <w:right w:val="single" w:color="auto" w:sz="8" w:space="0"/>
            </w:tcBorders>
            <w:shd w:val="clear" w:color="000000" w:fill="FFFFFF"/>
            <w:vAlign w:val="center"/>
          </w:tcPr>
          <w:p>
            <w:pPr>
              <w:widowControl/>
              <w:jc w:val="center"/>
              <w:rPr>
                <w:rFonts w:hint="eastAsia" w:ascii="宋体" w:hAnsi="宋体" w:cs="宋体"/>
                <w:color w:val="000000" w:themeColor="text1"/>
                <w:kern w:val="0"/>
                <w:sz w:val="24"/>
                <w14:textFill>
                  <w14:solidFill>
                    <w14:schemeClr w14:val="tx1"/>
                  </w14:solidFill>
                </w14:textFill>
              </w:rPr>
            </w:pPr>
          </w:p>
        </w:tc>
        <w:tc>
          <w:tcPr>
            <w:tcW w:w="1677"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★密码算法实现</w:t>
            </w:r>
          </w:p>
        </w:tc>
        <w:tc>
          <w:tcPr>
            <w:tcW w:w="551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 芯片或服务器安全芯片应符合 GM/T 0008 的相关规定，或芯片密码模块应符合 GB/T</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37092 或 GM/T 0028 的相关规定</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p>
        </w:tc>
        <w:tc>
          <w:tcPr>
            <w:tcW w:w="1154"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性能</w:t>
            </w:r>
          </w:p>
        </w:tc>
        <w:tc>
          <w:tcPr>
            <w:tcW w:w="1677" w:type="dxa"/>
            <w:tcBorders>
              <w:top w:val="single" w:color="auto" w:sz="8" w:space="0"/>
              <w:left w:val="nil"/>
              <w:bottom w:val="single" w:color="auto" w:sz="8" w:space="0"/>
              <w:right w:val="single" w:color="auto" w:sz="4"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 数量</w:t>
            </w:r>
          </w:p>
        </w:tc>
        <w:tc>
          <w:tcPr>
            <w:tcW w:w="5519" w:type="dxa"/>
            <w:tcBorders>
              <w:top w:val="single" w:color="auto" w:sz="8"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2颗</w:t>
            </w: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p>
        </w:tc>
        <w:tc>
          <w:tcPr>
            <w:tcW w:w="1154" w:type="dxa"/>
            <w:vMerge w:val="continue"/>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★CPU 主频</w:t>
            </w:r>
          </w:p>
        </w:tc>
        <w:tc>
          <w:tcPr>
            <w:tcW w:w="5519" w:type="dxa"/>
            <w:tcBorders>
              <w:top w:val="single" w:color="auto" w:sz="4" w:space="0"/>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基础频率≥2.40GHz 最大睿频≥4.10GHz</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p>
        </w:tc>
        <w:tc>
          <w:tcPr>
            <w:tcW w:w="1154" w:type="dxa"/>
            <w:vMerge w:val="continue"/>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★单CPU核数</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内核32核</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p>
        </w:tc>
        <w:tc>
          <w:tcPr>
            <w:tcW w:w="1154" w:type="dxa"/>
            <w:vMerge w:val="continue"/>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#单CPU末级缓存容量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缓存≥60MB</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w:t>
            </w:r>
          </w:p>
        </w:tc>
        <w:tc>
          <w:tcPr>
            <w:tcW w:w="1154" w:type="dxa"/>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主板功能</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★主板外部接口种类</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可支持USB、显示、管理等接口。例如：VGA、DP、HDMI、USB3.0、BMC 管理端口</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w:t>
            </w: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★支持CPU和内存情况+</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供应商给出主板支持的 CPU 和内存的型号数量</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#主板内存槽数量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槽位不少于32个</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17</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#主板存储接口</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支持安装SAS/SATA HDD/SSD硬盘；支持NVMe U.2硬盘槽位。</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★PCLe插槽接口</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PCIe 5.0或以上的高速串行计算机扩展总线标准，可向下兼容</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#主板PCLe插槽数量及规格</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支持≥12个PCIe插槽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★内存数量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≥12条</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★内存规格</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≥DDR5</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p>
        </w:tc>
        <w:tc>
          <w:tcPr>
            <w:tcW w:w="115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#内存通道</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支持≥8通道</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1154"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w:t>
            </w: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★单内存模块容量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≥32GB</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24</w:t>
            </w:r>
          </w:p>
        </w:tc>
        <w:tc>
          <w:tcPr>
            <w:tcW w:w="1154"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性能</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#内存速率</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支持≥4800MT/s</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1154" w:type="dxa"/>
            <w:vMerge w:val="restar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存储需求1　</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★硬盘实配容量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3.84TB  固态硬盘</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26</w:t>
            </w:r>
          </w:p>
        </w:tc>
        <w:tc>
          <w:tcPr>
            <w:tcW w:w="115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★硬盘接口类型</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支持SATA 3.0及以上</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27</w:t>
            </w:r>
          </w:p>
        </w:tc>
        <w:tc>
          <w:tcPr>
            <w:tcW w:w="115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★硬盘实配数量</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2块</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2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28</w:t>
            </w:r>
          </w:p>
        </w:tc>
        <w:tc>
          <w:tcPr>
            <w:tcW w:w="115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★硬盘插槽数量及规格</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a）支持2.5英寸</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b）支持安装 SATA/HDD/SSD/NVMe硬盘，硬盘槽位不少于20个</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29</w:t>
            </w:r>
          </w:p>
        </w:tc>
        <w:tc>
          <w:tcPr>
            <w:tcW w:w="115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★硬盘其他参数要求</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固态盘符合 SJ/T 11654 相关规定</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30</w:t>
            </w:r>
          </w:p>
        </w:tc>
        <w:tc>
          <w:tcPr>
            <w:tcW w:w="1154" w:type="dxa"/>
            <w:vMerge w:val="restart"/>
            <w:tcBorders>
              <w:top w:val="single" w:color="auto" w:sz="8" w:space="0"/>
              <w:left w:val="single" w:color="auto" w:sz="8" w:space="0"/>
              <w:bottom w:val="single" w:color="auto" w:sz="8" w:space="0"/>
              <w:right w:val="single" w:color="auto" w:sz="8" w:space="0"/>
            </w:tcBorders>
            <w:shd w:val="clear" w:color="auto" w:fill="FFFFFF" w:themeFill="background1"/>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存储需求2　</w:t>
            </w:r>
          </w:p>
        </w:tc>
        <w:tc>
          <w:tcPr>
            <w:tcW w:w="1677" w:type="dxa"/>
            <w:tcBorders>
              <w:top w:val="nil"/>
              <w:left w:val="nil"/>
              <w:bottom w:val="single" w:color="auto" w:sz="8" w:space="0"/>
              <w:right w:val="single" w:color="auto" w:sz="8" w:space="0"/>
            </w:tcBorders>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★硬盘实配容量</w:t>
            </w:r>
          </w:p>
        </w:tc>
        <w:tc>
          <w:tcPr>
            <w:tcW w:w="5519" w:type="dxa"/>
            <w:tcBorders>
              <w:top w:val="nil"/>
              <w:left w:val="nil"/>
              <w:bottom w:val="single" w:color="auto" w:sz="8" w:space="0"/>
              <w:right w:val="single" w:color="auto" w:sz="8" w:space="0"/>
            </w:tcBorders>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3.84TB  固态硬盘</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31</w:t>
            </w:r>
          </w:p>
        </w:tc>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★硬盘接口类型</w:t>
            </w:r>
          </w:p>
        </w:tc>
        <w:tc>
          <w:tcPr>
            <w:tcW w:w="5519" w:type="dxa"/>
            <w:tcBorders>
              <w:top w:val="nil"/>
              <w:left w:val="nil"/>
              <w:bottom w:val="single" w:color="auto" w:sz="8" w:space="0"/>
              <w:right w:val="single" w:color="auto" w:sz="8" w:space="0"/>
            </w:tcBorders>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U.2 PCIe</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★硬盘实配数量</w:t>
            </w:r>
          </w:p>
        </w:tc>
        <w:tc>
          <w:tcPr>
            <w:tcW w:w="5519" w:type="dxa"/>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2块</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33</w:t>
            </w:r>
          </w:p>
        </w:tc>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★硬盘插槽数量及规格</w:t>
            </w:r>
          </w:p>
        </w:tc>
        <w:tc>
          <w:tcPr>
            <w:tcW w:w="5519" w:type="dxa"/>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支持U.2插槽不少于2个</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2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p>
        </w:tc>
        <w:tc>
          <w:tcPr>
            <w:tcW w:w="1154"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auto" w:fill="FFFFFF" w:themeFill="background1"/>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★硬盘其他参数要求</w:t>
            </w:r>
          </w:p>
        </w:tc>
        <w:tc>
          <w:tcPr>
            <w:tcW w:w="5519" w:type="dxa"/>
            <w:tcBorders>
              <w:top w:val="nil"/>
              <w:left w:val="nil"/>
              <w:bottom w:val="single" w:color="auto" w:sz="8" w:space="0"/>
              <w:right w:val="single" w:color="auto" w:sz="8" w:space="0"/>
            </w:tcBorders>
            <w:shd w:val="clear" w:color="auto" w:fill="FFFFFF" w:themeFill="background1"/>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a)企业级硬盘，顺序写入速度不低于 4100 mB/s,随机写入不低于 180KIOPS</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b)固态盘符合 SJ/T 11654 相关规定</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82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35</w:t>
            </w:r>
          </w:p>
        </w:tc>
        <w:tc>
          <w:tcPr>
            <w:tcW w:w="1154"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RAID卡功能</w:t>
            </w: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RAID卡RAID 级别支持</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配有阵列控制器，RAID 模式支持 RAID 0/1/10/5</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36</w:t>
            </w:r>
          </w:p>
        </w:tc>
        <w:tc>
          <w:tcPr>
            <w:tcW w:w="1154" w:type="dxa"/>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RAID卡性能</w:t>
            </w: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★RAID卡缓存容量大小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≥4GB</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690"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37</w:t>
            </w:r>
          </w:p>
        </w:tc>
        <w:tc>
          <w:tcPr>
            <w:tcW w:w="115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网络功能</w:t>
            </w: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★网络功能</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支持网络连接、网络访问、数据交换和网络管控功能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690"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38</w:t>
            </w:r>
          </w:p>
        </w:tc>
        <w:tc>
          <w:tcPr>
            <w:tcW w:w="1154" w:type="dxa"/>
            <w:vMerge w:val="restart"/>
            <w:tcBorders>
              <w:top w:val="nil"/>
              <w:left w:val="single" w:color="auto" w:sz="8" w:space="0"/>
              <w:bottom w:val="single" w:color="auto"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网络规格</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★网口速率和数量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10GE SFP+ 网口≥4个（网卡数量≥2），1GE 网口不少于4个</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39</w:t>
            </w:r>
          </w:p>
        </w:tc>
        <w:tc>
          <w:tcPr>
            <w:tcW w:w="115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★独立网卡网卡数量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若配独立网卡，网卡数≥1，每个网卡网口数≥2</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40</w:t>
            </w:r>
          </w:p>
        </w:tc>
        <w:tc>
          <w:tcPr>
            <w:tcW w:w="115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★独立网卡网卡接口类型</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RJ45，或SFP+（单块光口网卡，配25米OM4多模光纤1条）</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41</w:t>
            </w:r>
          </w:p>
        </w:tc>
        <w:tc>
          <w:tcPr>
            <w:tcW w:w="115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★板载网卡接口类型</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RJ45，或SFP+（单块光口网卡，配25米OM4多模光纤1条）</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42</w:t>
            </w:r>
          </w:p>
        </w:tc>
        <w:tc>
          <w:tcPr>
            <w:tcW w:w="1154"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外部接口规格</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★显示接口</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显示接口数量≥2个，前置显示接口≥1个。类型不少于1种，如：VGA、HDMI、DP等</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43</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★USB接口</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总USB接口≥3个，前置USB接口≥2个，类型如USB2.0、USB3.0</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44</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电源规格</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★电源冗余</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整机电源模块按 1+1 冗余或 N+1 冗余配置</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45</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★电源模块数量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46</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★电源功率</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≥900W</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47</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电源功能</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★电源热插拔</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电源模块具备热插拔功能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48</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★电源过流保护</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电源模块支持过流及短路保护的功能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49</w:t>
            </w:r>
          </w:p>
        </w:tc>
        <w:tc>
          <w:tcPr>
            <w:tcW w:w="1154" w:type="dxa"/>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整机功能</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★散热方式</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支持风冷或液冷等散热</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w:t>
            </w:r>
          </w:p>
        </w:tc>
        <w:tc>
          <w:tcPr>
            <w:tcW w:w="1154"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管理系统功能</w:t>
            </w:r>
          </w:p>
        </w:tc>
        <w:tc>
          <w:tcPr>
            <w:tcW w:w="1677" w:type="dxa"/>
            <w:vMerge w:val="restart"/>
            <w:tcBorders>
              <w:top w:val="nil"/>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★BMC 固件</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基础功能</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1)支持设备日志记录，包括但不限于登录日志、操作日志和报警日志等功能；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2)支持日志信息导出和记录删除功能；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3)支持通过管理接口向外输出准确的报警信息功能；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4)支持故障提示功能，并可通过接口读取服务器故障信息；</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5)支持基于网络的固件更新功能，包括 BMC 和 BIOS 等；</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6)支持基于网络安装操作系统的功能，并可通过网络控制台访问设备；</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7)支持通过本地的硬盘或光驱等存储设备，基于网络完成设备的操作系统安装功能；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8)支持通过浏览器打开管理界面并登录功能；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9)支持读取设备主板的工作环境温度功能；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10)支持读取服务器 CPU 等核心器件的温度功能；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11)支持通过外部管理工具进行 BMC参数设置的功能，并可基于网络通过外部管理工具对 BMC 进行管理；</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51</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restart"/>
            <w:tcBorders>
              <w:top w:val="nil"/>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★BIOS 固件基础功能</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a）支持查看固件版本、内存信息、主板信息、处理器信息和系统时间信息功能；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b）支持查看 PCIe 设备信息，SATA设备信息功能；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c）支持设置启动顺序，并按照设置的启动顺序启动功能；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d）支持板载显示控制或独立显卡的显示控制功能；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e）支持 RAID 识别和启动功能；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f）支持串口重定向功能；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g）支持固件更新功能；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h）支持 BIOS 固件设置的恢复出厂功能；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952"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52</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★远程控制</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支持远程关机和重新启动功能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w:t>
            </w:r>
          </w:p>
        </w:tc>
        <w:tc>
          <w:tcPr>
            <w:tcW w:w="1154" w:type="dxa"/>
            <w:vMerge w:val="restart"/>
            <w:tcBorders>
              <w:top w:val="nil"/>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操作系统及驱动功</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能</w:t>
            </w: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★操作系统</w:t>
            </w:r>
          </w:p>
        </w:tc>
        <w:tc>
          <w:tcPr>
            <w:tcW w:w="5519"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支持通过网络、闪存盘对操作系统、驱动进行升级</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及驱动的</w:t>
            </w: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auto" w:sz="4"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4"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升级</w:t>
            </w:r>
          </w:p>
        </w:tc>
        <w:tc>
          <w:tcPr>
            <w:tcW w:w="5519"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1049" w:hRule="atLeast"/>
        </w:trPr>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auto"/>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54</w:t>
            </w:r>
          </w:p>
        </w:tc>
        <w:tc>
          <w:tcPr>
            <w:tcW w:w="1154" w:type="dxa"/>
            <w:vMerge w:val="continue"/>
            <w:tcBorders>
              <w:left w:val="single" w:color="auto" w:sz="4" w:space="0"/>
              <w:bottom w:val="single" w:color="auto" w:sz="4"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★操作系统功能</w:t>
            </w:r>
          </w:p>
        </w:tc>
        <w:tc>
          <w:tcPr>
            <w:tcW w:w="55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支持访问控制、安全审计、网络接入鉴别等功能；</w:t>
            </w: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single" w:color="auto" w:sz="4" w:space="0"/>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55</w:t>
            </w:r>
          </w:p>
        </w:tc>
        <w:tc>
          <w:tcPr>
            <w:tcW w:w="1154" w:type="dxa"/>
            <w:tcBorders>
              <w:top w:val="single" w:color="auto" w:sz="4" w:space="0"/>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中文信息</w:t>
            </w:r>
          </w:p>
        </w:tc>
        <w:tc>
          <w:tcPr>
            <w:tcW w:w="1677" w:type="dxa"/>
            <w:vMerge w:val="restart"/>
            <w:tcBorders>
              <w:top w:val="single" w:color="auto" w:sz="4" w:space="0"/>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★中文信息处理</w:t>
            </w:r>
          </w:p>
        </w:tc>
        <w:tc>
          <w:tcPr>
            <w:tcW w:w="5519" w:type="dxa"/>
            <w:vMerge w:val="restart"/>
            <w:tcBorders>
              <w:top w:val="single" w:color="auto" w:sz="4" w:space="0"/>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如涉及中心信息处理，应符合 GB 18030的有关规定</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tcBorders>
              <w:top w:val="nil"/>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处理</w:t>
            </w:r>
          </w:p>
        </w:tc>
        <w:tc>
          <w:tcPr>
            <w:tcW w:w="1677" w:type="dxa"/>
            <w:vMerge w:val="continue"/>
            <w:tcBorders>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功能</w:t>
            </w:r>
          </w:p>
        </w:tc>
        <w:tc>
          <w:tcPr>
            <w:tcW w:w="1677"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kern w:val="0"/>
                <w:sz w:val="24"/>
                <w:lang w:bidi="ar"/>
              </w:rPr>
              <w:t>56</w:t>
            </w:r>
          </w:p>
        </w:tc>
        <w:tc>
          <w:tcPr>
            <w:tcW w:w="1154" w:type="dxa"/>
            <w:tcBorders>
              <w:top w:val="nil"/>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固件</w:t>
            </w:r>
          </w:p>
        </w:tc>
        <w:tc>
          <w:tcPr>
            <w:tcW w:w="1677"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★故障检测</w:t>
            </w:r>
          </w:p>
        </w:tc>
        <w:tc>
          <w:tcPr>
            <w:tcW w:w="551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支持故障检测功能，可以检测到具体的 FRU（内存、硬盘等）的故障并发出告警</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tcBorders>
              <w:top w:val="nil"/>
              <w:left w:val="nil"/>
              <w:bottom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安全</w:t>
            </w: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要求</w:t>
            </w: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kern w:val="0"/>
                <w:sz w:val="24"/>
                <w:lang w:bidi="ar"/>
              </w:rPr>
              <w:t>57</w:t>
            </w:r>
          </w:p>
        </w:tc>
        <w:tc>
          <w:tcPr>
            <w:tcW w:w="1154" w:type="dxa"/>
            <w:vMerge w:val="restart"/>
            <w:tcBorders>
              <w:top w:val="nil"/>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系统安全</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要求</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★弱口令字</w:t>
            </w:r>
          </w:p>
        </w:tc>
        <w:tc>
          <w:tcPr>
            <w:tcW w:w="551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支持弱口令字典检查功能，出现在弱口令字典中的字符串不能被设置为用户口令</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典检查</w:t>
            </w: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kern w:val="0"/>
                <w:sz w:val="24"/>
                <w:lang w:bidi="ar"/>
              </w:rPr>
              <w:t>58</w:t>
            </w: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★白名单访</w:t>
            </w:r>
          </w:p>
        </w:tc>
        <w:tc>
          <w:tcPr>
            <w:tcW w:w="551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支持基于时间、IP 或 MAC 白名单访问控制</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问控制</w:t>
            </w: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59</w:t>
            </w: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★二次鉴别</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支持二次鉴别功能。对于用户配置、权限配置、公钥导入等重要的管理操作，已登录用户应通过二次鉴别后，才能执行操作</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60</w:t>
            </w: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★密码证书</w:t>
            </w:r>
          </w:p>
        </w:tc>
        <w:tc>
          <w:tcPr>
            <w:tcW w:w="551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支持对带外管理系统中的用户口令和证书等敏感信息进行加密存储，禁止使用私有的和业界已知不安全的密码算法</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安全加密</w:t>
            </w: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存储</w:t>
            </w: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61</w:t>
            </w: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★敏感信息</w:t>
            </w:r>
          </w:p>
        </w:tc>
        <w:tc>
          <w:tcPr>
            <w:tcW w:w="551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支持使用安全的传输加密协议（如SSH 或 HTTPS 等）传输用户的敏感信息</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p>
        </w:tc>
        <w:tc>
          <w:tcPr>
            <w:tcW w:w="1154"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安全加密传输</w:t>
            </w: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62</w:t>
            </w:r>
          </w:p>
        </w:tc>
        <w:tc>
          <w:tcPr>
            <w:tcW w:w="1154" w:type="dxa"/>
            <w:vMerge w:val="restart"/>
            <w:tcBorders>
              <w:top w:val="nil"/>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信息安全要求</w:t>
            </w:r>
          </w:p>
        </w:tc>
        <w:tc>
          <w:tcPr>
            <w:tcW w:w="1677"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★研发过程安全</w:t>
            </w:r>
          </w:p>
        </w:tc>
        <w:tc>
          <w:tcPr>
            <w:tcW w:w="551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供应商承诺，生产商已建立从需求、设计、开发、测试、维护端到端的开发流程管理机制，输出和保存开发流程中每个阶段的产品需求清单、设计文档、开发文档、测试记录等材料，保证各个流程可追溯</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p>
        </w:tc>
        <w:tc>
          <w:tcPr>
            <w:tcW w:w="1154" w:type="dxa"/>
            <w:vMerge w:val="continue"/>
            <w:tcBorders>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627"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63</w:t>
            </w:r>
          </w:p>
        </w:tc>
        <w:tc>
          <w:tcPr>
            <w:tcW w:w="115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物理安全</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★物理安全</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安全要求应符合 GB 4943.1 的规定</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64</w:t>
            </w:r>
          </w:p>
        </w:tc>
        <w:tc>
          <w:tcPr>
            <w:tcW w:w="1154"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限用物质的限量要求</w:t>
            </w:r>
          </w:p>
        </w:tc>
        <w:tc>
          <w:tcPr>
            <w:tcW w:w="1677"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★限用物质的限量要求</w:t>
            </w:r>
          </w:p>
        </w:tc>
        <w:tc>
          <w:tcPr>
            <w:tcW w:w="551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限用物质的限量应符合 GB/T 26572的要求</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65</w:t>
            </w:r>
          </w:p>
        </w:tc>
        <w:tc>
          <w:tcPr>
            <w:tcW w:w="1154" w:type="dxa"/>
            <w:vMerge w:val="restart"/>
            <w:tcBorders>
              <w:top w:val="single" w:color="auto" w:sz="8"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电源能耗</w:t>
            </w:r>
          </w:p>
        </w:tc>
        <w:tc>
          <w:tcPr>
            <w:tcW w:w="1677" w:type="dxa"/>
            <w:vMerge w:val="restar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★电源能耗</w:t>
            </w:r>
          </w:p>
        </w:tc>
        <w:tc>
          <w:tcPr>
            <w:tcW w:w="5519" w:type="dxa"/>
            <w:vMerge w:val="restart"/>
            <w:tcBorders>
              <w:top w:val="single" w:color="auto" w:sz="8" w:space="0"/>
              <w:left w:val="single" w:color="auto" w:sz="8" w:space="0"/>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 GB/T 9813.3 的有关规定</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p>
        </w:tc>
        <w:tc>
          <w:tcPr>
            <w:tcW w:w="1154" w:type="dxa"/>
            <w:vMerge w:val="continue"/>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66</w:t>
            </w:r>
          </w:p>
        </w:tc>
        <w:tc>
          <w:tcPr>
            <w:tcW w:w="1154" w:type="dxa"/>
            <w:vMerge w:val="restart"/>
            <w:tcBorders>
              <w:top w:val="single" w:color="auto" w:sz="8" w:space="0"/>
              <w:left w:val="nil"/>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部件兼容性</w:t>
            </w:r>
          </w:p>
        </w:tc>
        <w:tc>
          <w:tcPr>
            <w:tcW w:w="1677" w:type="dxa"/>
            <w:tcBorders>
              <w:top w:val="single" w:color="auto" w:sz="8" w:space="0"/>
              <w:left w:val="single" w:color="auto" w:sz="4" w:space="0"/>
              <w:bottom w:val="single" w:color="auto" w:sz="4"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#内存兼容性</w:t>
            </w:r>
          </w:p>
        </w:tc>
        <w:tc>
          <w:tcPr>
            <w:tcW w:w="5519" w:type="dxa"/>
            <w:tcBorders>
              <w:top w:val="single" w:color="auto" w:sz="8" w:space="0"/>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适配3种及以上厂商的内存产品，且均不低于产品支持的内存规格</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67</w:t>
            </w:r>
          </w:p>
        </w:tc>
        <w:tc>
          <w:tcPr>
            <w:tcW w:w="1154" w:type="dxa"/>
            <w:vMerge w:val="continue"/>
            <w:tcBorders>
              <w:left w:val="nil"/>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tcBorders>
              <w:top w:val="single" w:color="auto" w:sz="4" w:space="0"/>
              <w:left w:val="single" w:color="auto" w:sz="4" w:space="0"/>
              <w:bottom w:val="single" w:color="auto" w:sz="4"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#固态存储兼容性</w:t>
            </w:r>
          </w:p>
        </w:tc>
        <w:tc>
          <w:tcPr>
            <w:tcW w:w="5519" w:type="dxa"/>
            <w:tcBorders>
              <w:top w:val="nil"/>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适配3种或以上厂商的固态存储产品，且均不低于产品支持的固态存储设备规格</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4"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68</w:t>
            </w:r>
          </w:p>
        </w:tc>
        <w:tc>
          <w:tcPr>
            <w:tcW w:w="1154" w:type="dxa"/>
            <w:vMerge w:val="continue"/>
            <w:tcBorders>
              <w:left w:val="nil"/>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single" w:color="auto" w:sz="4" w:space="0"/>
              <w:left w:val="single" w:color="auto" w:sz="4" w:space="0"/>
              <w:bottom w:val="single" w:color="auto" w:sz="4"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#网卡兼容</w:t>
            </w:r>
          </w:p>
        </w:tc>
        <w:tc>
          <w:tcPr>
            <w:tcW w:w="5519" w:type="dxa"/>
            <w:tcBorders>
              <w:top w:val="nil"/>
              <w:left w:val="nil"/>
              <w:bottom w:val="single" w:color="auto" w:sz="4"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网卡应适配两种或以上厂商产品</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69</w:t>
            </w:r>
          </w:p>
        </w:tc>
        <w:tc>
          <w:tcPr>
            <w:tcW w:w="11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67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★功能卡兼容性</w:t>
            </w:r>
          </w:p>
        </w:tc>
        <w:tc>
          <w:tcPr>
            <w:tcW w:w="55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内置或适配符合 PCIe 的功能卡，如：网络功能卡、存储功能卡及图形显示功能卡</w:t>
            </w: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70</w:t>
            </w:r>
          </w:p>
        </w:tc>
        <w:tc>
          <w:tcPr>
            <w:tcW w:w="115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外设</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w:t>
            </w:r>
          </w:p>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性</w:t>
            </w:r>
          </w:p>
        </w:tc>
        <w:tc>
          <w:tcPr>
            <w:tcW w:w="16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#外设兼容性</w:t>
            </w:r>
          </w:p>
        </w:tc>
        <w:tc>
          <w:tcPr>
            <w:tcW w:w="551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兼容多种主流生产商的外部设备，包括显示器、键盘、鼠标、闪存盘、移动硬盘、USB 光驱及 KVM 等，要求使用不同厂商的外部设备时，系统均能正常识别和安装驱动</w:t>
            </w: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14:textFill>
                  <w14:solidFill>
                    <w14:schemeClr w14:val="tx1"/>
                  </w14:solidFill>
                </w14:textFill>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tcBorders>
              <w:lef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single" w:color="auto" w:sz="4" w:space="0"/>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71</w:t>
            </w:r>
          </w:p>
        </w:tc>
        <w:tc>
          <w:tcPr>
            <w:tcW w:w="1154" w:type="dxa"/>
            <w:vMerge w:val="restart"/>
            <w:tcBorders>
              <w:top w:val="single" w:color="auto" w:sz="4" w:space="0"/>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软件兼容性</w:t>
            </w:r>
          </w:p>
        </w:tc>
        <w:tc>
          <w:tcPr>
            <w:tcW w:w="1677" w:type="dxa"/>
            <w:tcBorders>
              <w:top w:val="single" w:color="auto" w:sz="4" w:space="0"/>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#数据库兼容</w:t>
            </w:r>
          </w:p>
        </w:tc>
        <w:tc>
          <w:tcPr>
            <w:tcW w:w="5519" w:type="dxa"/>
            <w:tcBorders>
              <w:top w:val="single" w:color="auto" w:sz="4" w:space="0"/>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 3 个及以上厂商的数据库产品</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72</w:t>
            </w:r>
          </w:p>
        </w:tc>
        <w:tc>
          <w:tcPr>
            <w:tcW w:w="1154" w:type="dxa"/>
            <w:vMerge w:val="continue"/>
            <w:tcBorders>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#中间件兼容</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 3 个及以上厂商的中间件产品</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73</w:t>
            </w:r>
          </w:p>
        </w:tc>
        <w:tc>
          <w:tcPr>
            <w:tcW w:w="1154" w:type="dxa"/>
            <w:vMerge w:val="continue"/>
            <w:tcBorders>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#平台软件兼容</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兼容 3 个及以上厂商的大数据产品</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74</w:t>
            </w:r>
          </w:p>
        </w:tc>
        <w:tc>
          <w:tcPr>
            <w:tcW w:w="1154" w:type="dxa"/>
            <w:vMerge w:val="continue"/>
            <w:tcBorders>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sz w:val="24"/>
                <w:szCs w:val="24"/>
                <w:lang w:val="en-US" w:eastAsia="zh-CN"/>
              </w:rPr>
              <w:t>#</w:t>
            </w:r>
            <w:r>
              <w:rPr>
                <w:rFonts w:ascii="宋体" w:hAnsi="宋体" w:eastAsia="宋体" w:cs="宋体"/>
                <w:sz w:val="24"/>
                <w:szCs w:val="24"/>
              </w:rPr>
              <w:t>虚拟化软件兼容</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hint="eastAsia" w:ascii="宋体" w:hAnsi="宋体" w:cs="宋体"/>
                <w:color w:val="000000" w:themeColor="text1"/>
                <w:kern w:val="0"/>
                <w:sz w:val="24"/>
                <w14:textFill>
                  <w14:solidFill>
                    <w14:schemeClr w14:val="tx1"/>
                  </w14:solidFill>
                </w14:textFill>
              </w:rPr>
            </w:pPr>
            <w:r>
              <w:rPr>
                <w:rFonts w:ascii="宋体" w:hAnsi="宋体" w:eastAsia="宋体" w:cs="宋体"/>
                <w:sz w:val="24"/>
                <w:szCs w:val="24"/>
              </w:rPr>
              <w:t>兼容 2 款及以上虚拟化软件</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lang w:bidi="ar"/>
              </w:rPr>
              <w:t>75</w:t>
            </w:r>
          </w:p>
        </w:tc>
        <w:tc>
          <w:tcPr>
            <w:tcW w:w="1154" w:type="dxa"/>
            <w:vMerge w:val="restart"/>
            <w:tcBorders>
              <w:top w:val="nil"/>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sz w:val="24"/>
              </w:rPr>
              <w:t>整机可靠</w:t>
            </w:r>
            <w:r>
              <w:rPr>
                <w:rFonts w:hint="eastAsia" w:hAnsi="宋体" w:cs="宋体"/>
                <w:color w:val="000000" w:themeColor="text1"/>
                <w:kern w:val="0"/>
                <w14:textFill>
                  <w14:solidFill>
                    <w14:schemeClr w14:val="tx1"/>
                  </w14:solidFill>
                </w14:textFill>
              </w:rPr>
              <w:t>性要求</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#整机可靠性</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m1 值（MTBF 的不可接受值）不得低于 30000h</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76</w:t>
            </w:r>
          </w:p>
        </w:tc>
        <w:tc>
          <w:tcPr>
            <w:tcW w:w="1154" w:type="dxa"/>
            <w:vMerge w:val="continue"/>
            <w:tcBorders>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#风扇可靠性</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风扇寿命应不低于 40000h</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77</w:t>
            </w:r>
          </w:p>
        </w:tc>
        <w:tc>
          <w:tcPr>
            <w:tcW w:w="1154"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★部件可靠性</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支持硬盘、电源、风扇热插拔(内置风扇除外)</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kern w:val="0"/>
                <w:sz w:val="24"/>
                <w:lang w:bidi="ar"/>
              </w:rPr>
              <w:t>78</w:t>
            </w:r>
          </w:p>
        </w:tc>
        <w:tc>
          <w:tcPr>
            <w:tcW w:w="115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包装及运输要求</w:t>
            </w: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★标志、包装、运输和贮存</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符合 GB/T 9813.3 和商品包装政府采购需求标准的相关规定</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79</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响应</w:t>
            </w:r>
          </w:p>
        </w:tc>
        <w:tc>
          <w:tcPr>
            <w:tcW w:w="1677"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#服务响应</w:t>
            </w: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 提供电话、电子邮件、远程连接等多种形式服务；</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 提供同城 4h、异地 12h 技术响应服务，2 个工作日解决问题，对于未能解决的问题和故障应提供可行的升级方案，并提供周转设备；</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 建立全国技术服务体系和服务团体，符合专业服务体系标准要求，提供原厂中文服务；</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d) 服务周期内提供产品的维修、换件和升级服务</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80</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★培训服务</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供应商提供培训材料、产品手册、培训视频等培训相关内容</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81</w:t>
            </w:r>
          </w:p>
        </w:tc>
        <w:tc>
          <w:tcPr>
            <w:tcW w:w="1154" w:type="dxa"/>
            <w:vMerge w:val="restart"/>
            <w:tcBorders>
              <w:top w:val="nil"/>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周期</w:t>
            </w:r>
          </w:p>
        </w:tc>
        <w:tc>
          <w:tcPr>
            <w:tcW w:w="1677"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#服务周期</w:t>
            </w: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 产品免费服务周期（含换件和维修）应不小于 3 年；</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4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b) 设备停产后继续提供质量保障服务（含备品备件），服务终止时间与最后一批设备交付时间间隔不低于 6 年；</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c) 产品停止服务时间应提前 1 年告知客户；</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154"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d) 产品发布日期需在随机文件中明确</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82</w:t>
            </w:r>
          </w:p>
        </w:tc>
        <w:tc>
          <w:tcPr>
            <w:tcW w:w="1154" w:type="dxa"/>
            <w:vMerge w:val="restart"/>
            <w:tcBorders>
              <w:top w:val="nil"/>
              <w:left w:val="nil"/>
              <w:right w:val="single" w:color="auto" w:sz="8"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工具要求</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★工具要求</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供应商提供设置服务器硬件、辅助操作系统安装等功能的辅助工具和管理软件。且随附软件应具有合法授权或版权</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75"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lang w:bidi="ar"/>
              </w:rPr>
              <w:t>8</w:t>
            </w:r>
            <w:r>
              <w:rPr>
                <w:rFonts w:hint="eastAsia" w:ascii="宋体" w:hAnsi="宋体" w:cs="宋体"/>
                <w:color w:val="000000"/>
                <w:kern w:val="0"/>
                <w:sz w:val="24"/>
                <w:lang w:val="en-US" w:eastAsia="zh-CN" w:bidi="ar"/>
              </w:rPr>
              <w:t>3</w:t>
            </w: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vMerge w:val="restart"/>
            <w:tcBorders>
              <w:top w:val="nil"/>
              <w:left w:val="nil"/>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★驱动安装升级指引</w:t>
            </w:r>
          </w:p>
        </w:tc>
        <w:tc>
          <w:tcPr>
            <w:tcW w:w="5519"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供应商提供出厂安装的配件所需的驱动程序，形式包括但不限于驱动光盘、驱动下载链接等。其他配件应提供指引</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875" w:type="dxa"/>
            <w:vMerge w:val="continue"/>
            <w:tcBorders>
              <w:top w:val="nil"/>
              <w:left w:val="single" w:color="auto" w:sz="8" w:space="0"/>
              <w:bottom w:val="single" w:color="000000" w:sz="8" w:space="0"/>
              <w:right w:val="single" w:color="auto" w:sz="8" w:space="0"/>
            </w:tcBorders>
            <w:vAlign w:val="center"/>
          </w:tcPr>
          <w:p>
            <w:pPr>
              <w:widowControl/>
              <w:jc w:val="center"/>
              <w:textAlignment w:val="center"/>
              <w:rPr>
                <w:rFonts w:ascii="宋体" w:hAnsi="宋体" w:eastAsia="宋体" w:cs="宋体"/>
                <w:color w:val="000000" w:themeColor="text1"/>
                <w:kern w:val="0"/>
                <w:sz w:val="24"/>
                <w:szCs w:val="24"/>
                <w:lang w:val="en-US" w:eastAsia="zh-CN" w:bidi="ar-SA"/>
                <w14:textFill>
                  <w14:solidFill>
                    <w14:schemeClr w14:val="tx1"/>
                  </w14:solidFill>
                </w14:textFill>
              </w:rPr>
            </w:pPr>
          </w:p>
        </w:tc>
        <w:tc>
          <w:tcPr>
            <w:tcW w:w="1154" w:type="dxa"/>
            <w:vMerge w:val="continue"/>
            <w:tcBorders>
              <w:left w:val="nil"/>
              <w:right w:val="single" w:color="auto" w:sz="8" w:space="0"/>
            </w:tcBorders>
            <w:shd w:val="clear" w:color="000000" w:fill="FFFFFF"/>
            <w:vAlign w:val="center"/>
          </w:tcPr>
          <w:p>
            <w:pPr>
              <w:jc w:val="left"/>
              <w:rPr>
                <w:rFonts w:ascii="宋体" w:hAnsi="宋体" w:cs="宋体"/>
                <w:color w:val="000000" w:themeColor="text1"/>
                <w:kern w:val="0"/>
                <w:sz w:val="24"/>
                <w14:textFill>
                  <w14:solidFill>
                    <w14:schemeClr w14:val="tx1"/>
                  </w14:solidFill>
                </w14:textFill>
              </w:rPr>
            </w:pPr>
          </w:p>
        </w:tc>
        <w:tc>
          <w:tcPr>
            <w:tcW w:w="1677"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55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kern w:val="0"/>
                <w:sz w:val="24"/>
                <w:lang w:bidi="ar"/>
              </w:rPr>
              <w:t>84</w:t>
            </w:r>
          </w:p>
        </w:tc>
        <w:tc>
          <w:tcPr>
            <w:tcW w:w="1154" w:type="dxa"/>
            <w:vMerge w:val="continue"/>
            <w:tcBorders>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★管理软件</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具备资源管理、系统管理、性能监控、健康监控、基于网络控制、报警设置功能</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85</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增值服务</w:t>
            </w: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#厂家升级产品软件与扩容服务</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供应商提供原厂级的部件/软件产品升级和扩容能力</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86</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#提供上门服务</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供应商具备提供上门服务的能力(可收费)</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87</w:t>
            </w:r>
          </w:p>
        </w:tc>
        <w:tc>
          <w:tcPr>
            <w:tcW w:w="1154" w:type="dxa"/>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供应链质 量</w:t>
            </w: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★抗干扰性</w:t>
            </w:r>
          </w:p>
        </w:tc>
        <w:tc>
          <w:tcPr>
            <w:tcW w:w="5519"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当产品部件出现供应风险时，应通知客户并提供风险应对方案确保产品的服务保障，必要时应停止相关受影响产品的销售</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15" w:hRule="atLeast"/>
        </w:trPr>
        <w:tc>
          <w:tcPr>
            <w:tcW w:w="875"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r>
              <w:rPr>
                <w:rFonts w:hint="eastAsia" w:ascii="宋体" w:hAnsi="宋体" w:cs="宋体"/>
                <w:color w:val="000000" w:themeColor="text1"/>
                <w:kern w:val="0"/>
                <w:sz w:val="24"/>
                <w:lang w:val="en-US" w:eastAsia="zh-CN"/>
                <w14:textFill>
                  <w14:solidFill>
                    <w14:schemeClr w14:val="tx1"/>
                  </w14:solidFill>
                </w14:textFill>
              </w:rPr>
              <w:t>8</w:t>
            </w:r>
          </w:p>
        </w:tc>
        <w:tc>
          <w:tcPr>
            <w:tcW w:w="115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1677"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★供应能力证明</w:t>
            </w:r>
          </w:p>
        </w:tc>
        <w:tc>
          <w:tcPr>
            <w:tcW w:w="5519" w:type="dxa"/>
            <w:tcBorders>
              <w:top w:val="nil"/>
              <w:left w:val="nil"/>
              <w:bottom w:val="single" w:color="auto" w:sz="8" w:space="0"/>
              <w:right w:val="single" w:color="auto" w:sz="8" w:space="0"/>
            </w:tcBorders>
            <w:shd w:val="clear" w:color="000000"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供应商提供供应链稳定承诺书，确保产品的部件在产品服务周期内稳定供货</w:t>
            </w:r>
          </w:p>
        </w:tc>
        <w:tc>
          <w:tcPr>
            <w:tcW w:w="236" w:type="dxa"/>
            <w:vAlign w:val="center"/>
          </w:tcPr>
          <w:p>
            <w:pPr>
              <w:widowControl/>
              <w:jc w:val="left"/>
              <w:rPr>
                <w:rFonts w:ascii="宋体" w:hAnsi="宋体" w:cs="宋体"/>
                <w:color w:val="000000" w:themeColor="text1"/>
                <w:kern w:val="0"/>
                <w:sz w:val="24"/>
                <w14:textFill>
                  <w14:solidFill>
                    <w14:schemeClr w14:val="tx1"/>
                  </w14:solidFill>
                </w14:textFill>
              </w:rPr>
            </w:pPr>
          </w:p>
        </w:tc>
      </w:tr>
    </w:tbl>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eastAsia="宋体" w:cs="宋体"/>
          <w:i w:val="0"/>
          <w:iCs w:val="0"/>
          <w:caps w:val="0"/>
          <w:color w:val="000000" w:themeColor="text1"/>
          <w:spacing w:val="0"/>
          <w:kern w:val="0"/>
          <w:sz w:val="24"/>
          <w:szCs w:val="24"/>
          <w:shd w:val="clear"/>
          <w14:textFill>
            <w14:solidFill>
              <w14:schemeClr w14:val="tx1"/>
            </w14:solidFill>
          </w14:textFill>
        </w:rPr>
        <w:t>以上服务器设备用于北单游戏系统，该系统不属于为党政机关提供支持保障的电子信息政务系统。鉴于彩票高性能交易系统对兼容性、稳定性和适配性的要求，本项目未将“关于印发《通用服务器政府采购需求标准（2023年版）》的通知（财库〔2023〕33号）"中</w:t>
      </w:r>
      <w:r>
        <w:rPr>
          <w:rFonts w:hint="eastAsia" w:ascii="宋体" w:hAnsi="宋体" w:cs="宋体"/>
          <w:i w:val="0"/>
          <w:iCs w:val="0"/>
          <w:caps w:val="0"/>
          <w:color w:val="000000" w:themeColor="text1"/>
          <w:spacing w:val="0"/>
          <w:kern w:val="0"/>
          <w:sz w:val="24"/>
          <w:szCs w:val="24"/>
          <w:shd w:val="clear"/>
          <w:lang w:eastAsia="zh-CN"/>
          <w14:textFill>
            <w14:solidFill>
              <w14:schemeClr w14:val="tx1"/>
            </w14:solidFill>
          </w14:textFill>
        </w:rPr>
        <w:t>，</w:t>
      </w:r>
      <w:r>
        <w:rPr>
          <w:rFonts w:hint="eastAsia" w:ascii="宋体" w:hAnsi="宋体" w:eastAsia="宋体" w:cs="宋体"/>
          <w:i w:val="0"/>
          <w:iCs w:val="0"/>
          <w:caps w:val="0"/>
          <w:color w:val="000000" w:themeColor="text1"/>
          <w:spacing w:val="0"/>
          <w:kern w:val="0"/>
          <w:sz w:val="24"/>
          <w:szCs w:val="24"/>
          <w:shd w:val="clear"/>
          <w14:textFill>
            <w14:solidFill>
              <w14:schemeClr w14:val="tx1"/>
            </w14:solidFill>
          </w14:textFill>
        </w:rPr>
        <w:t>第75项“安全要求，关键部件安全要求，CPU 和操作系统等关键部件应当符合安全可靠测评要求”纳入采购的必要需求。</w:t>
      </w:r>
    </w:p>
    <w:p>
      <w:pPr>
        <w:rPr>
          <w:rFonts w:ascii="宋体" w:hAnsi="宋体" w:cs="宋体"/>
          <w:color w:val="000000" w:themeColor="text1"/>
          <w:kern w:val="0"/>
          <w:sz w:val="24"/>
          <w14:textFill>
            <w14:solidFill>
              <w14:schemeClr w14:val="tx1"/>
            </w14:solidFill>
          </w14:textFill>
        </w:rPr>
      </w:pP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2、供应商在投标、响应环节出具关于所提供通用服务器满足采购文件要求承诺函的，即视为相关产品符合要求。</w:t>
      </w:r>
    </w:p>
    <w:p>
      <w:pPr>
        <w:pStyle w:val="2"/>
      </w:pPr>
    </w:p>
    <w:p>
      <w:pPr>
        <w:widowControl/>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p>
    <w:p>
      <w:pPr>
        <w:pStyle w:val="3"/>
        <w:numPr>
          <w:ilvl w:val="0"/>
          <w:numId w:val="2"/>
        </w:numPr>
        <w:spacing w:before="0" w:line="240" w:lineRule="auto"/>
        <w:ind w:firstLine="0"/>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光盘存储系统（非核心产品）</w:t>
      </w:r>
    </w:p>
    <w:tbl>
      <w:tblPr>
        <w:tblStyle w:val="7"/>
        <w:tblW w:w="9365" w:type="dxa"/>
        <w:tblInd w:w="93" w:type="dxa"/>
        <w:tblLayout w:type="fixed"/>
        <w:tblCellMar>
          <w:top w:w="0" w:type="dxa"/>
          <w:left w:w="108" w:type="dxa"/>
          <w:bottom w:w="0" w:type="dxa"/>
          <w:right w:w="108" w:type="dxa"/>
        </w:tblCellMar>
      </w:tblPr>
      <w:tblGrid>
        <w:gridCol w:w="724"/>
        <w:gridCol w:w="1814"/>
        <w:gridCol w:w="6827"/>
      </w:tblGrid>
      <w:tr>
        <w:tblPrEx>
          <w:tblLayout w:type="fixed"/>
          <w:tblCellMar>
            <w:top w:w="0" w:type="dxa"/>
            <w:left w:w="108" w:type="dxa"/>
            <w:bottom w:w="0" w:type="dxa"/>
            <w:right w:w="108" w:type="dxa"/>
          </w:tblCellMar>
        </w:tblPrEx>
        <w:trPr>
          <w:trHeight w:val="300"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bCs/>
                <w:color w:val="000000" w:themeColor="text1"/>
                <w:kern w:val="0"/>
                <w:sz w:val="24"/>
                <w:lang w:bidi="ar"/>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序号</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项目</w:t>
            </w:r>
          </w:p>
        </w:tc>
        <w:tc>
          <w:tcPr>
            <w:tcW w:w="6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lang w:bidi="ar"/>
                <w14:textFill>
                  <w14:solidFill>
                    <w14:schemeClr w14:val="tx1"/>
                  </w14:solidFill>
                </w14:textFill>
              </w:rPr>
              <w:t>需求说明</w:t>
            </w:r>
          </w:p>
        </w:tc>
      </w:tr>
      <w:tr>
        <w:tblPrEx>
          <w:tblLayout w:type="fixed"/>
          <w:tblCellMar>
            <w:top w:w="0" w:type="dxa"/>
            <w:left w:w="108" w:type="dxa"/>
            <w:bottom w:w="0" w:type="dxa"/>
            <w:right w:w="108" w:type="dxa"/>
          </w:tblCellMar>
        </w:tblPrEx>
        <w:trPr>
          <w:trHeight w:val="442"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8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color w:val="000000" w:themeColor="text1"/>
                <w:sz w:val="24"/>
                <w14:textFill>
                  <w14:solidFill>
                    <w14:schemeClr w14:val="tx1"/>
                  </w14:solidFill>
                </w14:textFill>
              </w:rPr>
            </w:pPr>
            <w:r>
              <w:rPr>
                <w:rStyle w:val="10"/>
                <w:color w:val="000000" w:themeColor="text1"/>
                <w:sz w:val="24"/>
                <w:szCs w:val="24"/>
                <w:lang w:bidi="ar"/>
                <w14:textFill>
                  <w14:solidFill>
                    <w14:schemeClr w14:val="tx1"/>
                  </w14:solidFill>
                </w14:textFill>
              </w:rPr>
              <w:t>★安装</w:t>
            </w:r>
            <w:r>
              <w:rPr>
                <w:rFonts w:hint="eastAsia" w:ascii="宋体" w:hAnsi="宋体" w:cs="宋体"/>
                <w:color w:val="000000" w:themeColor="text1"/>
                <w:kern w:val="0"/>
                <w:sz w:val="24"/>
                <w:lang w:bidi="ar"/>
                <w14:textFill>
                  <w14:solidFill>
                    <w14:schemeClr w14:val="tx1"/>
                  </w14:solidFill>
                </w14:textFill>
              </w:rPr>
              <w:t>规格</w:t>
            </w:r>
          </w:p>
        </w:tc>
        <w:tc>
          <w:tcPr>
            <w:tcW w:w="68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设备可安装至600mm宽的标准机架</w:t>
            </w: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如设备为非标准机架，需免费提供定制安装机柜</w:t>
            </w:r>
          </w:p>
        </w:tc>
      </w:tr>
      <w:tr>
        <w:tblPrEx>
          <w:tblLayout w:type="fixed"/>
          <w:tblCellMar>
            <w:top w:w="0" w:type="dxa"/>
            <w:left w:w="108" w:type="dxa"/>
            <w:bottom w:w="0" w:type="dxa"/>
            <w:right w:w="108"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bidi="ar"/>
                <w14:textFill>
                  <w14:solidFill>
                    <w14:schemeClr w14:val="tx1"/>
                  </w14:solidFill>
                </w14:textFill>
              </w:rPr>
              <w:t>外观</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设备机体有透明门窗，可实时人工查看设备内部的运行状况，自带报警指示灯，判断及显示设备运行状态（证明材料不限于技术规格书或产品白皮书或产品官网截图或检测报告）</w:t>
            </w:r>
          </w:p>
        </w:tc>
      </w:tr>
      <w:tr>
        <w:tblPrEx>
          <w:tblLayout w:type="fixed"/>
          <w:tblCellMar>
            <w:top w:w="0" w:type="dxa"/>
            <w:left w:w="108" w:type="dxa"/>
            <w:bottom w:w="0" w:type="dxa"/>
            <w:right w:w="108" w:type="dxa"/>
          </w:tblCellMar>
        </w:tblPrEx>
        <w:trPr>
          <w:trHeight w:val="44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bidi="ar"/>
                <w14:textFill>
                  <w14:solidFill>
                    <w14:schemeClr w14:val="tx1"/>
                  </w14:solidFill>
                </w14:textFill>
              </w:rPr>
              <w:t>光盘管理</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设备最大光盘管理数量 ≥400张，有独立输入加载仓，单次加载≥20片</w:t>
            </w:r>
          </w:p>
        </w:tc>
      </w:tr>
      <w:tr>
        <w:tblPrEx>
          <w:tblLayout w:type="fixed"/>
          <w:tblCellMar>
            <w:top w:w="0" w:type="dxa"/>
            <w:left w:w="108" w:type="dxa"/>
            <w:bottom w:w="0" w:type="dxa"/>
            <w:right w:w="108" w:type="dxa"/>
          </w:tblCellMar>
        </w:tblPrEx>
        <w:trPr>
          <w:trHeight w:val="69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Style w:val="10"/>
                <w:color w:val="000000" w:themeColor="text1"/>
                <w:sz w:val="24"/>
                <w:szCs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刻录机数量</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含至少4个BD-R蓝光刻录机，支持CD、DVD、BD多种规格光盘的刻录打印</w:t>
            </w:r>
          </w:p>
        </w:tc>
      </w:tr>
      <w:tr>
        <w:tblPrEx>
          <w:tblLayout w:type="fixed"/>
          <w:tblCellMar>
            <w:top w:w="0" w:type="dxa"/>
            <w:left w:w="108" w:type="dxa"/>
            <w:bottom w:w="0" w:type="dxa"/>
            <w:right w:w="108" w:type="dxa"/>
          </w:tblCellMar>
        </w:tblPrEx>
        <w:trPr>
          <w:trHeight w:val="99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Style w:val="10"/>
                <w:color w:val="000000" w:themeColor="text1"/>
                <w:sz w:val="24"/>
                <w:szCs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刻录存储方式</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设备支持单张光盘刻录。刻录后的光盘，可使用一般光驱读取数据，无需额外使用其他特殊软件或特别设备</w:t>
            </w:r>
          </w:p>
        </w:tc>
      </w:tr>
      <w:tr>
        <w:tblPrEx>
          <w:tblLayout w:type="fixed"/>
          <w:tblCellMar>
            <w:top w:w="0" w:type="dxa"/>
            <w:left w:w="108" w:type="dxa"/>
            <w:bottom w:w="0" w:type="dxa"/>
            <w:right w:w="108"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光盘抓放</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通过机械手臂等方式，自动完成取盘、放盘、送盘、出盘等流程，一盘一仓</w:t>
            </w:r>
          </w:p>
        </w:tc>
      </w:tr>
      <w:tr>
        <w:tblPrEx>
          <w:tblLayout w:type="fixed"/>
          <w:tblCellMar>
            <w:top w:w="0" w:type="dxa"/>
            <w:left w:w="108" w:type="dxa"/>
            <w:bottom w:w="0" w:type="dxa"/>
            <w:right w:w="108" w:type="dxa"/>
          </w:tblCellMar>
        </w:tblPrEx>
        <w:trPr>
          <w:trHeight w:val="132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Style w:val="10"/>
                <w:color w:val="000000" w:themeColor="text1"/>
                <w:sz w:val="24"/>
                <w:szCs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刻录光盘格式</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BD：BD-R TL、BD-R DL、BD－R；</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DVD：DVD±R, DVD±RW, DVD±DL；</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CD：CD-R, CD-RW；</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支持多种类型光盘混装</w:t>
            </w:r>
          </w:p>
        </w:tc>
      </w:tr>
      <w:tr>
        <w:tblPrEx>
          <w:tblLayout w:type="fixed"/>
          <w:tblCellMar>
            <w:top w:w="0" w:type="dxa"/>
            <w:left w:w="108" w:type="dxa"/>
            <w:bottom w:w="0" w:type="dxa"/>
            <w:right w:w="108" w:type="dxa"/>
          </w:tblCellMar>
        </w:tblPrEx>
        <w:trPr>
          <w:trHeight w:val="33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Style w:val="10"/>
                <w:color w:val="000000" w:themeColor="text1"/>
                <w:sz w:val="24"/>
                <w:szCs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光盘打印</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支持盘面自定义内容打印，如文字，日期，自定义图片等</w:t>
            </w:r>
          </w:p>
        </w:tc>
      </w:tr>
      <w:tr>
        <w:tblPrEx>
          <w:tblLayout w:type="fixed"/>
          <w:tblCellMar>
            <w:top w:w="0" w:type="dxa"/>
            <w:left w:w="108" w:type="dxa"/>
            <w:bottom w:w="0" w:type="dxa"/>
            <w:right w:w="108"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光盘打印参数</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支持分辨率不低于4800X1200 dpi彩色打印</w:t>
            </w:r>
          </w:p>
        </w:tc>
      </w:tr>
      <w:tr>
        <w:tblPrEx>
          <w:tblLayout w:type="fixed"/>
          <w:tblCellMar>
            <w:top w:w="0" w:type="dxa"/>
            <w:left w:w="108" w:type="dxa"/>
            <w:bottom w:w="0" w:type="dxa"/>
            <w:right w:w="108" w:type="dxa"/>
          </w:tblCellMar>
        </w:tblPrEx>
        <w:trPr>
          <w:trHeight w:val="231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刻录模式</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★支持数据多任务并发刻录与读取；</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★支持光盘多次追加写入，可续刻直至光盘写满；</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sz w:val="24"/>
                <w:shd w:val="clear" w:color="auto" w:fill="FFFFFF"/>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支持从光盘读取文件；</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支持批量数据自定义分盘；</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支持光盘类型自动识别；</w:t>
            </w:r>
          </w:p>
        </w:tc>
      </w:tr>
      <w:tr>
        <w:tblPrEx>
          <w:tblLayout w:type="fixed"/>
          <w:tblCellMar>
            <w:top w:w="0" w:type="dxa"/>
            <w:left w:w="108" w:type="dxa"/>
            <w:bottom w:w="0" w:type="dxa"/>
            <w:right w:w="108"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sz w:val="24"/>
                <w14:textFill>
                  <w14:solidFill>
                    <w14:schemeClr w14:val="tx1"/>
                  </w14:solidFill>
                </w14:textFill>
              </w:rPr>
            </w:pPr>
            <w:r>
              <w:rPr>
                <w:rStyle w:val="10"/>
                <w:color w:val="000000" w:themeColor="text1"/>
                <w:sz w:val="24"/>
                <w:szCs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数据接口</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设备提供TCP/IP协议千兆自适应RJ45口和USB（3.0）接口，实现远程设备操控以及数据传输</w:t>
            </w:r>
          </w:p>
        </w:tc>
      </w:tr>
      <w:tr>
        <w:tblPrEx>
          <w:tblLayout w:type="fixed"/>
          <w:tblCellMar>
            <w:top w:w="0" w:type="dxa"/>
            <w:left w:w="108" w:type="dxa"/>
            <w:bottom w:w="0" w:type="dxa"/>
            <w:right w:w="108" w:type="dxa"/>
          </w:tblCellMar>
        </w:tblPrEx>
        <w:trPr>
          <w:trHeight w:val="33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安全性</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支持刻录加密，数据防删除、篡改等安全保密功能</w:t>
            </w:r>
          </w:p>
        </w:tc>
      </w:tr>
      <w:tr>
        <w:tblPrEx>
          <w:tblLayout w:type="fixed"/>
          <w:tblCellMar>
            <w:top w:w="0" w:type="dxa"/>
            <w:left w:w="108" w:type="dxa"/>
            <w:bottom w:w="0" w:type="dxa"/>
            <w:right w:w="108" w:type="dxa"/>
          </w:tblCellMar>
        </w:tblPrEx>
        <w:trPr>
          <w:trHeight w:val="33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安全机制设计</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支持开门机械臂急停和关门自动归位；自动判断光盘刻录结果，失败自动重刻机制、安全机制等</w:t>
            </w:r>
          </w:p>
        </w:tc>
      </w:tr>
      <w:tr>
        <w:tblPrEx>
          <w:tblLayout w:type="fixed"/>
          <w:tblCellMar>
            <w:top w:w="0" w:type="dxa"/>
            <w:left w:w="108" w:type="dxa"/>
            <w:bottom w:w="0" w:type="dxa"/>
            <w:right w:w="108" w:type="dxa"/>
          </w:tblCellMar>
        </w:tblPrEx>
        <w:trPr>
          <w:trHeight w:val="99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sz w:val="24"/>
                <w14:textFill>
                  <w14:solidFill>
                    <w14:schemeClr w14:val="tx1"/>
                  </w14:solidFill>
                </w14:textFill>
              </w:rPr>
            </w:pPr>
            <w:r>
              <w:rPr>
                <w:rStyle w:val="10"/>
                <w:color w:val="000000" w:themeColor="text1"/>
                <w:sz w:val="24"/>
                <w:szCs w:val="24"/>
                <w:lang w:bidi="ar"/>
                <w14:textFill>
                  <w14:solidFill>
                    <w14:schemeClr w14:val="tx1"/>
                  </w14:solidFill>
                </w14:textFill>
              </w:rPr>
              <w:t>★支持</w:t>
            </w:r>
            <w:r>
              <w:rPr>
                <w:rFonts w:hint="eastAsia" w:ascii="宋体" w:hAnsi="宋体" w:cs="宋体"/>
                <w:color w:val="000000" w:themeColor="text1"/>
                <w:kern w:val="0"/>
                <w:sz w:val="24"/>
                <w:lang w:bidi="ar"/>
                <w14:textFill>
                  <w14:solidFill>
                    <w14:schemeClr w14:val="tx1"/>
                  </w14:solidFill>
                </w14:textFill>
              </w:rPr>
              <w:t>二次开发</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提供开放式系统调用API接口。支持并免费提供设备二次开发SDK开发包，可通过第三方应用调用，实现光盘刻录、刻录封盘、光盘打印、光盘信息读取等任务</w:t>
            </w:r>
          </w:p>
        </w:tc>
      </w:tr>
      <w:tr>
        <w:tblPrEx>
          <w:tblLayout w:type="fixed"/>
          <w:tblCellMar>
            <w:top w:w="0" w:type="dxa"/>
            <w:left w:w="108" w:type="dxa"/>
            <w:bottom w:w="0" w:type="dxa"/>
            <w:right w:w="108" w:type="dxa"/>
          </w:tblCellMar>
        </w:tblPrEx>
        <w:trPr>
          <w:trHeight w:val="76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bidi="ar"/>
                <w14:textFill>
                  <w14:solidFill>
                    <w14:schemeClr w14:val="tx1"/>
                  </w14:solidFill>
                </w14:textFill>
              </w:rPr>
              <w:t>系统及配置</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设备配有内置主机系统，主机系统配置性能不低于（I7/16G内存/2T以上硬盘）。系统软件支持Win7及以上操作系统，可支持国产化操作系统</w:t>
            </w:r>
          </w:p>
        </w:tc>
      </w:tr>
      <w:tr>
        <w:tblPrEx>
          <w:tblLayout w:type="fixed"/>
          <w:tblCellMar>
            <w:top w:w="0" w:type="dxa"/>
            <w:left w:w="108" w:type="dxa"/>
            <w:bottom w:w="0" w:type="dxa"/>
            <w:right w:w="108" w:type="dxa"/>
          </w:tblCellMar>
        </w:tblPrEx>
        <w:trPr>
          <w:trHeight w:val="60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16</w:t>
            </w:r>
          </w:p>
        </w:tc>
        <w:tc>
          <w:tcPr>
            <w:tcW w:w="1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运行监控及管理</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可展示设备相关任务执行进度及结果信息；</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支持与其他监控设备及监控平台进行对接，实现设备运行情况远程监控</w:t>
            </w:r>
          </w:p>
        </w:tc>
      </w:tr>
      <w:tr>
        <w:tblPrEx>
          <w:tblLayout w:type="fixed"/>
          <w:tblCellMar>
            <w:top w:w="0" w:type="dxa"/>
            <w:left w:w="108" w:type="dxa"/>
            <w:bottom w:w="0" w:type="dxa"/>
            <w:right w:w="108"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0"/>
                <w:rFonts w:hint="default"/>
                <w:color w:val="000000" w:themeColor="text1"/>
                <w:sz w:val="24"/>
                <w:szCs w:val="24"/>
                <w:lang w:bidi="ar"/>
                <w14:textFill>
                  <w14:solidFill>
                    <w14:schemeClr w14:val="tx1"/>
                  </w14:solidFill>
                </w14:textFill>
              </w:rPr>
            </w:pPr>
            <w:r>
              <w:rPr>
                <w:rFonts w:hint="eastAsia" w:ascii="宋体" w:hAnsi="宋体" w:cs="宋体"/>
                <w:color w:val="000000" w:themeColor="text1"/>
                <w:sz w:val="24"/>
                <w14:textFill>
                  <w14:solidFill>
                    <w14:schemeClr w14:val="tx1"/>
                  </w14:solidFill>
                </w14:textFill>
              </w:rPr>
              <w:t>17</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0"/>
                <w:rFonts w:hint="default"/>
                <w:color w:val="000000" w:themeColor="text1"/>
                <w:sz w:val="24"/>
                <w:szCs w:val="24"/>
                <w:lang w:bidi="ar"/>
                <w14:textFill>
                  <w14:solidFill>
                    <w14:schemeClr w14:val="tx1"/>
                  </w14:solidFill>
                </w14:textFill>
              </w:rPr>
            </w:pPr>
            <w:r>
              <w:rPr>
                <w:rStyle w:val="10"/>
                <w:color w:val="000000" w:themeColor="text1"/>
                <w:sz w:val="24"/>
                <w:szCs w:val="24"/>
                <w:lang w:bidi="ar"/>
                <w14:textFill>
                  <w14:solidFill>
                    <w14:schemeClr w14:val="tx1"/>
                  </w14:solidFill>
                </w14:textFill>
              </w:rPr>
              <w:t>★提供初始光盘</w:t>
            </w:r>
          </w:p>
        </w:tc>
        <w:tc>
          <w:tcPr>
            <w:tcW w:w="6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为单台设备提供专业级50G容量蓝光光盘≥200张（需提供承诺函并加盖公章）</w:t>
            </w:r>
          </w:p>
        </w:tc>
      </w:tr>
    </w:tbl>
    <w:p>
      <w:pPr>
        <w:rPr>
          <w:rFonts w:ascii="宋体" w:hAnsi="宋体" w:cs="宋体"/>
          <w:color w:val="000000" w:themeColor="text1"/>
          <w:kern w:val="0"/>
          <w:sz w:val="24"/>
          <w14:textFill>
            <w14:solidFill>
              <w14:schemeClr w14:val="tx1"/>
            </w14:solidFill>
          </w14:textFill>
        </w:rPr>
      </w:pPr>
    </w:p>
    <w:p>
      <w:pPr>
        <w:widowControl/>
        <w:jc w:val="left"/>
        <w:rPr>
          <w:rFonts w:ascii="宋体" w:hAnsi="宋体" w:cs="宋体"/>
          <w:color w:val="000000" w:themeColor="text1"/>
          <w:sz w:val="24"/>
          <w14:textFill>
            <w14:solidFill>
              <w14:schemeClr w14:val="tx1"/>
            </w14:solidFill>
          </w14:textFill>
        </w:rPr>
      </w:pPr>
    </w:p>
    <w:p>
      <w:pPr>
        <w:widowControl/>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p>
    <w:p>
      <w:pPr>
        <w:rPr>
          <w:rFonts w:ascii="宋体" w:hAnsi="宋体" w:cs="宋体"/>
          <w:color w:val="000000" w:themeColor="text1"/>
          <w:sz w:val="24"/>
          <w14:textFill>
            <w14:solidFill>
              <w14:schemeClr w14:val="tx1"/>
            </w14:solidFill>
          </w14:textFill>
        </w:rPr>
      </w:pPr>
    </w:p>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三、其他服务需求</w:t>
      </w:r>
    </w:p>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（一）安装部署服务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设备送达采购方制定地点后，投标人应提供设备的安装和部署服务，协助采购人要求完成安装、调试，配置及优化,直至设备正常运行并通过验收。</w:t>
      </w:r>
    </w:p>
    <w:p>
      <w:pPr>
        <w:spacing w:line="360" w:lineRule="auto"/>
        <w:ind w:firstLine="480" w:firstLineChars="200"/>
        <w:rPr>
          <w:rFonts w:ascii="宋体" w:hAnsi="宋体" w:cs="宋体"/>
          <w:color w:val="000000" w:themeColor="text1"/>
          <w:sz w:val="24"/>
          <w14:textFill>
            <w14:solidFill>
              <w14:schemeClr w14:val="tx1"/>
            </w14:solidFill>
          </w14:textFill>
        </w:rPr>
      </w:pPr>
    </w:p>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（二）培训</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安排专业技术人员，向采购人的维护人员提供设备的操作使用和维护培训，培训内容包括：设备功能、维护、巡检、故障排查等,以使采购人掌握设备的功能、特点和必要的维护知识，提升维护能力，有利于保证设备长期稳定运行。培训过程中，供应商需提供培训材料、产品手册、培训视频等培训相关内容，培训所需费用，并应包含在投标报价中。</w:t>
      </w:r>
    </w:p>
    <w:p>
      <w:pPr>
        <w:spacing w:line="360" w:lineRule="auto"/>
        <w:ind w:firstLine="480" w:firstLineChars="200"/>
        <w:rPr>
          <w:rFonts w:ascii="宋体" w:hAnsi="宋体" w:cs="宋体"/>
          <w:color w:val="000000" w:themeColor="text1"/>
          <w:sz w:val="24"/>
          <w14:textFill>
            <w14:solidFill>
              <w14:schemeClr w14:val="tx1"/>
            </w14:solidFill>
          </w14:textFill>
        </w:rPr>
      </w:pPr>
    </w:p>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四、交货时间及交货地点</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自合同签订之日起30个自然日内，送至甲方指定地点。</w:t>
      </w:r>
    </w:p>
    <w:p>
      <w:pPr>
        <w:pStyle w:val="2"/>
        <w:rPr>
          <w:rFonts w:hAnsi="宋体" w:cs="宋体"/>
          <w:color w:val="000000" w:themeColor="text1"/>
          <w14:textFill>
            <w14:solidFill>
              <w14:schemeClr w14:val="tx1"/>
            </w14:solidFill>
          </w14:textFill>
        </w:rPr>
      </w:pPr>
    </w:p>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五、支付进度及条件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合同签订之日起，采购人收到投标人发票后的15个工作日内支付项目总价的50%作为首付款。设备交付并通过验收后，采购人收到投标人发票后的15个工作日内，支付剩余款项。</w:t>
      </w:r>
    </w:p>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六、验收标准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投标方并根据甲方要求，完成全部设备的部署安装，待设备通电正常运行48小时后，即可开始验收。验收过程如下：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（1）服务器数量，以及相关配件数量与合同相符；</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（2）设备安装及外观验收：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a)服务器的零部件应紧固无松动，可插拔部件应可靠连接，开关、按钮和其它控制部件应灵活可靠，布局应方便使用；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b)产品表面不应有明显的凹痕、划伤、裂缝、变形和污染等。表面涂层均匀，不应起泡、龟裂、脱落和磨损，金属零部件无锈蚀及其它机械损伤；</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 产品表面说明功能的文字、符号和标志应清晰、端正且牢固；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d) 应在服务器的显著位置提供运行状态的指示功能，并在随机文件中明确具体含义；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e) 机架、机箱的尺寸应符合通用机柜的安装要求，插入总线插座的电路板接口外形尺寸应符合有关总线标准的规定，将机箱固定在机柜上，机箱底面最大下垂变形不得干涉相邻机体；</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（3）配置参数</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检查服务器硬件是否符合采购合同或需求文档中的规定，包括处理器、内存、存储、网络适配器等。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（4）软件配置验收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核实服务器预装系统、软件和驱动程序等，符合合同要求，检查软件版本、许可证激活状态正常。</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（5）网络连通性</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服务器与其他网络设备连通性和传输速度符合预期。</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（6）电源和散热</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服务器电源正常使用，电源参数符合合同和需求要求，散热系统有效。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（7）文件验收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根据合同要求，验收随机授权，产品质保证明文件等。</w:t>
      </w:r>
    </w:p>
    <w:p>
      <w:pPr>
        <w:numPr>
          <w:numId w:val="0"/>
        </w:numPr>
        <w:spacing w:line="360" w:lineRule="auto"/>
        <w:rPr>
          <w:rFonts w:hint="eastAsia" w:asciiTheme="minorEastAsia" w:hAnsiTheme="minorEastAsia"/>
          <w:szCs w:val="21"/>
        </w:rPr>
      </w:pPr>
      <w:r>
        <w:rPr>
          <w:rFonts w:hint="eastAsia"/>
          <w:sz w:val="24"/>
          <w:lang w:val="en-US" w:eastAsia="zh-CN"/>
        </w:rPr>
        <w:t>四、</w:t>
      </w:r>
      <w:r>
        <w:rPr>
          <w:rFonts w:hint="eastAsia"/>
        </w:rPr>
        <w:t>采购项目需要落实的政府采购政策</w:t>
      </w:r>
    </w:p>
    <w:p>
      <w:pPr>
        <w:rPr>
          <w:rFonts w:hint="eastAsia"/>
        </w:rPr>
      </w:pPr>
      <w:r>
        <w:rPr>
          <w:rFonts w:hint="eastAsia"/>
        </w:rPr>
        <w:t>（一）中小微企业政策</w:t>
      </w:r>
    </w:p>
    <w:p>
      <w:pPr>
        <w:kinsoku w:val="0"/>
        <w:overflowPunct w:val="0"/>
        <w:autoSpaceDE w:val="0"/>
        <w:autoSpaceDN w:val="0"/>
        <w:snapToGrid w:val="0"/>
        <w:spacing w:line="320" w:lineRule="exact"/>
        <w:rPr>
          <w:rFonts w:ascii="宋体" w:hAnsi="宋体" w:cs="微软雅黑"/>
          <w:bCs/>
          <w:szCs w:val="21"/>
        </w:rPr>
      </w:pPr>
      <w:r>
        <w:rPr>
          <w:rFonts w:hint="eastAsia" w:ascii="宋体" w:hAnsi="宋体"/>
          <w:szCs w:val="21"/>
        </w:rPr>
        <w:t>说明：</w:t>
      </w:r>
    </w:p>
    <w:p>
      <w:pPr>
        <w:kinsoku w:val="0"/>
        <w:overflowPunct w:val="0"/>
        <w:autoSpaceDE w:val="0"/>
        <w:autoSpaceDN w:val="0"/>
        <w:snapToGrid w:val="0"/>
        <w:spacing w:line="320" w:lineRule="exact"/>
        <w:rPr>
          <w:rFonts w:ascii="宋体" w:hAnsi="宋体" w:cs="微软雅黑"/>
          <w:bCs/>
          <w:szCs w:val="21"/>
        </w:rPr>
      </w:pPr>
      <w:r>
        <w:rPr>
          <w:rFonts w:hint="eastAsia" w:ascii="宋体" w:hAnsi="宋体" w:cs="微软雅黑"/>
          <w:bCs/>
          <w:szCs w:val="21"/>
        </w:rPr>
        <w:t>（1）</w:t>
      </w:r>
      <w:r>
        <w:rPr>
          <w:rFonts w:hint="eastAsia" w:ascii="宋体" w:hAnsi="宋体"/>
          <w:szCs w:val="21"/>
        </w:rPr>
        <w:t>根据财政部 、工业和信息化部关于印发《政府采购促进中小企业发展管理办法》的通知（财库</w:t>
      </w:r>
      <w:r>
        <w:rPr>
          <w:rFonts w:hint="eastAsia" w:ascii="宋体" w:hAnsi="宋体" w:cs="微软雅黑"/>
          <w:bCs/>
          <w:szCs w:val="21"/>
        </w:rPr>
        <w:t>〔2020〕</w:t>
      </w:r>
      <w:r>
        <w:rPr>
          <w:rFonts w:hint="eastAsia" w:ascii="宋体" w:hAnsi="宋体"/>
          <w:szCs w:val="21"/>
        </w:rPr>
        <w:t>46号）的要求，</w:t>
      </w:r>
      <w:r>
        <w:rPr>
          <w:rFonts w:hint="eastAsia" w:ascii="宋体" w:hAnsi="宋体" w:cs="微软雅黑"/>
          <w:b/>
          <w:bCs/>
          <w:szCs w:val="21"/>
        </w:rPr>
        <w:t>投标人提供的货物、工程或者服务符合享受本办法规定的中小企业扶持政策的</w:t>
      </w:r>
      <w:r>
        <w:rPr>
          <w:rFonts w:hint="eastAsia" w:ascii="宋体" w:hAnsi="宋体" w:cs="微软雅黑"/>
          <w:bCs/>
          <w:szCs w:val="21"/>
        </w:rPr>
        <w:t>，根据招标文件格式提供《中小企业声明函》。</w:t>
      </w:r>
    </w:p>
    <w:p>
      <w:pPr>
        <w:kinsoku w:val="0"/>
        <w:overflowPunct w:val="0"/>
        <w:autoSpaceDE w:val="0"/>
        <w:autoSpaceDN w:val="0"/>
        <w:snapToGrid w:val="0"/>
        <w:spacing w:line="320" w:lineRule="exact"/>
        <w:rPr>
          <w:rFonts w:ascii="宋体" w:hAnsi="宋体" w:cs="微软雅黑"/>
          <w:b/>
          <w:bCs/>
          <w:color w:val="FF0000"/>
          <w:szCs w:val="21"/>
        </w:rPr>
      </w:pPr>
      <w:r>
        <w:rPr>
          <w:rFonts w:hint="eastAsia" w:ascii="宋体" w:hAnsi="宋体" w:cs="微软雅黑"/>
          <w:b/>
          <w:bCs/>
          <w:color w:val="FF0000"/>
          <w:szCs w:val="21"/>
        </w:rPr>
        <w:t>在货物采购项目中，投标人提供的货物既有中小企业制造货物，也有大型企业制造货物的，不享受本办法规定的中小企业扶持政策，无须提供《</w:t>
      </w:r>
      <w:bookmarkStart w:id="0" w:name="_GoBack"/>
      <w:bookmarkEnd w:id="0"/>
      <w:r>
        <w:rPr>
          <w:rFonts w:hint="eastAsia" w:ascii="宋体" w:hAnsi="宋体" w:cs="微软雅黑"/>
          <w:b/>
          <w:bCs/>
          <w:color w:val="FF0000"/>
          <w:szCs w:val="21"/>
        </w:rPr>
        <w:t>中小企业声明函》。</w:t>
      </w:r>
    </w:p>
    <w:p>
      <w:pPr>
        <w:kinsoku w:val="0"/>
        <w:overflowPunct w:val="0"/>
        <w:autoSpaceDE w:val="0"/>
        <w:autoSpaceDN w:val="0"/>
        <w:snapToGrid w:val="0"/>
        <w:spacing w:line="320" w:lineRule="exact"/>
        <w:rPr>
          <w:rFonts w:ascii="宋体" w:hAnsi="宋体" w:cs="微软雅黑"/>
          <w:bCs/>
          <w:szCs w:val="21"/>
        </w:rPr>
      </w:pPr>
      <w:r>
        <w:rPr>
          <w:rFonts w:hint="eastAsia" w:ascii="宋体" w:hAnsi="宋体" w:cs="微软雅黑"/>
          <w:bCs/>
          <w:szCs w:val="21"/>
        </w:rPr>
        <w:t>（2）根据财政部、司法部《关于政府采购支持监狱企业发展有关问题》的通知（财库〔2014〕68号），监狱企业参加本项目投标时，应当提供由省级以上监狱管理局、戒毒管理局（新疆生产建设兵团）出具的属于监狱企业的证明文件。监狱企业视同</w:t>
      </w:r>
      <w:r>
        <w:rPr>
          <w:rFonts w:hint="eastAsia" w:ascii="宋体" w:hAnsi="宋体" w:cs="微软雅黑"/>
          <w:b/>
          <w:bCs/>
          <w:szCs w:val="21"/>
        </w:rPr>
        <w:t>小型、微型企业</w:t>
      </w:r>
      <w:r>
        <w:rPr>
          <w:rFonts w:hint="eastAsia" w:ascii="宋体" w:hAnsi="宋体" w:cs="微软雅黑"/>
          <w:bCs/>
          <w:szCs w:val="21"/>
        </w:rPr>
        <w:t>。</w:t>
      </w:r>
    </w:p>
    <w:p>
      <w:pPr>
        <w:kinsoku w:val="0"/>
        <w:overflowPunct w:val="0"/>
        <w:autoSpaceDE w:val="0"/>
        <w:autoSpaceDN w:val="0"/>
        <w:snapToGrid w:val="0"/>
        <w:spacing w:line="320" w:lineRule="exact"/>
        <w:rPr>
          <w:rFonts w:ascii="宋体" w:hAnsi="宋体" w:cs="微软雅黑"/>
          <w:bCs/>
          <w:szCs w:val="21"/>
        </w:rPr>
      </w:pPr>
      <w:r>
        <w:rPr>
          <w:rFonts w:hint="eastAsia" w:ascii="宋体" w:hAnsi="宋体" w:cs="微软雅黑"/>
          <w:bCs/>
          <w:szCs w:val="21"/>
        </w:rPr>
        <w:t>（3）根据财政部、民政部、中国残疾人联合会《关于促进残疾人就业政府采购政策的通知》（财库〔2017〕141号），在政府采购活动中，残疾人福利性单位</w:t>
      </w:r>
      <w:r>
        <w:rPr>
          <w:rFonts w:hint="eastAsia" w:ascii="宋体" w:hAnsi="宋体" w:cs="微软雅黑"/>
          <w:b/>
          <w:bCs/>
          <w:szCs w:val="21"/>
        </w:rPr>
        <w:t>视同小型、微型</w:t>
      </w:r>
      <w:r>
        <w:rPr>
          <w:rFonts w:hint="eastAsia" w:ascii="宋体" w:hAnsi="宋体" w:cs="微软雅黑"/>
          <w:bCs/>
          <w:szCs w:val="21"/>
        </w:rPr>
        <w:t>企业，享受同等价格扣除，但同时属于残疾人福利性单位和小微企业的，不重复价格扣除。投标人属于残疾人福利性单位的，根据招标文件格式提供《残疾人福利性单位声明函》。</w:t>
      </w:r>
    </w:p>
    <w:p>
      <w:pPr>
        <w:pStyle w:val="6"/>
        <w:kinsoku w:val="0"/>
        <w:overflowPunct w:val="0"/>
        <w:autoSpaceDE w:val="0"/>
        <w:autoSpaceDN w:val="0"/>
        <w:spacing w:line="320" w:lineRule="exact"/>
        <w:rPr>
          <w:rFonts w:hAnsi="宋体"/>
        </w:rPr>
      </w:pPr>
    </w:p>
    <w:p>
      <w:pPr>
        <w:pStyle w:val="6"/>
        <w:kinsoku w:val="0"/>
        <w:overflowPunct w:val="0"/>
        <w:autoSpaceDE w:val="0"/>
        <w:autoSpaceDN w:val="0"/>
        <w:spacing w:line="320" w:lineRule="exact"/>
        <w:rPr>
          <w:rFonts w:hAnsi="宋体"/>
        </w:rPr>
      </w:pPr>
      <w:r>
        <w:rPr>
          <w:rFonts w:hint="eastAsia" w:hAnsi="宋体"/>
        </w:rPr>
        <w:t>具体执行规定：</w:t>
      </w:r>
    </w:p>
    <w:p>
      <w:pPr>
        <w:pStyle w:val="6"/>
        <w:kinsoku w:val="0"/>
        <w:overflowPunct w:val="0"/>
        <w:autoSpaceDE w:val="0"/>
        <w:autoSpaceDN w:val="0"/>
        <w:spacing w:line="320" w:lineRule="exact"/>
        <w:rPr>
          <w:rFonts w:hAnsi="宋体"/>
          <w:shd w:val="clear" w:color="auto" w:fill="FFFFFF"/>
        </w:rPr>
      </w:pPr>
      <w:r>
        <w:rPr>
          <w:rFonts w:hint="eastAsia" w:hAnsi="宋体"/>
          <w:shd w:val="clear" w:color="auto" w:fill="FFFFFF"/>
        </w:rPr>
        <w:t>（1）本项目对属于小型和微型企业的投标人的投标报价给予</w:t>
      </w:r>
      <w:r>
        <w:rPr>
          <w:rFonts w:hint="eastAsia" w:hAnsi="宋体"/>
          <w:color w:val="FF0000"/>
          <w:shd w:val="clear" w:color="auto" w:fill="FFFFFF"/>
        </w:rPr>
        <w:t>10%</w:t>
      </w:r>
      <w:r>
        <w:rPr>
          <w:rFonts w:hint="eastAsia" w:hAnsi="宋体"/>
          <w:shd w:val="clear" w:color="auto" w:fill="FFFFFF"/>
        </w:rPr>
        <w:t>的扣除，用扣除后的价格参与评审。</w:t>
      </w:r>
    </w:p>
    <w:p>
      <w:pPr>
        <w:kinsoku w:val="0"/>
        <w:overflowPunct w:val="0"/>
        <w:autoSpaceDE w:val="0"/>
        <w:autoSpaceDN w:val="0"/>
        <w:snapToGrid w:val="0"/>
        <w:spacing w:line="320" w:lineRule="exact"/>
        <w:rPr>
          <w:rFonts w:ascii="宋体" w:hAnsi="宋体" w:cs="微软雅黑"/>
          <w:bCs/>
          <w:szCs w:val="21"/>
        </w:rPr>
      </w:pPr>
      <w:r>
        <w:rPr>
          <w:rFonts w:hint="eastAsia" w:ascii="宋体" w:hAnsi="宋体" w:cs="微软雅黑"/>
          <w:bCs/>
          <w:szCs w:val="21"/>
        </w:rPr>
        <w:t>（2）采购标的对应的中小企业划分标准所属行业详见第四章采购需求中的采购清单。</w:t>
      </w:r>
    </w:p>
    <w:p>
      <w:pPr>
        <w:kinsoku w:val="0"/>
        <w:overflowPunct w:val="0"/>
        <w:autoSpaceDE w:val="0"/>
        <w:autoSpaceDN w:val="0"/>
        <w:snapToGrid w:val="0"/>
        <w:spacing w:line="320" w:lineRule="exact"/>
        <w:rPr>
          <w:rFonts w:ascii="宋体" w:hAnsi="宋体" w:cs="微软雅黑"/>
          <w:bCs/>
          <w:szCs w:val="21"/>
        </w:rPr>
      </w:pPr>
      <w:r>
        <w:rPr>
          <w:rFonts w:hint="eastAsia" w:ascii="宋体" w:hAnsi="宋体" w:cs="微软雅黑"/>
          <w:bCs/>
          <w:szCs w:val="21"/>
        </w:rPr>
        <w:t>中小企业划分标准详见工业和信息化部、国家统计局、国家发展和改革委员会、财政部联合印发的《关于印发中小企业划型标准规定的通知》（工信部联企业〔2011〕300号）。</w:t>
      </w:r>
    </w:p>
    <w:p>
      <w:pPr>
        <w:pStyle w:val="4"/>
      </w:pPr>
      <w:r>
        <w:rPr>
          <w:rFonts w:hint="eastAsia" w:ascii="宋体" w:hAnsi="宋体" w:cs="微软雅黑"/>
          <w:bCs/>
          <w:sz w:val="21"/>
          <w:szCs w:val="21"/>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
        <w:kinsoku w:val="0"/>
        <w:overflowPunct w:val="0"/>
        <w:autoSpaceDE w:val="0"/>
        <w:autoSpaceDN w:val="0"/>
        <w:spacing w:line="320" w:lineRule="exact"/>
        <w:rPr>
          <w:rFonts w:hAnsi="宋体" w:cs="微软雅黑"/>
          <w:b/>
          <w:bCs/>
        </w:rPr>
      </w:pPr>
      <w:r>
        <w:rPr>
          <w:rFonts w:hint="eastAsia" w:hAnsi="宋体" w:cs="微软雅黑"/>
          <w:b/>
          <w:bCs/>
        </w:rPr>
        <w:t>（3）请投标人根据上述相关文件通知要求认真理解并核对是否符合中小企业、监狱或残疾人福利性单位的扶持政策，并如实提供对应声明函或证明文件。投标人按照本办法规定提供声明函或证明文件不实的，属于提供虚假材料谋取中标、成交，依照《中华人民共和国政府采购法》等国家有关规定追究相应责任。</w:t>
      </w:r>
    </w:p>
    <w:p>
      <w:pPr>
        <w:pStyle w:val="6"/>
        <w:kinsoku w:val="0"/>
        <w:overflowPunct w:val="0"/>
        <w:autoSpaceDE w:val="0"/>
        <w:autoSpaceDN w:val="0"/>
        <w:spacing w:line="320" w:lineRule="exact"/>
        <w:rPr>
          <w:rFonts w:hAnsi="宋体"/>
        </w:rPr>
      </w:pPr>
      <w:r>
        <w:rPr>
          <w:rFonts w:hint="eastAsia" w:hAnsi="宋体"/>
          <w:shd w:val="clear" w:color="auto" w:fill="FFFFFF"/>
        </w:rPr>
        <w:t>（4）</w:t>
      </w:r>
      <w:r>
        <w:rPr>
          <w:rFonts w:hint="eastAsia" w:hAnsi="宋体"/>
        </w:rPr>
        <w:t>不符合上述扶持政策或适用情形的投标人无须提供上述声明函或证明文件。</w:t>
      </w:r>
    </w:p>
    <w:p>
      <w:pPr>
        <w:rPr>
          <w:rFonts w:hint="eastAsia"/>
        </w:rPr>
      </w:pPr>
    </w:p>
    <w:p>
      <w:pPr>
        <w:rPr>
          <w:rFonts w:hint="eastAsia" w:hAnsi="宋体" w:cs="微软雅黑"/>
          <w:bCs/>
          <w:kern w:val="0"/>
        </w:rPr>
      </w:pPr>
      <w:r>
        <w:rPr>
          <w:rFonts w:hint="eastAsia"/>
        </w:rPr>
        <w:t>（二）</w:t>
      </w:r>
      <w:r>
        <w:rPr>
          <w:rFonts w:hint="eastAsia" w:hAnsi="宋体" w:cs="微软雅黑"/>
          <w:bCs/>
          <w:kern w:val="0"/>
        </w:rPr>
        <w:t>强制采购节能产品</w:t>
      </w:r>
    </w:p>
    <w:p>
      <w:pPr>
        <w:rPr>
          <w:rFonts w:hint="eastAsia" w:ascii="宋体" w:hAnsi="宋体" w:cs="宋体"/>
          <w:color w:val="000000"/>
          <w:szCs w:val="21"/>
          <w:lang w:val="zh-CN"/>
        </w:rPr>
      </w:pPr>
      <w:r>
        <w:rPr>
          <w:rFonts w:hint="eastAsia" w:ascii="宋体" w:hAnsi="宋体" w:cs="宋体"/>
          <w:color w:val="000000"/>
          <w:szCs w:val="21"/>
          <w:lang w:val="zh-CN"/>
        </w:rPr>
        <w:t>根据财政部、发展改革委、生态环境部、市场监管总局《关于调整优化节能产品、环境标志产品政府采购执行机制的通知》（财库</w:t>
      </w:r>
      <w:r>
        <w:rPr>
          <w:rFonts w:ascii="宋体" w:hAnsi="宋体" w:cs="宋体"/>
          <w:color w:val="000000"/>
          <w:szCs w:val="21"/>
          <w:lang w:val="zh-CN"/>
        </w:rPr>
        <w:t>[2019]9</w:t>
      </w:r>
      <w:r>
        <w:rPr>
          <w:rFonts w:hint="eastAsia" w:ascii="宋体" w:hAnsi="宋体" w:cs="宋体"/>
          <w:color w:val="000000"/>
          <w:szCs w:val="21"/>
          <w:lang w:val="zh-CN"/>
        </w:rPr>
        <w:t>号） 财政部、发展改革委《关于印发节能产品政府采购品目清单的通知》（财库</w:t>
      </w:r>
      <w:r>
        <w:rPr>
          <w:rFonts w:ascii="宋体" w:hAnsi="宋体" w:cs="宋体"/>
          <w:color w:val="000000"/>
          <w:szCs w:val="21"/>
          <w:lang w:val="zh-CN"/>
        </w:rPr>
        <w:t>[2019]</w:t>
      </w:r>
      <w:r>
        <w:rPr>
          <w:rFonts w:hint="eastAsia" w:ascii="宋体" w:hAnsi="宋体" w:cs="宋体"/>
          <w:color w:val="000000"/>
          <w:szCs w:val="21"/>
          <w:lang w:val="zh-CN"/>
        </w:rPr>
        <w:t>1</w:t>
      </w:r>
      <w:r>
        <w:rPr>
          <w:rFonts w:ascii="宋体" w:hAnsi="宋体" w:cs="宋体"/>
          <w:color w:val="000000"/>
          <w:szCs w:val="21"/>
          <w:lang w:val="zh-CN"/>
        </w:rPr>
        <w:t>9</w:t>
      </w:r>
      <w:r>
        <w:rPr>
          <w:rFonts w:hint="eastAsia" w:ascii="宋体" w:hAnsi="宋体" w:cs="宋体"/>
          <w:color w:val="000000"/>
          <w:szCs w:val="21"/>
          <w:lang w:val="zh-CN"/>
        </w:rPr>
        <w:t>号） 《市场监管总局关于发布参与实施政府采购节能、环境标志产品认证机构名录的公告》（2019年第16号）等文件要求，</w:t>
      </w:r>
      <w:r>
        <w:rPr>
          <w:rFonts w:hint="eastAsia" w:ascii="宋体" w:hAnsi="宋体" w:cs="微软雅黑"/>
          <w:bCs/>
          <w:szCs w:val="21"/>
        </w:rPr>
        <w:t>“台式计算机，便携式计算机，平板式微型计算机，激光打印机，针式打印机，液晶显示器，制冷压缩机，空调机组，专用制冷、空调设备，镇流器（管型荧光灯镇流器），空调机，电热水器，普通照明用双端荧光灯，普通电视设备（电视机），视频监控设备（监视器），便器，水嘴”等为政府强制采购的节能产品品目（具体品目以“★”标注在品目清单附件中）。</w:t>
      </w:r>
      <w:r>
        <w:rPr>
          <w:rFonts w:hint="eastAsia" w:ascii="宋体" w:hAnsi="宋体" w:cs="宋体"/>
          <w:color w:val="000000"/>
          <w:szCs w:val="21"/>
          <w:lang w:val="zh-CN"/>
        </w:rPr>
        <w:t>如投标人所投产品属于上述品目清单范围的，须提供所投产品由国家确定的认证机构出具的、处于有效期之内的节能产品认证证书复印件。</w:t>
      </w:r>
    </w:p>
    <w:p>
      <w:pPr>
        <w:rPr>
          <w:rFonts w:hint="eastAsia" w:ascii="宋体" w:hAnsi="宋体" w:cs="宋体"/>
          <w:color w:val="000000"/>
          <w:szCs w:val="21"/>
          <w:lang w:val="zh-CN"/>
        </w:rPr>
      </w:pPr>
    </w:p>
    <w:p>
      <w:pPr>
        <w:rPr>
          <w:rFonts w:hint="eastAsia" w:hAnsi="宋体" w:cs="微软雅黑"/>
          <w:bCs/>
          <w:kern w:val="0"/>
        </w:rPr>
      </w:pPr>
      <w:r>
        <w:rPr>
          <w:rFonts w:hint="eastAsia" w:ascii="宋体" w:hAnsi="宋体" w:cs="宋体"/>
          <w:color w:val="000000"/>
          <w:szCs w:val="21"/>
          <w:lang w:val="zh-CN"/>
        </w:rPr>
        <w:t>（三）</w:t>
      </w:r>
      <w:r>
        <w:rPr>
          <w:rFonts w:hint="eastAsia" w:hAnsi="宋体" w:cs="微软雅黑"/>
          <w:bCs/>
          <w:kern w:val="0"/>
        </w:rPr>
        <w:t>优先采购节能产品</w:t>
      </w:r>
    </w:p>
    <w:p>
      <w:pPr>
        <w:kinsoku w:val="0"/>
        <w:overflowPunct w:val="0"/>
        <w:autoSpaceDE w:val="0"/>
        <w:autoSpaceDN w:val="0"/>
        <w:snapToGrid w:val="0"/>
        <w:spacing w:line="320" w:lineRule="exact"/>
        <w:rPr>
          <w:rFonts w:ascii="宋体" w:hAnsi="宋体" w:cs="宋体"/>
          <w:color w:val="000000"/>
          <w:szCs w:val="21"/>
          <w:lang w:val="zh-CN"/>
        </w:rPr>
      </w:pPr>
      <w:r>
        <w:rPr>
          <w:rFonts w:hint="eastAsia" w:ascii="宋体" w:hAnsi="宋体" w:cs="宋体"/>
          <w:color w:val="000000"/>
          <w:szCs w:val="21"/>
          <w:lang w:val="zh-CN"/>
        </w:rPr>
        <w:t>根据财政部、发展改革委、生态环境部、市场监管总局《关于调整优化节能产品、环境标志产品政府采购执行机制的通知》（财库</w:t>
      </w:r>
      <w:r>
        <w:rPr>
          <w:rFonts w:ascii="宋体" w:hAnsi="宋体" w:cs="宋体"/>
          <w:color w:val="000000"/>
          <w:szCs w:val="21"/>
          <w:lang w:val="zh-CN"/>
        </w:rPr>
        <w:t>[2019]9</w:t>
      </w:r>
      <w:r>
        <w:rPr>
          <w:rFonts w:hint="eastAsia" w:ascii="宋体" w:hAnsi="宋体" w:cs="宋体"/>
          <w:color w:val="000000"/>
          <w:szCs w:val="21"/>
          <w:lang w:val="zh-CN"/>
        </w:rPr>
        <w:t>号） 财政部、发展改革委《关于印发节能产品政府采购品目清单的通知》（财库</w:t>
      </w:r>
      <w:r>
        <w:rPr>
          <w:rFonts w:ascii="宋体" w:hAnsi="宋体" w:cs="宋体"/>
          <w:color w:val="000000"/>
          <w:szCs w:val="21"/>
          <w:lang w:val="zh-CN"/>
        </w:rPr>
        <w:t>[2019]</w:t>
      </w:r>
      <w:r>
        <w:rPr>
          <w:rFonts w:hint="eastAsia" w:ascii="宋体" w:hAnsi="宋体" w:cs="宋体"/>
          <w:color w:val="000000"/>
          <w:szCs w:val="21"/>
          <w:lang w:val="zh-CN"/>
        </w:rPr>
        <w:t>1</w:t>
      </w:r>
      <w:r>
        <w:rPr>
          <w:rFonts w:ascii="宋体" w:hAnsi="宋体" w:cs="宋体"/>
          <w:color w:val="000000"/>
          <w:szCs w:val="21"/>
          <w:lang w:val="zh-CN"/>
        </w:rPr>
        <w:t>9</w:t>
      </w:r>
      <w:r>
        <w:rPr>
          <w:rFonts w:hint="eastAsia" w:ascii="宋体" w:hAnsi="宋体" w:cs="宋体"/>
          <w:color w:val="000000"/>
          <w:szCs w:val="21"/>
          <w:lang w:val="zh-CN"/>
        </w:rPr>
        <w:t>号） 《市场监管总局关于发布参与实施政府采购节能、环境标志产品认证机构名录的公告》（2019年第16号）等文件要求，如投标人所投产品属于上述品目清单中优先采购范围的（非“</w:t>
      </w:r>
      <w:r>
        <w:rPr>
          <w:rFonts w:hint="eastAsia" w:ascii="宋体" w:hAnsi="宋体" w:cs="微软雅黑"/>
          <w:bCs/>
          <w:szCs w:val="21"/>
        </w:rPr>
        <w:t>★</w:t>
      </w:r>
      <w:r>
        <w:rPr>
          <w:rFonts w:hint="eastAsia" w:ascii="宋体" w:hAnsi="宋体" w:cs="宋体"/>
          <w:color w:val="000000"/>
          <w:szCs w:val="21"/>
          <w:lang w:val="zh-CN"/>
        </w:rPr>
        <w:t>”标注品目），须提供所投产品由国家确定的认证机构出具的、处于有效期之内的节能产品认证证书复印件。</w:t>
      </w:r>
    </w:p>
    <w:p>
      <w:pPr>
        <w:rPr>
          <w:rFonts w:hint="eastAsia" w:hAnsi="宋体" w:cs="微软雅黑"/>
          <w:bCs/>
          <w:kern w:val="0"/>
        </w:rPr>
      </w:pPr>
      <w:r>
        <w:t>（四）</w:t>
      </w:r>
      <w:r>
        <w:rPr>
          <w:rFonts w:hint="eastAsia" w:hAnsi="宋体" w:cs="微软雅黑"/>
          <w:bCs/>
          <w:kern w:val="0"/>
        </w:rPr>
        <w:t>优先采购环境标志产品</w:t>
      </w:r>
    </w:p>
    <w:p>
      <w:pPr>
        <w:kinsoku w:val="0"/>
        <w:overflowPunct w:val="0"/>
        <w:autoSpaceDE w:val="0"/>
        <w:autoSpaceDN w:val="0"/>
        <w:snapToGrid w:val="0"/>
        <w:spacing w:line="320" w:lineRule="exact"/>
        <w:rPr>
          <w:rFonts w:ascii="宋体" w:hAnsi="宋体" w:cs="宋体"/>
          <w:color w:val="000000"/>
          <w:szCs w:val="21"/>
          <w:lang w:val="zh-CN"/>
        </w:rPr>
      </w:pPr>
      <w:r>
        <w:rPr>
          <w:rFonts w:hint="eastAsia" w:ascii="宋体" w:hAnsi="宋体" w:cs="宋体"/>
          <w:color w:val="000000"/>
          <w:szCs w:val="21"/>
          <w:lang w:val="zh-CN"/>
        </w:rPr>
        <w:t>根据财政部、发展改革委、生态环境部、市场监管总局《关于调整优化节能产品、环境标志产品政府采购执行机制的通知》（财库</w:t>
      </w:r>
      <w:r>
        <w:rPr>
          <w:rFonts w:ascii="宋体" w:hAnsi="宋体" w:cs="宋体"/>
          <w:color w:val="000000"/>
          <w:szCs w:val="21"/>
          <w:lang w:val="zh-CN"/>
        </w:rPr>
        <w:t>[2019]9</w:t>
      </w:r>
      <w:r>
        <w:rPr>
          <w:rFonts w:hint="eastAsia" w:ascii="宋体" w:hAnsi="宋体" w:cs="宋体"/>
          <w:color w:val="000000"/>
          <w:szCs w:val="21"/>
          <w:lang w:val="zh-CN"/>
        </w:rPr>
        <w:t>号） 财政部、生态环境部《关于印发环境标志产品政府采购品目清单的通知》（财库</w:t>
      </w:r>
      <w:r>
        <w:rPr>
          <w:rFonts w:ascii="宋体" w:hAnsi="宋体" w:cs="宋体"/>
          <w:color w:val="000000"/>
          <w:szCs w:val="21"/>
          <w:lang w:val="zh-CN"/>
        </w:rPr>
        <w:t>[2019]</w:t>
      </w:r>
      <w:r>
        <w:rPr>
          <w:rFonts w:hint="eastAsia" w:ascii="宋体" w:hAnsi="宋体" w:cs="宋体"/>
          <w:color w:val="000000"/>
          <w:szCs w:val="21"/>
          <w:lang w:val="zh-CN"/>
        </w:rPr>
        <w:t>18号） 《市场监管总局关于发布参与实施政府采购节能、环境标志产品认证机构名录的公告》（2019年第16号）等文件要求，如投标人所投产品属于上述品目清单范围的，须提供所投产品由国家确定的认证机构出具的、处于有效期之内的环境标志产品认证证书复印件。</w:t>
      </w:r>
    </w:p>
    <w:p>
      <w:pPr>
        <w:spacing w:line="360" w:lineRule="auto"/>
        <w:contextualSpacing/>
        <w:rPr>
          <w:rFonts w:hint="eastAsia" w:eastAsia="宋体"/>
          <w:sz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0D5A67"/>
    <w:multiLevelType w:val="singleLevel"/>
    <w:tmpl w:val="FB0D5A67"/>
    <w:lvl w:ilvl="0" w:tentative="0">
      <w:start w:val="1"/>
      <w:numFmt w:val="chineseCounting"/>
      <w:suff w:val="nothing"/>
      <w:lvlText w:val="（%1）"/>
      <w:lvlJc w:val="left"/>
      <w:pPr>
        <w:ind w:left="0" w:firstLine="420"/>
      </w:pPr>
      <w:rPr>
        <w:rFonts w:hint="eastAsia"/>
      </w:rPr>
    </w:lvl>
  </w:abstractNum>
  <w:abstractNum w:abstractNumId="1">
    <w:nsid w:val="657CDA7B"/>
    <w:multiLevelType w:val="singleLevel"/>
    <w:tmpl w:val="657CDA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243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8">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sz w:val="24"/>
    </w:rPr>
  </w:style>
  <w:style w:type="paragraph" w:styleId="4">
    <w:name w:val="Body Text"/>
    <w:basedOn w:val="1"/>
    <w:next w:val="5"/>
    <w:semiHidden/>
    <w:unhideWhenUsed/>
    <w:qFormat/>
    <w:uiPriority w:val="99"/>
    <w:pPr>
      <w:adjustRightInd w:val="0"/>
      <w:spacing w:after="120" w:line="360" w:lineRule="atLeast"/>
      <w:jc w:val="left"/>
      <w:textAlignment w:val="baseline"/>
    </w:pPr>
    <w:rPr>
      <w:rFonts w:ascii="Calibri" w:hAnsi="Calibri" w:eastAsia="宋体" w:cs="Times New Roman"/>
      <w:kern w:val="0"/>
      <w:sz w:val="24"/>
    </w:rPr>
  </w:style>
  <w:style w:type="paragraph" w:styleId="5">
    <w:name w:val="Body Text 2"/>
    <w:basedOn w:val="1"/>
    <w:semiHidden/>
    <w:unhideWhenUsed/>
    <w:qFormat/>
    <w:uiPriority w:val="99"/>
    <w:pPr>
      <w:adjustRightInd w:val="0"/>
      <w:spacing w:after="120" w:line="480" w:lineRule="auto"/>
      <w:jc w:val="left"/>
      <w:textAlignment w:val="baseline"/>
    </w:pPr>
    <w:rPr>
      <w:rFonts w:ascii="Calibri" w:hAnsi="Calibri" w:eastAsia="宋体" w:cs="Times New Roman"/>
      <w:kern w:val="0"/>
      <w:sz w:val="24"/>
    </w:rPr>
  </w:style>
  <w:style w:type="paragraph" w:styleId="6">
    <w:name w:val="Plain Text"/>
    <w:basedOn w:val="1"/>
    <w:qFormat/>
    <w:uiPriority w:val="0"/>
    <w:rPr>
      <w:rFonts w:ascii="宋体" w:hAnsi="Courier New" w:eastAsia="宋体" w:cs="Times New Roman"/>
      <w:szCs w:val="21"/>
    </w:rPr>
  </w:style>
  <w:style w:type="character" w:customStyle="1" w:styleId="9">
    <w:name w:val="font01"/>
    <w:basedOn w:val="8"/>
    <w:qFormat/>
    <w:uiPriority w:val="0"/>
    <w:rPr>
      <w:rFonts w:hint="eastAsia" w:ascii="仿宋" w:hAnsi="仿宋" w:eastAsia="仿宋" w:cs="仿宋"/>
      <w:color w:val="000000"/>
      <w:sz w:val="28"/>
      <w:szCs w:val="28"/>
      <w:u w:val="single"/>
    </w:rPr>
  </w:style>
  <w:style w:type="character" w:customStyle="1" w:styleId="10">
    <w:name w:val="font6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2024-03-29T05:09:11Z</dcterms:created>
  <dc:creator>zhhx</dc:creator>
  <cp:lastModifiedBy>zhhx</cp:lastModifiedBy>
  <dcterms:modified xsi:type="dcterms:W3CDTF">2024-03-29T05:11:39Z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