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tabs>
          <w:tab w:val="left" w:pos="360"/>
          <w:tab w:val="left" w:pos="900"/>
        </w:tabs>
        <w:snapToGrid w:val="0"/>
        <w:spacing w:line="360" w:lineRule="auto"/>
        <w:jc w:val="center"/>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第1包 2024年北京市公共资源交易中心政务云资源租用服务费云计算服务采购项目云计算服务（第一包）</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一、采购清单</w:t>
      </w:r>
    </w:p>
    <w:tbl>
      <w:tblPr>
        <w:tblStyle w:val="7"/>
        <w:tblW w:w="8087"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23"/>
        <w:gridCol w:w="1706"/>
        <w:gridCol w:w="170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shd w:val="clear" w:color="auto" w:fill="auto"/>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2223" w:type="dxa"/>
            <w:shd w:val="clear" w:color="auto" w:fill="auto"/>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采购标的名称</w:t>
            </w:r>
          </w:p>
        </w:tc>
        <w:tc>
          <w:tcPr>
            <w:tcW w:w="1706" w:type="dxa"/>
            <w:shd w:val="clear" w:color="auto" w:fill="auto"/>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数量</w:t>
            </w:r>
          </w:p>
        </w:tc>
        <w:tc>
          <w:tcPr>
            <w:tcW w:w="1706" w:type="dxa"/>
            <w:shd w:val="clear" w:color="auto" w:fill="auto"/>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w:t>
            </w:r>
          </w:p>
        </w:tc>
        <w:tc>
          <w:tcPr>
            <w:tcW w:w="1264" w:type="dxa"/>
            <w:shd w:val="clear" w:color="auto" w:fill="auto"/>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shd w:val="clear" w:color="auto" w:fill="auto"/>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2223" w:type="dxa"/>
            <w:shd w:val="clear" w:color="auto" w:fill="auto"/>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云计算服务</w:t>
            </w:r>
          </w:p>
        </w:tc>
        <w:tc>
          <w:tcPr>
            <w:tcW w:w="1706" w:type="dxa"/>
            <w:shd w:val="clear" w:color="auto" w:fill="auto"/>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706" w:type="dxa"/>
            <w:shd w:val="clear" w:color="auto" w:fill="auto"/>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264" w:type="dxa"/>
            <w:shd w:val="clear" w:color="auto" w:fill="auto"/>
          </w:tcPr>
          <w:p>
            <w:pPr>
              <w:widowControl/>
              <w:spacing w:line="560" w:lineRule="exact"/>
              <w:jc w:val="center"/>
              <w:rPr>
                <w:rFonts w:asciiTheme="minorEastAsia" w:hAnsiTheme="minorEastAsia" w:eastAsiaTheme="minorEastAsia" w:cstheme="minorEastAsia"/>
                <w:bCs/>
                <w:sz w:val="24"/>
              </w:rPr>
            </w:pPr>
          </w:p>
        </w:tc>
      </w:tr>
    </w:tbl>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二、项目背景或简况      </w:t>
      </w:r>
    </w:p>
    <w:p>
      <w:pPr>
        <w:pStyle w:val="5"/>
        <w:spacing w:before="0" w:beforeAutospacing="0" w:after="0" w:afterAutospacing="0" w:line="5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加快推进北京市政务信息系统整合共享工作，北京市经信局等部门联合制定并发布了《关于印发&lt;关于推进我市政务信息系统整合共享的实施方案&gt;的通知》（京经信委发[2017]89号）文件。同时，结合《关于印发&lt;北京市大数据行动计划2019年重点工作任务&gt;的通知》以及《关于加快政务信息系统入云工作的函》的工作要求,根据市发展改革委的统一安排，公共资源交易中心各级信息系统全部迁移到政务云平台。</w:t>
      </w:r>
    </w:p>
    <w:p>
      <w:pPr>
        <w:pStyle w:val="5"/>
        <w:spacing w:before="0" w:beforeAutospacing="0" w:after="0" w:afterAutospacing="0" w:line="56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为持续提升公共服务水平和能力，进一步提供安全、稳定的扩展服务，公共资源交易中心需要为已入云的系统继续租用云上基础资源和扩展资源等服务，用以确保中心各项业务顺利开展，提升交易平台安全保障能力。</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三、服务期</w:t>
      </w:r>
    </w:p>
    <w:p>
      <w:pPr>
        <w:spacing w:line="560" w:lineRule="exact"/>
        <w:ind w:firstLine="470" w:firstLineChars="196"/>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12</w:t>
      </w:r>
      <w:r>
        <w:rPr>
          <w:rFonts w:hint="eastAsia" w:asciiTheme="minorEastAsia" w:hAnsiTheme="minorEastAsia" w:eastAsiaTheme="minorEastAsia" w:cstheme="minorEastAsia"/>
          <w:sz w:val="24"/>
        </w:rPr>
        <w:t>个</w:t>
      </w:r>
      <w:r>
        <w:rPr>
          <w:rFonts w:asciiTheme="minorEastAsia" w:hAnsiTheme="minorEastAsia" w:eastAsiaTheme="minorEastAsia" w:cstheme="minorEastAsia"/>
          <w:sz w:val="24"/>
        </w:rPr>
        <w:t>月</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四、参数及服务要求</w:t>
      </w:r>
    </w:p>
    <w:p>
      <w:pPr>
        <w:spacing w:line="560" w:lineRule="exact"/>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（一）参数需求</w:t>
      </w:r>
    </w:p>
    <w:p>
      <w:pPr>
        <w:spacing w:line="560" w:lineRule="exact"/>
        <w:ind w:firstLine="472" w:firstLineChars="196"/>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1.云计算服务</w:t>
      </w:r>
    </w:p>
    <w:tbl>
      <w:tblPr>
        <w:tblStyle w:val="7"/>
        <w:tblW w:w="8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350"/>
        <w:gridCol w:w="3371"/>
        <w:gridCol w:w="674"/>
        <w:gridCol w:w="108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服务类别</w:t>
            </w:r>
          </w:p>
        </w:tc>
        <w:tc>
          <w:tcPr>
            <w:tcW w:w="1350"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服务子类</w:t>
            </w:r>
          </w:p>
        </w:tc>
        <w:tc>
          <w:tcPr>
            <w:tcW w:w="3371"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服务项</w:t>
            </w:r>
          </w:p>
        </w:tc>
        <w:tc>
          <w:tcPr>
            <w:tcW w:w="674"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单位</w:t>
            </w:r>
          </w:p>
        </w:tc>
        <w:tc>
          <w:tcPr>
            <w:tcW w:w="1081"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数量</w:t>
            </w:r>
          </w:p>
        </w:tc>
        <w:tc>
          <w:tcPr>
            <w:tcW w:w="1076"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期限（月）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计算服务</w:t>
            </w:r>
          </w:p>
        </w:tc>
        <w:tc>
          <w:tcPr>
            <w:tcW w:w="1350" w:type="dxa"/>
            <w:vMerge w:val="restart"/>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x86平台云主机服务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vCPU（主频不低于2.4GHz）</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1CPU</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436</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vMerge w:val="continue"/>
            <w:shd w:val="clear" w:color="auto" w:fill="FFFFFF"/>
            <w:vAlign w:val="center"/>
          </w:tcPr>
          <w:p>
            <w:pPr>
              <w:jc w:val="center"/>
              <w:rPr>
                <w:rFonts w:asciiTheme="minorEastAsia" w:hAnsiTheme="minorEastAsia" w:eastAsiaTheme="minorEastAsia" w:cstheme="minorEastAsia"/>
                <w:color w:val="000000"/>
                <w:sz w:val="24"/>
              </w:rPr>
            </w:pP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内存</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1GB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848</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vMerge w:val="restart"/>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x86物理服务器租用服务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x86物理服务器配置1：2路10核2.0Ghz，64G内存，2块600G SAS硬盘,2个HBA卡，2个万兆端口</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1台</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5</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vMerge w:val="continue"/>
            <w:shd w:val="clear" w:color="auto" w:fill="FFFFFF"/>
            <w:vAlign w:val="center"/>
          </w:tcPr>
          <w:p>
            <w:pPr>
              <w:jc w:val="center"/>
              <w:rPr>
                <w:rFonts w:asciiTheme="minorEastAsia" w:hAnsiTheme="minorEastAsia" w:eastAsiaTheme="minorEastAsia" w:cstheme="minorEastAsia"/>
                <w:color w:val="000000"/>
                <w:sz w:val="24"/>
              </w:rPr>
            </w:pP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x86物理服务器配置2：内存-32GB内存</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1条</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4</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存储服务</w:t>
            </w: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普通性能存储</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普通存储（单盘技术指标: 单盘IOPS 1000-3000 ）</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1GB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133846</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高性能存储</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高性能存储（单盘技术指标：单盘IOPS 3000-20000 ）</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1GB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61612</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静态存储</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大容量、高可靠的数据存储服务，具备PB级线性扩展能力，提供静态数据存储</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1TB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237</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本地备份服务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通过备份策略实现文件、操作系统、数据库的本地备份（不包含备份存储空间费用）</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1GB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116168</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Layout w:type="fixed"/>
          <w:tblCellMar>
            <w:top w:w="0" w:type="dxa"/>
            <w:left w:w="108" w:type="dxa"/>
            <w:bottom w:w="0" w:type="dxa"/>
            <w:right w:w="108" w:type="dxa"/>
          </w:tblCellMar>
        </w:tblPrEx>
        <w:trPr>
          <w:trHeight w:val="270" w:hRule="atLeast"/>
        </w:trPr>
        <w:tc>
          <w:tcPr>
            <w:tcW w:w="1182"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网络服务</w:t>
            </w:r>
          </w:p>
        </w:tc>
        <w:tc>
          <w:tcPr>
            <w:tcW w:w="1350" w:type="dxa"/>
            <w:vMerge w:val="restart"/>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互联网链路服务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互联网链路带宽</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1Mb</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150</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vMerge w:val="continue"/>
            <w:shd w:val="clear" w:color="auto" w:fill="FFFFFF"/>
            <w:vAlign w:val="center"/>
          </w:tcPr>
          <w:p>
            <w:pPr>
              <w:jc w:val="center"/>
              <w:rPr>
                <w:rFonts w:asciiTheme="minorEastAsia" w:hAnsiTheme="minorEastAsia" w:eastAsiaTheme="minorEastAsia" w:cstheme="minorEastAsia"/>
                <w:color w:val="000000"/>
                <w:sz w:val="24"/>
              </w:rPr>
            </w:pP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互联网IP地址租用服务、并提供备案服务</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1IP</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17</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主机负载均衡服务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主机负载均衡服务</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1IP（内网）</w:t>
            </w:r>
          </w:p>
        </w:tc>
        <w:tc>
          <w:tcPr>
            <w:tcW w:w="108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远程接入服务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每个账号结合身份验通过VPN远程接入堡垒机进行维护</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1账号</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15</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VPN服务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SSL VPN接入，用户通过SSL VPN访问业务系统。每套10个并发用户。所需带宽参照“互联网链路带宽”购买。</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1套</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4</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182" w:type="dxa"/>
            <w:vMerge w:val="continue"/>
            <w:shd w:val="clear" w:color="auto" w:fill="auto"/>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WAF防护</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在网站前端架设WAF防护服务，保证用户网站对已知安全隐患进行防护，实时升级漏洞补丁，配置防护策略，可起到前端防护作用。</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1IP（互联网）</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restart"/>
            <w:shd w:val="clear" w:color="auto" w:fill="FFFFFF"/>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安全服务</w:t>
            </w: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主机杀毒服务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对云主机进行定期的病毒查杀，杀毒软件集中控制，对网络性能无影响。</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1台</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64</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2" w:type="dxa"/>
            <w:vMerge w:val="continue"/>
            <w:shd w:val="clear" w:color="auto" w:fill="FFFFFF"/>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网页防篡改服务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提供网页防篡改服务。通过防篡改软件对用户页面进行实时防护，减少用户页面被恶意篡改的可能性。</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1监控点</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restart"/>
            <w:shd w:val="clear" w:color="auto" w:fill="FFFFFF"/>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安全检测监测、审计服务</w:t>
            </w: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主机漏洞扫描</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为用户提供针对主机层面的安全扫描服务，并反馈相关结果。</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1台</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75</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82" w:type="dxa"/>
            <w:vMerge w:val="continue"/>
            <w:shd w:val="clear" w:color="auto" w:fill="FFFFFF"/>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主机日志分析</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针对操作系统进行日志收集，并且进行分析，并将结果反馈给用户，用于了解主机安全情况及资源使用情况</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1台</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64</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2" w:type="dxa"/>
            <w:vMerge w:val="continue"/>
            <w:shd w:val="clear" w:color="auto" w:fill="FFFFFF"/>
            <w:vAlign w:val="center"/>
          </w:tcPr>
          <w:p>
            <w:pPr>
              <w:jc w:val="center"/>
              <w:rPr>
                <w:rFonts w:asciiTheme="minorEastAsia" w:hAnsiTheme="minorEastAsia" w:eastAsiaTheme="minorEastAsia" w:cstheme="minorEastAsia"/>
                <w:b/>
                <w:bCs/>
                <w:color w:val="000000"/>
                <w:sz w:val="24"/>
              </w:rPr>
            </w:pP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数据库审计服务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支持Oracle、SQL-Server、DB2、MySQL等数据库审计。（1套为1个数据库实例）</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1套</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6</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2" w:type="dxa"/>
            <w:shd w:val="clear" w:color="auto" w:fill="FFFFFF"/>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lang w:bidi="ar"/>
              </w:rPr>
              <w:t>其他服务</w:t>
            </w:r>
          </w:p>
        </w:tc>
        <w:tc>
          <w:tcPr>
            <w:tcW w:w="1350"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时钟服务</w:t>
            </w:r>
          </w:p>
        </w:tc>
        <w:tc>
          <w:tcPr>
            <w:tcW w:w="3371"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为计算单位提供授时时钟源</w:t>
            </w:r>
          </w:p>
        </w:tc>
        <w:tc>
          <w:tcPr>
            <w:tcW w:w="674"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1套</w:t>
            </w:r>
          </w:p>
        </w:tc>
        <w:tc>
          <w:tcPr>
            <w:tcW w:w="1081" w:type="dxa"/>
            <w:shd w:val="clear" w:color="auto" w:fill="FFFFFF"/>
            <w:noWrap/>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w:t>
            </w:r>
          </w:p>
        </w:tc>
        <w:tc>
          <w:tcPr>
            <w:tcW w:w="1076" w:type="dxa"/>
            <w:shd w:val="clear" w:color="auto" w:fill="FFFFFF"/>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12</w:t>
            </w:r>
          </w:p>
        </w:tc>
      </w:tr>
    </w:tbl>
    <w:p>
      <w:pPr>
        <w:pStyle w:val="2"/>
        <w:rPr>
          <w:rFonts w:asciiTheme="minorEastAsia" w:hAnsiTheme="minorEastAsia" w:eastAsiaTheme="minorEastAsia" w:cstheme="minorEastAsia"/>
        </w:rPr>
      </w:pPr>
    </w:p>
    <w:p>
      <w:pPr>
        <w:spacing w:line="560" w:lineRule="exact"/>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（二）配套服务需求</w:t>
      </w:r>
    </w:p>
    <w:p>
      <w:pPr>
        <w:widowControl/>
        <w:tabs>
          <w:tab w:val="left" w:pos="312"/>
        </w:tabs>
        <w:spacing w:line="560" w:lineRule="exact"/>
        <w:ind w:firstLine="472" w:firstLineChars="196"/>
        <w:outlineLvl w:val="2"/>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1.政务云租赁服务</w:t>
      </w:r>
    </w:p>
    <w:p>
      <w:pPr>
        <w:tabs>
          <w:tab w:val="left" w:pos="988"/>
          <w:tab w:val="left" w:pos="1135"/>
        </w:tabs>
        <w:spacing w:line="560" w:lineRule="exact"/>
        <w:ind w:firstLine="480" w:firstLineChars="200"/>
        <w:rPr>
          <w:rFonts w:asciiTheme="minorEastAsia" w:hAnsiTheme="minorEastAsia" w:eastAsiaTheme="minorEastAsia" w:cstheme="minorEastAsia"/>
          <w:color w:val="0C0C0C"/>
          <w:sz w:val="24"/>
        </w:rPr>
      </w:pPr>
      <w:r>
        <w:rPr>
          <w:rFonts w:hint="eastAsia" w:asciiTheme="minorEastAsia" w:hAnsiTheme="minorEastAsia" w:eastAsiaTheme="minorEastAsia" w:cstheme="minorEastAsia"/>
          <w:color w:val="0C0C0C"/>
          <w:sz w:val="24"/>
        </w:rPr>
        <w:t xml:space="preserve">（1）计算服务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按照采购人的具体需求，提供计算服务，包括：x86平台云主机服务和x86物理服务器租用服务，实现合理的计算资源配置。在提供政务云主机的服务过程中需做好与采购人和对应项目应用开发厂商的协调沟通工作。</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C0C0C"/>
          <w:sz w:val="24"/>
        </w:rPr>
        <w:t xml:space="preserve">（2）存储服务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采购人的的具体需求，提供存储服务，包括：普通性能存储、高性能存储、静态存储和本地备份服务，实现合理的存储资源配置。在提供政务云存储的服务过程中需做好与采购人和对应项目应用开发厂商的协调沟通工作。</w:t>
      </w:r>
    </w:p>
    <w:p>
      <w:pPr>
        <w:tabs>
          <w:tab w:val="left" w:pos="988"/>
          <w:tab w:val="left" w:pos="1135"/>
        </w:tabs>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（3）网络服务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按照采购人的具体需求，提供网络服务，包括：互联网链路带宽服务、互联网IP地址租用服务、主机负载均衡服务、远程接入服务、VPN服务和WAF防护服务。</w:t>
      </w:r>
    </w:p>
    <w:p>
      <w:pPr>
        <w:numPr>
          <w:ilvl w:val="0"/>
          <w:numId w:val="1"/>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互联网链路服务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按照采购人的具体需求，提供互联网链路带宽服务和互联网IP地址租用服务。</w:t>
      </w:r>
    </w:p>
    <w:p>
      <w:pPr>
        <w:numPr>
          <w:ilvl w:val="0"/>
          <w:numId w:val="1"/>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主机负载均衡服务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按照采购人的具体需求，提供主机负载均衡服务。</w:t>
      </w:r>
    </w:p>
    <w:p>
      <w:pPr>
        <w:numPr>
          <w:ilvl w:val="0"/>
          <w:numId w:val="1"/>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 xml:space="preserve">远程接入服务 </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按照采购人的具体需求，提供远程接入服务。</w:t>
      </w:r>
    </w:p>
    <w:p>
      <w:pPr>
        <w:numPr>
          <w:ilvl w:val="0"/>
          <w:numId w:val="1"/>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VPN服务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w:t>
      </w:r>
      <w:r>
        <w:rPr>
          <w:rFonts w:hint="eastAsia" w:asciiTheme="minorEastAsia" w:hAnsiTheme="minorEastAsia" w:eastAsiaTheme="minorEastAsia" w:cstheme="minorEastAsia"/>
          <w:color w:val="000000"/>
          <w:sz w:val="24"/>
          <w:lang w:val="zh-CN" w:bidi="ar"/>
        </w:rPr>
        <w:t>，</w:t>
      </w:r>
      <w:r>
        <w:rPr>
          <w:rFonts w:hint="eastAsia" w:asciiTheme="minorEastAsia" w:hAnsiTheme="minorEastAsia" w:eastAsiaTheme="minorEastAsia" w:cstheme="minorEastAsia"/>
          <w:color w:val="000000"/>
          <w:sz w:val="24"/>
          <w:lang w:bidi="ar"/>
        </w:rPr>
        <w:t>提供VPN服务，保证用户可通过加密链路访问业务系统；</w:t>
      </w:r>
    </w:p>
    <w:p>
      <w:pPr>
        <w:numPr>
          <w:ilvl w:val="0"/>
          <w:numId w:val="1"/>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WAF防护服务</w:t>
      </w:r>
    </w:p>
    <w:p>
      <w:pPr>
        <w:tabs>
          <w:tab w:val="left" w:pos="312"/>
        </w:tabs>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按照采购人的需求，提供web应用防火墙服务。</w:t>
      </w:r>
    </w:p>
    <w:p>
      <w:pPr>
        <w:tabs>
          <w:tab w:val="left" w:pos="988"/>
          <w:tab w:val="left" w:pos="1135"/>
        </w:tabs>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（4）安全服务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按照采购人的有关管理规定及具体需求提供安全服务，服务内容包含主机杀毒服务、网页防篡改服务。</w:t>
      </w:r>
    </w:p>
    <w:p>
      <w:pPr>
        <w:numPr>
          <w:ilvl w:val="0"/>
          <w:numId w:val="2"/>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主机杀毒服务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按照采购人的具体需求，提供主机杀毒服务，对云主机进行定期的病毒查杀，杀毒软件集中控制，对网络性能无影响。</w:t>
      </w:r>
    </w:p>
    <w:p>
      <w:pPr>
        <w:numPr>
          <w:ilvl w:val="0"/>
          <w:numId w:val="2"/>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网页防篡改服务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按照采购人需求提供网页防篡改服务，通过防篡改软件对用户页面进行实时防护，减少用户页面被恶意篡改的可能性。</w:t>
      </w:r>
    </w:p>
    <w:p>
      <w:pPr>
        <w:tabs>
          <w:tab w:val="left" w:pos="988"/>
          <w:tab w:val="left" w:pos="1135"/>
        </w:tabs>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（5）安全检测监测、审计服务</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按照采购人的有关管理规定及具体需求提供安全检测、监测、审计服务，服务内容包含主机漏洞扫描、主机日志分析、数据库审计服务。</w:t>
      </w:r>
    </w:p>
    <w:p>
      <w:pPr>
        <w:numPr>
          <w:ilvl w:val="0"/>
          <w:numId w:val="3"/>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主机漏洞扫描</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按照采购人的具体需求，为用户提供针对主机层面的安全扫描服务，并反馈相关结果。根据业务系统运行的实际需求，原则上每台服务器服务标准不低于75台次。</w:t>
      </w:r>
    </w:p>
    <w:p>
      <w:pPr>
        <w:numPr>
          <w:ilvl w:val="0"/>
          <w:numId w:val="3"/>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主机日志分析</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按照采购人的具体需求，提供主机日志分析服务，根据业务系统运行的实际需求，原则上每台服务器服务标准不低于64台次。</w:t>
      </w:r>
    </w:p>
    <w:p>
      <w:pPr>
        <w:numPr>
          <w:ilvl w:val="0"/>
          <w:numId w:val="3"/>
        </w:numPr>
        <w:spacing w:line="560" w:lineRule="exact"/>
        <w:ind w:firstLine="55"/>
        <w:rPr>
          <w:rFonts w:asciiTheme="minorEastAsia" w:hAnsiTheme="minorEastAsia" w:eastAsiaTheme="minorEastAsia" w:cstheme="minorEastAsia"/>
          <w:b/>
          <w:color w:val="000000"/>
          <w:sz w:val="24"/>
          <w:lang w:bidi="ar"/>
        </w:rPr>
      </w:pPr>
      <w:r>
        <w:rPr>
          <w:rFonts w:hint="eastAsia" w:asciiTheme="minorEastAsia" w:hAnsiTheme="minorEastAsia" w:eastAsiaTheme="minorEastAsia" w:cstheme="minorEastAsia"/>
          <w:b/>
          <w:color w:val="000000"/>
          <w:sz w:val="24"/>
          <w:lang w:bidi="ar"/>
        </w:rPr>
        <w:t>数据库审计服务</w:t>
      </w:r>
    </w:p>
    <w:p>
      <w:pPr>
        <w:pStyle w:val="2"/>
        <w:spacing w:line="560" w:lineRule="exact"/>
        <w:ind w:firstLine="420"/>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color w:val="000000"/>
          <w:lang w:bidi="ar"/>
        </w:rPr>
        <w:t>按照采购人的具体需求，提供数据库审计服务。</w:t>
      </w:r>
    </w:p>
    <w:p>
      <w:pPr>
        <w:tabs>
          <w:tab w:val="left" w:pos="988"/>
          <w:tab w:val="left" w:pos="1135"/>
        </w:tabs>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（6）个性化服务</w:t>
      </w:r>
    </w:p>
    <w:p>
      <w:pPr>
        <w:pStyle w:val="2"/>
        <w:spacing w:line="56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按照采购人的有关管理规定及具体需求提供授时服务，在提供服务的过程中需做好与业主方和对应项目的应用开发厂商的协调沟通工作。</w:t>
      </w:r>
    </w:p>
    <w:p>
      <w:pPr>
        <w:widowControl/>
        <w:tabs>
          <w:tab w:val="left" w:pos="312"/>
        </w:tabs>
        <w:spacing w:line="560" w:lineRule="exact"/>
        <w:ind w:firstLine="472" w:firstLineChars="196"/>
        <w:outlineLvl w:val="2"/>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2.配套服务要求</w:t>
      </w:r>
    </w:p>
    <w:p>
      <w:pPr>
        <w:spacing w:line="5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（1）服务规范</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投标人须</w:t>
      </w:r>
      <w:bookmarkStart w:id="0" w:name="_Hlk19644582"/>
      <w:r>
        <w:rPr>
          <w:rFonts w:hint="eastAsia" w:asciiTheme="minorEastAsia" w:hAnsiTheme="minorEastAsia" w:eastAsiaTheme="minorEastAsia" w:cstheme="minorEastAsia"/>
          <w:sz w:val="24"/>
        </w:rPr>
        <w:t>严格按照采购人制定的管理办法、流程及其他汇报制度、应急制度、文档管理、资产管理、基线管理、人员管理、培训与考试、知识库管理、安全管理等相关制度，开展标准化运维工作。</w:t>
      </w:r>
      <w:bookmarkEnd w:id="0"/>
    </w:p>
    <w:p>
      <w:pPr>
        <w:spacing w:line="5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（2）服务方式</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投标人需利用监控系统或人工对机房环境、硬件设备及应用系统的运行情况进行7*24小时的不间断巡检监控，及时发现安全隐患，通知相关人员及时处理，并形成监控报告。</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投标人负责</w:t>
      </w:r>
      <w:bookmarkStart w:id="1" w:name="_Hlk19644741"/>
      <w:r>
        <w:rPr>
          <w:rFonts w:hint="eastAsia" w:asciiTheme="minorEastAsia" w:hAnsiTheme="minorEastAsia" w:eastAsiaTheme="minorEastAsia" w:cstheme="minorEastAsia"/>
          <w:sz w:val="24"/>
        </w:rPr>
        <w:t>设立技术支持热线，并安排专人值守，为运维工作提供7*24小时热线支持服务。</w:t>
      </w:r>
      <w:bookmarkEnd w:id="1"/>
      <w:r>
        <w:rPr>
          <w:rFonts w:hint="eastAsia" w:asciiTheme="minorEastAsia" w:hAnsiTheme="minorEastAsia" w:eastAsiaTheme="minorEastAsia" w:cstheme="minorEastAsia"/>
          <w:sz w:val="24"/>
        </w:rPr>
        <w:t>投标人针对采购人要求的云平台运维服务相关内容，需指定专业技术能力较强的工程师，根据采购人要求配合开展相关维护服务。</w:t>
      </w:r>
    </w:p>
    <w:p>
      <w:pPr>
        <w:spacing w:line="5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（3）安全及保密要求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投标人须严格遵守采购人的相关信息安全规定，不得利用系统维护服务时的便利对采购人数据及其他信息擅自修改或透漏给第三方。</w:t>
      </w:r>
    </w:p>
    <w:p>
      <w:pPr>
        <w:spacing w:line="5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（4）响应的及时性</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应当提供高效的系统维护服务，有效防范系统风险，系统对应负责人7*24小时电话畅通，能够在系统发生除宕机外的其他故障问题时，能够协调人力资源在1小时内到达运维现场提供服务。系统发生宕机问题时，投标人应在30分钟内响应，在4个小时之内使系统恢复正常，故障处理完毕后提供相关系统宕机报告。</w:t>
      </w:r>
    </w:p>
    <w:p>
      <w:pPr>
        <w:spacing w:line="5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（5）重点保障要求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为保障业务高峰期内系统平稳运行，缓解系统高峰期内因业务发生量增大而带来系统压力风险，要求投标人根据业务周期性特点，加大运维保障力度，保证在业务高峰期内系统平稳运行。</w:t>
      </w:r>
    </w:p>
    <w:p>
      <w:pPr>
        <w:widowControl/>
        <w:tabs>
          <w:tab w:val="left" w:pos="312"/>
        </w:tabs>
        <w:spacing w:line="560" w:lineRule="exact"/>
        <w:ind w:firstLine="472" w:firstLineChars="196"/>
        <w:outlineLvl w:val="2"/>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3.安全及扩展要求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（1）安全要求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投标人应</w:t>
      </w:r>
      <w:bookmarkStart w:id="2" w:name="_Hlk19644403"/>
      <w:r>
        <w:rPr>
          <w:rFonts w:hint="eastAsia" w:asciiTheme="minorEastAsia" w:hAnsiTheme="minorEastAsia" w:eastAsiaTheme="minorEastAsia" w:cstheme="minorEastAsia"/>
          <w:sz w:val="24"/>
        </w:rPr>
        <w:t>保证各业务应用系统的支撑环境，包括但不限于服务器、网络、存储以及相关物理环境，应能满足安全三级等保要求，并积极配合采购人根据各业务系统具体等保需求，开展相应等保评估、检查、整改等工作。</w:t>
      </w:r>
      <w:bookmarkEnd w:id="2"/>
      <w:r>
        <w:rPr>
          <w:rFonts w:hint="eastAsia" w:asciiTheme="minorEastAsia" w:hAnsiTheme="minorEastAsia" w:eastAsiaTheme="minorEastAsia" w:cstheme="minorEastAsia"/>
          <w:sz w:val="24"/>
        </w:rPr>
        <w:t>投标人管辖范围内的硬件、软件及支撑环境资源，至少达到业务系统的最高安全等级要求。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（2）扩展要求</w:t>
      </w:r>
    </w:p>
    <w:p>
      <w:pPr>
        <w:spacing w:line="560" w:lineRule="exact"/>
        <w:ind w:firstLine="480" w:firstLineChars="200"/>
        <w:rPr>
          <w:rFonts w:asciiTheme="minorEastAsia" w:hAnsiTheme="minorEastAsia" w:eastAsiaTheme="minorEastAsia" w:cstheme="minorEastAsia"/>
          <w:sz w:val="24"/>
        </w:rPr>
      </w:pPr>
      <w:bookmarkStart w:id="3" w:name="_Hlk19644765"/>
      <w:r>
        <w:rPr>
          <w:rFonts w:hint="eastAsia" w:asciiTheme="minorEastAsia" w:hAnsiTheme="minorEastAsia" w:eastAsiaTheme="minorEastAsia" w:cstheme="minorEastAsia"/>
          <w:sz w:val="24"/>
        </w:rPr>
        <w:t>投标人应按照各系统的特点灵活调整计算、存储和带宽等各类资源供给，并能够根据业务数据的变化及时调整存储空间，确保系统高峰时段或特殊时期的访问需求。</w:t>
      </w:r>
      <w:bookmarkEnd w:id="3"/>
    </w:p>
    <w:p>
      <w:pPr>
        <w:widowControl/>
        <w:tabs>
          <w:tab w:val="left" w:pos="312"/>
        </w:tabs>
        <w:spacing w:line="560" w:lineRule="exact"/>
        <w:ind w:left="105" w:leftChars="50" w:firstLine="472" w:firstLineChars="196"/>
        <w:outlineLvl w:val="2"/>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4.应用系统迁移及业务连续性要求</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（1）迁移经验要求</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投标人必须有成功的系统迁移经验，可根据业务特点制定应用系统迁移部署方案，配合用户完成系统迁移部署、运行和安全保障，迁移过程中保证应用系统业务延续不中断。</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（2）迁移进度要求</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在合同签订后10日内，根据采购人的需求完成政务云测试、试运行、系统迁移上线工作，并且不能改变和影响采购人原有系统的功能、技术状态、数据完整性。</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（3）迁移费用要求</w:t>
      </w:r>
    </w:p>
    <w:p>
      <w:pPr>
        <w:spacing w:line="560" w:lineRule="exact"/>
        <w:ind w:firstLine="480" w:firstLineChars="200"/>
        <w:rPr>
          <w:rFonts w:asciiTheme="minorEastAsia" w:hAnsiTheme="minorEastAsia" w:eastAsiaTheme="minorEastAsia" w:cstheme="minorEastAsia"/>
          <w:color w:val="000000"/>
          <w:sz w:val="24"/>
          <w:lang w:bidi="ar"/>
        </w:rPr>
      </w:pPr>
      <w:r>
        <w:rPr>
          <w:rFonts w:hint="eastAsia" w:asciiTheme="minorEastAsia" w:hAnsiTheme="minorEastAsia" w:eastAsiaTheme="minorEastAsia" w:cstheme="minorEastAsia"/>
          <w:color w:val="000000"/>
          <w:sz w:val="24"/>
          <w:lang w:bidi="ar"/>
        </w:rPr>
        <w:t>针对已经在政务云平台上的试运行应用系统的迁移需求，为确保迁移过程中数据不丢失、系统业务不中断，本次中标人负责与原政务云平台的服务商进行主动对接，系统迁移所需各项费用（包括但不限于中标人迁移测试阶段的云资源费用，系统开发商对业务系统的部署、调试费用，原服务商配合迁出系统的服务费用等），由本次中标人负责解决并包含在本次投标报价中。</w:t>
      </w:r>
    </w:p>
    <w:p>
      <w:pPr>
        <w:pStyle w:val="6"/>
        <w:spacing w:after="0" w:line="560" w:lineRule="exact"/>
        <w:ind w:left="0" w:leftChars="0" w:firstLine="482"/>
        <w:rPr>
          <w:rFonts w:asciiTheme="minorEastAsia" w:hAnsiTheme="minorEastAsia" w:eastAsiaTheme="minorEastAsia" w:cstheme="minorEastAsia"/>
          <w:b/>
          <w:bCs/>
          <w:color w:val="000000"/>
          <w:szCs w:val="24"/>
          <w:lang w:bidi="ar"/>
        </w:rPr>
      </w:pPr>
      <w:r>
        <w:rPr>
          <w:rFonts w:hint="eastAsia" w:asciiTheme="minorEastAsia" w:hAnsiTheme="minorEastAsia" w:eastAsiaTheme="minorEastAsia" w:cstheme="minorEastAsia"/>
          <w:b/>
          <w:bCs/>
          <w:color w:val="000000"/>
          <w:szCs w:val="24"/>
          <w:lang w:bidi="ar"/>
        </w:rPr>
        <w:t>针对以上要求，投标人需出具业务连续性服务承诺书（加盖投标人公章）并在合同内服务条款中注明。</w:t>
      </w:r>
    </w:p>
    <w:p>
      <w:pPr>
        <w:widowControl/>
        <w:tabs>
          <w:tab w:val="left" w:pos="312"/>
        </w:tabs>
        <w:spacing w:line="560" w:lineRule="exact"/>
        <w:ind w:left="105" w:leftChars="50" w:firstLine="472" w:firstLineChars="196"/>
        <w:outlineLvl w:val="2"/>
        <w:rPr>
          <w:rFonts w:asciiTheme="minorEastAsia" w:hAnsiTheme="minorEastAsia" w:eastAsiaTheme="minorEastAsia" w:cstheme="minorEastAsia"/>
          <w:b/>
          <w:bCs/>
          <w:sz w:val="24"/>
        </w:rPr>
      </w:pPr>
      <w:r>
        <w:rPr>
          <w:rFonts w:asciiTheme="minorEastAsia" w:hAnsiTheme="minorEastAsia" w:eastAsiaTheme="minorEastAsia" w:cstheme="minorEastAsia"/>
          <w:b/>
          <w:bCs/>
          <w:sz w:val="24"/>
        </w:rPr>
        <w:t>5.人员要求</w:t>
      </w:r>
    </w:p>
    <w:p>
      <w:pPr>
        <w:pStyle w:val="6"/>
        <w:spacing w:after="0" w:line="560" w:lineRule="exact"/>
        <w:ind w:left="0" w:leftChars="0" w:firstLine="480"/>
        <w:rPr>
          <w:rFonts w:asciiTheme="minorEastAsia" w:hAnsiTheme="minorEastAsia" w:eastAsiaTheme="minorEastAsia" w:cstheme="minorEastAsia"/>
          <w:color w:val="000000"/>
          <w:szCs w:val="24"/>
          <w:lang w:bidi="ar"/>
        </w:rPr>
      </w:pPr>
      <w:r>
        <w:rPr>
          <w:rFonts w:hint="eastAsia" w:asciiTheme="minorEastAsia" w:hAnsiTheme="minorEastAsia" w:eastAsiaTheme="minorEastAsia" w:cstheme="minorEastAsia"/>
          <w:color w:val="000000"/>
          <w:szCs w:val="24"/>
          <w:lang w:bidi="ar"/>
        </w:rPr>
        <w:t>投标人需根据项目要求安排具备相应资质和经验的专业人员从事本项目工作，提供不少于10人的服务团队，须确保项目实施队伍的稳定，提供相关</w:t>
      </w:r>
      <w:r>
        <w:rPr>
          <w:rFonts w:asciiTheme="minorEastAsia" w:hAnsiTheme="minorEastAsia" w:eastAsiaTheme="minorEastAsia" w:cstheme="minorEastAsia"/>
          <w:color w:val="000000"/>
          <w:szCs w:val="24"/>
          <w:lang w:bidi="ar"/>
        </w:rPr>
        <w:t>系统</w:t>
      </w:r>
      <w:r>
        <w:rPr>
          <w:rFonts w:hint="eastAsia" w:asciiTheme="minorEastAsia" w:hAnsiTheme="minorEastAsia" w:eastAsiaTheme="minorEastAsia" w:cstheme="minorEastAsia"/>
          <w:color w:val="000000"/>
          <w:szCs w:val="24"/>
          <w:lang w:bidi="ar"/>
        </w:rPr>
        <w:t>本地化服务。投标人需提供项目团队组织架构、成员名单、成员职责。</w:t>
      </w:r>
    </w:p>
    <w:p>
      <w:pPr>
        <w:pStyle w:val="6"/>
        <w:spacing w:after="0" w:line="560" w:lineRule="exact"/>
        <w:ind w:left="0" w:leftChars="0" w:firstLine="480"/>
        <w:rPr>
          <w:rFonts w:asciiTheme="minorEastAsia" w:hAnsiTheme="minorEastAsia" w:eastAsiaTheme="minorEastAsia" w:cstheme="minorEastAsia"/>
          <w:color w:val="000000"/>
          <w:szCs w:val="24"/>
          <w:lang w:bidi="ar"/>
        </w:rPr>
      </w:pPr>
      <w:r>
        <w:rPr>
          <w:rFonts w:hint="eastAsia" w:asciiTheme="minorEastAsia" w:hAnsiTheme="minorEastAsia" w:eastAsiaTheme="minorEastAsia" w:cstheme="minorEastAsia"/>
          <w:color w:val="000000"/>
          <w:szCs w:val="24"/>
          <w:lang w:bidi="ar"/>
        </w:rPr>
        <w:t>（1）驻场项目经理具备5年及以上类似工作经验，且具有信息系统项目管理师证书。</w:t>
      </w:r>
    </w:p>
    <w:p>
      <w:pPr>
        <w:pStyle w:val="6"/>
        <w:spacing w:after="0" w:line="560" w:lineRule="exact"/>
        <w:ind w:left="0" w:leftChars="0" w:firstLine="480"/>
        <w:rPr>
          <w:rFonts w:asciiTheme="minorEastAsia" w:hAnsiTheme="minorEastAsia" w:eastAsiaTheme="minorEastAsia" w:cstheme="minorEastAsia"/>
          <w:color w:val="000000"/>
          <w:szCs w:val="24"/>
          <w:lang w:bidi="ar"/>
        </w:rPr>
      </w:pPr>
      <w:r>
        <w:rPr>
          <w:rFonts w:hint="eastAsia" w:asciiTheme="minorEastAsia" w:hAnsiTheme="minorEastAsia" w:eastAsiaTheme="minorEastAsia" w:cstheme="minorEastAsia"/>
          <w:color w:val="000000"/>
          <w:szCs w:val="24"/>
          <w:lang w:bidi="ar"/>
        </w:rPr>
        <w:t>（2）技术负责人具有5年及以上类似工作经验，且具有CISP证书。</w:t>
      </w:r>
    </w:p>
    <w:p>
      <w:pPr>
        <w:pStyle w:val="6"/>
        <w:spacing w:after="0" w:line="560" w:lineRule="exact"/>
        <w:ind w:left="0" w:leftChars="0" w:firstLine="480"/>
        <w:rPr>
          <w:rFonts w:asciiTheme="minorEastAsia" w:hAnsiTheme="minorEastAsia" w:eastAsiaTheme="minorEastAsia" w:cstheme="minorEastAsia"/>
          <w:color w:val="000000"/>
          <w:szCs w:val="24"/>
          <w:lang w:bidi="ar"/>
        </w:rPr>
      </w:pPr>
      <w:r>
        <w:rPr>
          <w:rFonts w:hint="eastAsia" w:asciiTheme="minorEastAsia" w:hAnsiTheme="minorEastAsia" w:eastAsiaTheme="minorEastAsia" w:cstheme="minorEastAsia"/>
          <w:color w:val="000000"/>
          <w:szCs w:val="24"/>
          <w:lang w:bidi="ar"/>
        </w:rPr>
        <w:t xml:space="preserve">（3）除项目经理和技术负责人之外的服务团队成员,一人或多人分别具有CISP、CCNP、RHCE证书。       </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五、售后服务</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投标人应成立专门的技术支持和售后服务小组，提供完善周到的本地化服务，具有7*24小时的维护支持能力以及优先服务级别。投标人应提供具体的技术支持和售后服务方案。</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自租用期始至服务期止，需向采购人提供以下两方面内容，其它内容可自愿提供。</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一是每月定期向采购人提供月度服务明细。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二是至少提前一天通知之后即将进行的，与采购人系统运行相关的安全事件、项目施工、功能或者性能调整工作。</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六、交付方式</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本项目交付方式：中标人应在合同签订生效之日起十日内，交付本次采购所需的云资源，提供服务配置清单以及相关文档。</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七、交货或服务地点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采购人指定</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八、验收服务要求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1.中标人为采购人提供的服务质量应符合国家或相关行业，以及《北京市市级政务云管理办法（试行）》的标准。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 中标人在按合同要求提供各项服务并形成服务报告文档后，在系统运行正常的前提下，由采购人进行验收。中标人需提供最终签署的合同中约定的相关文档并配合采购人验收工作。   </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九、付款方式</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合同签署生效且财政资金拨付到位后，于2024年6月30日前，采购人向中标人支付合同首款（合同额30%）；2024年1</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月3</w:t>
      </w:r>
      <w:r>
        <w:rPr>
          <w:rFonts w:asciiTheme="minorEastAsia" w:hAnsiTheme="minorEastAsia" w:eastAsiaTheme="minorEastAsia" w:cstheme="minorEastAsia"/>
          <w:sz w:val="24"/>
        </w:rPr>
        <w:t>0</w:t>
      </w:r>
      <w:r>
        <w:rPr>
          <w:rFonts w:hint="eastAsia" w:asciiTheme="minorEastAsia" w:hAnsiTheme="minorEastAsia" w:eastAsiaTheme="minorEastAsia" w:cstheme="minorEastAsia"/>
          <w:sz w:val="24"/>
        </w:rPr>
        <w:t>前，中标人按合同要求完成相应工作并经采购人阶段性验收通过后，于15个工作日内，采购人向中标人支付合同中期款（合同额40%）；项目通过最终验收后，于2025年6月30日前，采购人向中标人支付合同尾款（合同额30%）。</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tabs>
          <w:tab w:val="left" w:pos="360"/>
          <w:tab w:val="left" w:pos="900"/>
        </w:tabs>
        <w:snapToGrid w:val="0"/>
        <w:spacing w:line="360" w:lineRule="auto"/>
        <w:jc w:val="both"/>
        <w:outlineLvl w:val="1"/>
        <w:rPr>
          <w:rFonts w:hint="eastAsia" w:asciiTheme="minorEastAsia" w:hAnsiTheme="minorEastAsia" w:eastAsiaTheme="minorEastAsia" w:cstheme="minorEastAsia"/>
          <w:b/>
          <w:sz w:val="24"/>
        </w:rPr>
      </w:pPr>
    </w:p>
    <w:p>
      <w:pPr>
        <w:pStyle w:val="2"/>
        <w:rPr>
          <w:rFonts w:hint="eastAsia"/>
        </w:rPr>
      </w:pPr>
    </w:p>
    <w:p>
      <w:pPr>
        <w:tabs>
          <w:tab w:val="left" w:pos="360"/>
          <w:tab w:val="left" w:pos="900"/>
        </w:tabs>
        <w:snapToGrid w:val="0"/>
        <w:spacing w:line="360" w:lineRule="auto"/>
        <w:jc w:val="center"/>
        <w:outlineLvl w:val="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第2包 2024年北京市公共资源交易中心政务云资源租用服务费云计算服务采购项目云计算服务（第二包）</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一、采购清单</w:t>
      </w:r>
    </w:p>
    <w:p>
      <w:pPr>
        <w:spacing w:line="560" w:lineRule="exact"/>
        <w:ind w:firstLine="472" w:firstLineChars="196"/>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云计算服务</w:t>
      </w:r>
    </w:p>
    <w:tbl>
      <w:tblPr>
        <w:tblStyle w:val="7"/>
        <w:tblW w:w="8087"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23"/>
        <w:gridCol w:w="1706"/>
        <w:gridCol w:w="170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2223" w:type="dxa"/>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采购标的名称</w:t>
            </w:r>
          </w:p>
        </w:tc>
        <w:tc>
          <w:tcPr>
            <w:tcW w:w="1706" w:type="dxa"/>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数量</w:t>
            </w:r>
          </w:p>
        </w:tc>
        <w:tc>
          <w:tcPr>
            <w:tcW w:w="1706" w:type="dxa"/>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w:t>
            </w:r>
          </w:p>
        </w:tc>
        <w:tc>
          <w:tcPr>
            <w:tcW w:w="1264" w:type="dxa"/>
          </w:tcPr>
          <w:p>
            <w:pPr>
              <w:widowControl/>
              <w:spacing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2223" w:type="dxa"/>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密码云服务</w:t>
            </w:r>
          </w:p>
        </w:tc>
        <w:tc>
          <w:tcPr>
            <w:tcW w:w="1706" w:type="dxa"/>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706" w:type="dxa"/>
          </w:tcPr>
          <w:p>
            <w:pPr>
              <w:widowControl/>
              <w:spacing w:line="5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264" w:type="dxa"/>
          </w:tcPr>
          <w:p>
            <w:pPr>
              <w:widowControl/>
              <w:spacing w:line="560" w:lineRule="exact"/>
              <w:jc w:val="center"/>
              <w:rPr>
                <w:rFonts w:asciiTheme="minorEastAsia" w:hAnsiTheme="minorEastAsia" w:eastAsiaTheme="minorEastAsia" w:cstheme="minorEastAsia"/>
                <w:bCs/>
                <w:sz w:val="24"/>
              </w:rPr>
            </w:pPr>
          </w:p>
        </w:tc>
      </w:tr>
    </w:tbl>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二、项目背景或简况</w:t>
      </w:r>
    </w:p>
    <w:p>
      <w:pPr>
        <w:pStyle w:val="5"/>
        <w:spacing w:before="0" w:beforeAutospacing="0" w:after="0" w:afterAutospacing="0" w:line="5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加快推进北京市政务信息系统整合共享工作，北京市经信局等部门联合制定并发布了《关于印发&lt;关于推进我市政务信息系统整合共享的实施方案&gt;的通知》（京经信委发[2017]89号）文件。同时，结合《关于印发&lt;北京市大数据行动计划2019年重点工作任务&gt;的通知》以及《关于加快政务信息系统入云工作的函》的工作要求,根据市发展改革委的统一安排，公共资源交易中心各级信息系统全部迁移到政务云平台。</w:t>
      </w:r>
    </w:p>
    <w:p>
      <w:pPr>
        <w:pStyle w:val="5"/>
        <w:spacing w:before="0" w:beforeAutospacing="0" w:after="0" w:afterAutospacing="0" w:line="5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持续提升公共服务水平和能力，进一步提供安全、稳定的扩展服务，公共资源交易中心需要为已入云的系统继续租用云上基础资源和扩展资源等服务，用以确保中心各项业务顺利开展，提升交易平台安全保障能力。</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三、服务期</w:t>
      </w:r>
    </w:p>
    <w:p>
      <w:pPr>
        <w:spacing w:line="560" w:lineRule="exact"/>
        <w:ind w:firstLine="645"/>
        <w:rPr>
          <w:rFonts w:asciiTheme="minorEastAsia" w:hAnsiTheme="minorEastAsia" w:eastAsiaTheme="minorEastAsia" w:cstheme="minorEastAsia"/>
          <w:sz w:val="24"/>
        </w:rPr>
      </w:pPr>
      <w:r>
        <w:rPr>
          <w:rFonts w:asciiTheme="minorEastAsia" w:hAnsiTheme="minorEastAsia" w:eastAsiaTheme="minorEastAsia" w:cstheme="minorEastAsia"/>
          <w:sz w:val="24"/>
        </w:rPr>
        <w:t>12</w:t>
      </w:r>
      <w:r>
        <w:rPr>
          <w:rFonts w:hint="eastAsia" w:asciiTheme="minorEastAsia" w:hAnsiTheme="minorEastAsia" w:eastAsiaTheme="minorEastAsia" w:cstheme="minorEastAsia"/>
          <w:sz w:val="24"/>
        </w:rPr>
        <w:t>个月</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四、参数及服务要求</w:t>
      </w:r>
    </w:p>
    <w:p>
      <w:pPr>
        <w:spacing w:line="560" w:lineRule="exact"/>
        <w:ind w:firstLine="472" w:firstLineChars="196"/>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1.密码云服务</w:t>
      </w:r>
    </w:p>
    <w:tbl>
      <w:tblPr>
        <w:tblStyle w:val="7"/>
        <w:tblW w:w="8595" w:type="dxa"/>
        <w:jc w:val="center"/>
        <w:tblInd w:w="0" w:type="dxa"/>
        <w:tblLayout w:type="fixed"/>
        <w:tblCellMar>
          <w:top w:w="0" w:type="dxa"/>
          <w:left w:w="79" w:type="dxa"/>
          <w:bottom w:w="0" w:type="dxa"/>
          <w:right w:w="79" w:type="dxa"/>
        </w:tblCellMar>
      </w:tblPr>
      <w:tblGrid>
        <w:gridCol w:w="855"/>
        <w:gridCol w:w="1901"/>
        <w:gridCol w:w="2573"/>
        <w:gridCol w:w="820"/>
        <w:gridCol w:w="2446"/>
      </w:tblGrid>
      <w:tr>
        <w:tblPrEx>
          <w:tblLayout w:type="fixed"/>
          <w:tblCellMar>
            <w:top w:w="0" w:type="dxa"/>
            <w:left w:w="79" w:type="dxa"/>
            <w:bottom w:w="0" w:type="dxa"/>
            <w:right w:w="79" w:type="dxa"/>
          </w:tblCellMar>
        </w:tblPrEx>
        <w:trPr>
          <w:trHeight w:val="399"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服务名称</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服务说明</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Layout w:type="fixed"/>
          <w:tblCellMar>
            <w:top w:w="0" w:type="dxa"/>
            <w:left w:w="79" w:type="dxa"/>
            <w:bottom w:w="0" w:type="dxa"/>
            <w:right w:w="79" w:type="dxa"/>
          </w:tblCellMar>
        </w:tblPrEx>
        <w:trPr>
          <w:trHeight w:val="732"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强身份认证服务</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数字证书的应用登录认证服务</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提供基于USBKey的数字证书登录业务应用</w:t>
            </w:r>
          </w:p>
        </w:tc>
      </w:tr>
      <w:tr>
        <w:tblPrEx>
          <w:tblLayout w:type="fixed"/>
          <w:tblCellMar>
            <w:top w:w="0" w:type="dxa"/>
            <w:left w:w="79" w:type="dxa"/>
            <w:bottom w:w="0" w:type="dxa"/>
            <w:right w:w="79" w:type="dxa"/>
          </w:tblCellMar>
        </w:tblPrEx>
        <w:trPr>
          <w:trHeight w:val="714"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签名验证服务</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应用中业务数据签名/验证服务</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提供针对应用中业务数据的签名验证服务</w:t>
            </w:r>
          </w:p>
        </w:tc>
      </w:tr>
      <w:tr>
        <w:tblPrEx>
          <w:tblLayout w:type="fixed"/>
          <w:tblCellMar>
            <w:top w:w="0" w:type="dxa"/>
            <w:left w:w="79" w:type="dxa"/>
            <w:bottom w:w="0" w:type="dxa"/>
            <w:right w:w="79" w:type="dxa"/>
          </w:tblCellMar>
        </w:tblPrEx>
        <w:trPr>
          <w:trHeight w:val="737"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加解密服务</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应用中业务数据加/解密服务</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提供针对应用中业务数据的加密和解密服务</w:t>
            </w:r>
          </w:p>
        </w:tc>
      </w:tr>
      <w:tr>
        <w:tblPrEx>
          <w:tblLayout w:type="fixed"/>
          <w:tblCellMar>
            <w:top w:w="0" w:type="dxa"/>
            <w:left w:w="79" w:type="dxa"/>
            <w:bottom w:w="0" w:type="dxa"/>
            <w:right w:w="79" w:type="dxa"/>
          </w:tblCellMar>
        </w:tblPrEx>
        <w:trPr>
          <w:trHeight w:val="1246"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时间戳服务</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可信时间戳加盖验证服务</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按照所需时间戳性能选择服务数量。如：每小时20000次时间戳，需要2个服务授权</w:t>
            </w:r>
          </w:p>
        </w:tc>
      </w:tr>
      <w:tr>
        <w:tblPrEx>
          <w:tblLayout w:type="fixed"/>
          <w:tblCellMar>
            <w:top w:w="0" w:type="dxa"/>
            <w:left w:w="79" w:type="dxa"/>
            <w:bottom w:w="0" w:type="dxa"/>
            <w:right w:w="79" w:type="dxa"/>
          </w:tblCellMar>
        </w:tblPrEx>
        <w:trPr>
          <w:trHeight w:val="1044" w:hRule="atLeast"/>
          <w:jc w:val="center"/>
        </w:trPr>
        <w:tc>
          <w:tcPr>
            <w:tcW w:w="855"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0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应用接入密码云服务</w:t>
            </w:r>
          </w:p>
        </w:tc>
        <w:tc>
          <w:tcPr>
            <w:tcW w:w="2573"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提供应用系统接入密码云所需应用集成、开通和配置服务</w:t>
            </w:r>
          </w:p>
        </w:tc>
        <w:tc>
          <w:tcPr>
            <w:tcW w:w="82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46" w:type="dxa"/>
            <w:tcBorders>
              <w:top w:val="single" w:color="auto" w:sz="2" w:space="0"/>
              <w:left w:val="nil"/>
              <w:bottom w:val="single" w:color="auto" w:sz="2" w:space="0"/>
              <w:right w:val="single" w:color="auto" w:sz="2"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按应用所接入的相关密码服务计算，每个密码云服务接入一个应用为一次</w:t>
            </w:r>
          </w:p>
        </w:tc>
      </w:tr>
    </w:tbl>
    <w:p>
      <w:pPr>
        <w:numPr>
          <w:ilvl w:val="0"/>
          <w:numId w:val="4"/>
        </w:numPr>
        <w:spacing w:line="560" w:lineRule="exact"/>
        <w:ind w:firstLine="64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人员要求</w:t>
      </w:r>
    </w:p>
    <w:p>
      <w:pPr>
        <w:pStyle w:val="9"/>
        <w:snapToGrid w:val="0"/>
        <w:spacing w:line="400" w:lineRule="exact"/>
        <w:ind w:left="420"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项目经理</w:t>
      </w:r>
      <w:r>
        <w:rPr>
          <w:rFonts w:hint="eastAsia" w:asciiTheme="minorEastAsia" w:hAnsiTheme="minorEastAsia" w:eastAsiaTheme="minorEastAsia" w:cstheme="minorEastAsia"/>
          <w:sz w:val="24"/>
        </w:rPr>
        <w:t>应</w:t>
      </w:r>
      <w:r>
        <w:rPr>
          <w:rFonts w:asciiTheme="minorEastAsia" w:hAnsiTheme="minorEastAsia" w:eastAsiaTheme="minorEastAsia" w:cstheme="minorEastAsia"/>
          <w:sz w:val="24"/>
        </w:rPr>
        <w:t>具备</w:t>
      </w:r>
      <w:r>
        <w:rPr>
          <w:rFonts w:hint="eastAsia" w:asciiTheme="minorEastAsia" w:hAnsiTheme="minorEastAsia" w:eastAsiaTheme="minorEastAsia" w:cstheme="minorEastAsia"/>
          <w:sz w:val="24"/>
        </w:rPr>
        <w:t>信息系统项目管理师资格</w:t>
      </w:r>
      <w:r>
        <w:rPr>
          <w:rFonts w:asciiTheme="minorEastAsia" w:hAnsiTheme="minorEastAsia" w:eastAsiaTheme="minorEastAsia" w:cstheme="minorEastAsia"/>
          <w:sz w:val="24"/>
        </w:rPr>
        <w:t>，项目团队</w:t>
      </w:r>
      <w:r>
        <w:rPr>
          <w:rFonts w:hint="eastAsia" w:asciiTheme="minorEastAsia" w:hAnsiTheme="minorEastAsia" w:eastAsiaTheme="minorEastAsia" w:cstheme="minorEastAsia"/>
          <w:sz w:val="24"/>
        </w:rPr>
        <w:t>工程师不少于3人</w:t>
      </w:r>
      <w:r>
        <w:rPr>
          <w:rFonts w:asciiTheme="minorEastAsia" w:hAnsiTheme="minorEastAsia" w:eastAsiaTheme="minorEastAsia" w:cstheme="minorEastAsia"/>
          <w:sz w:val="24"/>
        </w:rPr>
        <w:t xml:space="preserve">，应具备系统集成项目管理工程师证书、CISSP信息安全师证书， </w:t>
      </w:r>
      <w:r>
        <w:rPr>
          <w:rFonts w:hint="eastAsia" w:asciiTheme="minorEastAsia" w:hAnsiTheme="minorEastAsia" w:eastAsiaTheme="minorEastAsia" w:cstheme="minorEastAsia"/>
          <w:sz w:val="24"/>
        </w:rPr>
        <w:t>需</w:t>
      </w:r>
      <w:r>
        <w:rPr>
          <w:rFonts w:asciiTheme="minorEastAsia" w:hAnsiTheme="minorEastAsia" w:eastAsiaTheme="minorEastAsia" w:cstheme="minorEastAsia"/>
          <w:sz w:val="24"/>
        </w:rPr>
        <w:t>提供团队组织架构、成员名单、成员职责。</w:t>
      </w:r>
    </w:p>
    <w:p>
      <w:pPr>
        <w:snapToGrid w:val="0"/>
        <w:spacing w:line="400" w:lineRule="exact"/>
        <w:ind w:left="420" w:firstLine="420" w:firstLineChars="175"/>
        <w:rPr>
          <w:rFonts w:asciiTheme="minorEastAsia" w:hAnsiTheme="minorEastAsia" w:eastAsiaTheme="minorEastAsia" w:cstheme="minorEastAsia"/>
          <w:sz w:val="24"/>
        </w:rPr>
      </w:pPr>
    </w:p>
    <w:p>
      <w:pPr>
        <w:numPr>
          <w:ilvl w:val="255"/>
          <w:numId w:val="0"/>
        </w:numPr>
        <w:spacing w:line="560" w:lineRule="exact"/>
        <w:ind w:firstLine="472" w:firstLineChars="196"/>
        <w:outlineLvl w:val="0"/>
        <w:rPr>
          <w:rFonts w:asciiTheme="minorEastAsia" w:hAnsiTheme="minorEastAsia" w:eastAsiaTheme="minorEastAsia" w:cstheme="minorEastAsia"/>
          <w:b/>
          <w:bCs/>
        </w:rPr>
      </w:pPr>
      <w:r>
        <w:rPr>
          <w:rFonts w:hint="eastAsia" w:asciiTheme="minorEastAsia" w:hAnsiTheme="minorEastAsia" w:eastAsiaTheme="minorEastAsia" w:cstheme="minorEastAsia"/>
          <w:b/>
          <w:sz w:val="24"/>
        </w:rPr>
        <w:t>五、</w:t>
      </w:r>
      <w:r>
        <w:rPr>
          <w:rFonts w:hint="eastAsia" w:asciiTheme="minorEastAsia" w:hAnsiTheme="minorEastAsia" w:eastAsiaTheme="minorEastAsia" w:cstheme="minorEastAsia"/>
          <w:b/>
          <w:bCs/>
          <w:sz w:val="24"/>
        </w:rPr>
        <w:t>部署</w:t>
      </w:r>
      <w:r>
        <w:rPr>
          <w:rFonts w:asciiTheme="minorEastAsia" w:hAnsiTheme="minorEastAsia" w:eastAsiaTheme="minorEastAsia" w:cstheme="minorEastAsia"/>
          <w:b/>
          <w:bCs/>
          <w:sz w:val="24"/>
        </w:rPr>
        <w:t>及</w:t>
      </w:r>
      <w:r>
        <w:rPr>
          <w:rFonts w:hint="eastAsia" w:asciiTheme="minorEastAsia" w:hAnsiTheme="minorEastAsia" w:eastAsiaTheme="minorEastAsia" w:cstheme="minorEastAsia"/>
          <w:b/>
          <w:bCs/>
          <w:sz w:val="24"/>
        </w:rPr>
        <w:t>实施</w:t>
      </w:r>
      <w:r>
        <w:rPr>
          <w:rFonts w:asciiTheme="minorEastAsia" w:hAnsiTheme="minorEastAsia" w:eastAsiaTheme="minorEastAsia" w:cstheme="minorEastAsia"/>
          <w:b/>
          <w:bCs/>
          <w:sz w:val="24"/>
        </w:rPr>
        <w:t>要求</w:t>
      </w:r>
    </w:p>
    <w:p>
      <w:pPr>
        <w:pStyle w:val="2"/>
        <w:numPr>
          <w:ilvl w:val="0"/>
          <w:numId w:val="5"/>
        </w:numPr>
        <w:spacing w:before="0" w:line="560" w:lineRule="exact"/>
        <w:ind w:left="0" w:firstLine="480" w:firstLineChars="200"/>
      </w:pPr>
      <w:r>
        <w:rPr>
          <w:rFonts w:hint="eastAsia"/>
        </w:rPr>
        <w:t>按照采购人的具体需求，制定本项目的工作时间与进度安排计划，包含但不限于项目启动、需求收集、工作计划等。</w:t>
      </w:r>
    </w:p>
    <w:p>
      <w:pPr>
        <w:pStyle w:val="2"/>
        <w:numPr>
          <w:ilvl w:val="0"/>
          <w:numId w:val="5"/>
        </w:numPr>
        <w:spacing w:before="0" w:line="560" w:lineRule="exact"/>
        <w:ind w:left="0" w:firstLine="480" w:firstLineChars="200"/>
      </w:pPr>
      <w:r>
        <w:rPr>
          <w:rFonts w:hint="eastAsia"/>
        </w:rPr>
        <w:t>制定质量管理体系方案及切实可行的质量保证措施方案，包含</w:t>
      </w:r>
      <w:r>
        <w:t>但不限于</w:t>
      </w:r>
      <w:r>
        <w:rPr>
          <w:rFonts w:hint="eastAsia"/>
        </w:rPr>
        <w:t>组织实施方案，风险分析及应对措施，项目工作管理制度等。</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六、售后服务</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投标人应成立专门的技术支持和售后服务小组，提供完善周到的本地化服务，具有7*24小时的维护支持能力以及优先服务级别。投标人应提供具体的技术支持和售后服务方案。</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自租用期始至服务期止，需向采购人提供以下两方面内容，其它内容可自愿提供。</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一是每月定期向采购人提供月度服务明细。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二是至少提前一天通知之后即将进行的，与采购人系统运行相关的安全事件、项目施工、功能或者性能调整工作。</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七、交付方式</w:t>
      </w:r>
    </w:p>
    <w:p>
      <w:pPr>
        <w:spacing w:line="560" w:lineRule="exact"/>
        <w:ind w:firstLine="470" w:firstLineChars="196"/>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本项目交付方式：中标人应在合同签订生效之日起十日内，交付本次采购所需的云资源，提供服务配置清单以及相关文档。</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八、交货或服务地点。</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采购人指定</w:t>
      </w:r>
    </w:p>
    <w:p>
      <w:pPr>
        <w:spacing w:line="560" w:lineRule="exact"/>
        <w:ind w:firstLine="472" w:firstLineChars="196"/>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九、验收服务要求</w:t>
      </w:r>
      <w:r>
        <w:rPr>
          <w:rFonts w:hint="eastAsia" w:asciiTheme="minorEastAsia" w:hAnsiTheme="minorEastAsia" w:eastAsiaTheme="minorEastAsia" w:cstheme="minorEastAsia"/>
          <w:sz w:val="24"/>
        </w:rPr>
        <w:t xml:space="preserve"> </w:t>
      </w:r>
    </w:p>
    <w:p>
      <w:pPr>
        <w:pStyle w:val="2"/>
        <w:spacing w:line="560" w:lineRule="exact"/>
        <w:ind w:firstLine="480" w:firstLineChars="200"/>
      </w:pPr>
      <w:r>
        <w:rPr>
          <w:rFonts w:hint="eastAsia"/>
        </w:rPr>
        <w:t>1. 中标人为采购人提供的服务质量应符合国家或相关行业，以及《北京市市级政务云管理办法（试行）》的标准。</w:t>
      </w:r>
    </w:p>
    <w:p>
      <w:pPr>
        <w:pStyle w:val="2"/>
        <w:spacing w:line="560" w:lineRule="exact"/>
        <w:ind w:firstLine="480" w:firstLineChars="200"/>
        <w:rPr>
          <w:rFonts w:asciiTheme="minorEastAsia" w:hAnsiTheme="minorEastAsia" w:eastAsiaTheme="minorEastAsia" w:cstheme="minorEastAsia"/>
        </w:rPr>
      </w:pPr>
      <w:r>
        <w:rPr>
          <w:rFonts w:hint="eastAsia"/>
        </w:rPr>
        <w:t>2. 中标人在按合同要求提供各项服务并形成服务报告文档后，在系统运行正常的前提下，由采购人进行验收。中标人需提供最终签署的合同中约定的相关文档并配合采购人验收工作。</w:t>
      </w:r>
    </w:p>
    <w:p>
      <w:pPr>
        <w:spacing w:line="560" w:lineRule="exact"/>
        <w:ind w:firstLine="472" w:firstLineChars="196"/>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十、付款方式</w:t>
      </w:r>
    </w:p>
    <w:p>
      <w:pPr>
        <w:pStyle w:val="2"/>
        <w:spacing w:line="560" w:lineRule="exact"/>
        <w:ind w:firstLine="480" w:firstLineChars="200"/>
        <w:rPr>
          <w:rFonts w:hint="eastAsia"/>
        </w:rPr>
      </w:pPr>
      <w:r>
        <w:rPr>
          <w:rFonts w:hint="eastAsia"/>
        </w:rPr>
        <w:t>合同签署生效且财政资金拨付到位后，于2024年6月30日前，采购人向中标人支付合同首款（合同额30%）；2024年11月30日前，中标人按合同要求完成相应工作并经采购</w:t>
      </w:r>
      <w:r>
        <w:t>人确认后</w:t>
      </w:r>
      <w:r>
        <w:rPr>
          <w:rFonts w:hint="eastAsia"/>
        </w:rPr>
        <w:t>，于15个工作日内，采购人向中标人支付合同中期款（合同额40%）；项目通过最终验收后，于2025年6月30日前，采购人向中标人支付合同尾款（合同额30%）。</w:t>
      </w:r>
    </w:p>
    <w:p>
      <w:pPr>
        <w:pStyle w:val="2"/>
        <w:rPr>
          <w:rFonts w:hint="eastAsia" w:asciiTheme="minorEastAsia" w:hAnsiTheme="minorEastAsia" w:eastAsiaTheme="minorEastAsia" w:cstheme="minorEastAsia"/>
          <w:sz w:val="24"/>
          <w:szCs w:val="24"/>
        </w:rPr>
      </w:pPr>
    </w:p>
    <w:p>
      <w:pPr>
        <w:numPr>
          <w:ilvl w:val="0"/>
          <w:numId w:val="0"/>
        </w:num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本</w:t>
      </w:r>
      <w:r>
        <w:rPr>
          <w:rFonts w:hint="eastAsia" w:asciiTheme="minorEastAsia" w:hAnsiTheme="minorEastAsia" w:eastAsiaTheme="minorEastAsia" w:cstheme="minorEastAsia"/>
          <w:b/>
          <w:sz w:val="24"/>
          <w:szCs w:val="24"/>
        </w:rPr>
        <w:t>采购项目需要落实的政府采购政策</w:t>
      </w:r>
    </w:p>
    <w:p>
      <w:pPr>
        <w:keepNext w:val="0"/>
        <w:keepLines w:val="0"/>
        <w:pageBreakBefore w:val="0"/>
        <w:widowControl w:val="0"/>
        <w:numPr>
          <w:ilvl w:val="0"/>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sz w:val="24"/>
          <w:highlight w:val="none"/>
        </w:rPr>
      </w:pPr>
      <w:r>
        <w:rPr>
          <w:sz w:val="24"/>
        </w:rPr>
        <w:t>对于未预留份额专门面向中小企业采购的采购项目，以及预</w:t>
      </w:r>
      <w:r>
        <w:rPr>
          <w:sz w:val="24"/>
          <w:highlight w:val="none"/>
        </w:rPr>
        <w:t>留份额项目中的非预留部分采购包，对小微企业报价给予</w:t>
      </w:r>
      <w:r>
        <w:rPr>
          <w:rFonts w:hint="eastAsia"/>
          <w:sz w:val="24"/>
          <w:highlight w:val="none"/>
        </w:rPr>
        <w:t>10</w:t>
      </w:r>
      <w:r>
        <w:rPr>
          <w:sz w:val="24"/>
          <w:highlight w:val="none"/>
        </w:rPr>
        <w:t>%的扣除，用扣除后的价格参加评审。</w:t>
      </w:r>
    </w:p>
    <w:p>
      <w:pPr>
        <w:keepNext w:val="0"/>
        <w:keepLines w:val="0"/>
        <w:pageBreakBefore w:val="0"/>
        <w:widowControl w:val="0"/>
        <w:numPr>
          <w:ilvl w:val="0"/>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sz w:val="24"/>
          <w:highlight w:val="none"/>
        </w:rPr>
      </w:pPr>
      <w:r>
        <w:rPr>
          <w:sz w:val="24"/>
          <w:highlight w:val="none"/>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Pr>
          <w:rFonts w:hint="eastAsia"/>
          <w:sz w:val="24"/>
          <w:highlight w:val="none"/>
        </w:rPr>
        <w:t>4</w:t>
      </w:r>
      <w:r>
        <w:rPr>
          <w:sz w:val="24"/>
          <w:highlight w:val="none"/>
        </w:rPr>
        <w:t>%的扣除，用扣除后的价格参加评审。</w:t>
      </w:r>
    </w:p>
    <w:p>
      <w:pPr>
        <w:jc w:val="left"/>
        <w:rPr>
          <w:sz w:val="24"/>
        </w:rPr>
      </w:pPr>
      <w:r>
        <w:rPr>
          <w:sz w:val="24"/>
        </w:rPr>
        <w:t>本项目采购标的对应的中小企业划分标准所属行业：</w:t>
      </w:r>
    </w:p>
    <w:tbl>
      <w:tblPr>
        <w:tblStyle w:val="7"/>
        <w:tblW w:w="6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包号</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标的名称</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1</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rFonts w:hint="eastAsia"/>
                <w:kern w:val="0"/>
                <w:sz w:val="24"/>
              </w:rPr>
              <w:t>云计</w:t>
            </w:r>
            <w:bookmarkStart w:id="4" w:name="_GoBack"/>
            <w:bookmarkEnd w:id="4"/>
            <w:r>
              <w:rPr>
                <w:rFonts w:hint="eastAsia"/>
                <w:kern w:val="0"/>
                <w:sz w:val="24"/>
              </w:rPr>
              <w:t>算服务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软件和信息技术服务业（从业人员</w:t>
            </w:r>
            <w:r>
              <w:rPr>
                <w:kern w:val="0"/>
                <w:sz w:val="24"/>
              </w:rPr>
              <w:t>300</w:t>
            </w:r>
            <w:r>
              <w:rPr>
                <w:rFonts w:hint="eastAsia"/>
                <w:kern w:val="0"/>
                <w:sz w:val="24"/>
              </w:rPr>
              <w:t>人以下或营业收入</w:t>
            </w:r>
            <w:r>
              <w:rPr>
                <w:kern w:val="0"/>
                <w:sz w:val="24"/>
              </w:rPr>
              <w:t>10000</w:t>
            </w:r>
            <w:r>
              <w:rPr>
                <w:rFonts w:hint="eastAsia"/>
                <w:kern w:val="0"/>
                <w:sz w:val="24"/>
              </w:rPr>
              <w:t>万元以下的为中小微型企业。其中，从业人员</w:t>
            </w:r>
            <w:r>
              <w:rPr>
                <w:kern w:val="0"/>
                <w:sz w:val="24"/>
              </w:rPr>
              <w:t>100</w:t>
            </w:r>
            <w:r>
              <w:rPr>
                <w:rFonts w:hint="eastAsia"/>
                <w:kern w:val="0"/>
                <w:sz w:val="24"/>
              </w:rPr>
              <w:t>人及以上，且营业收入</w:t>
            </w:r>
            <w:r>
              <w:rPr>
                <w:kern w:val="0"/>
                <w:sz w:val="24"/>
              </w:rPr>
              <w:t>1000</w:t>
            </w:r>
            <w:r>
              <w:rPr>
                <w:rFonts w:hint="eastAsia"/>
                <w:kern w:val="0"/>
                <w:sz w:val="24"/>
              </w:rPr>
              <w:t>万元及以上的为中型企业；从业人员</w:t>
            </w:r>
            <w:r>
              <w:rPr>
                <w:kern w:val="0"/>
                <w:sz w:val="24"/>
              </w:rPr>
              <w:t>10</w:t>
            </w:r>
            <w:r>
              <w:rPr>
                <w:rFonts w:hint="eastAsia"/>
                <w:kern w:val="0"/>
                <w:sz w:val="24"/>
              </w:rPr>
              <w:t>人及以上，且营业收入</w:t>
            </w:r>
            <w:r>
              <w:rPr>
                <w:kern w:val="0"/>
                <w:sz w:val="24"/>
              </w:rPr>
              <w:t>50</w:t>
            </w:r>
            <w:r>
              <w:rPr>
                <w:rFonts w:hint="eastAsia"/>
                <w:kern w:val="0"/>
                <w:sz w:val="24"/>
              </w:rPr>
              <w:t>万元及以上的为小型企业；从业人员</w:t>
            </w:r>
            <w:r>
              <w:rPr>
                <w:kern w:val="0"/>
                <w:sz w:val="24"/>
              </w:rPr>
              <w:t>10</w:t>
            </w:r>
            <w:r>
              <w:rPr>
                <w:rFonts w:hint="eastAsia"/>
                <w:kern w:val="0"/>
                <w:sz w:val="24"/>
              </w:rPr>
              <w:t>人以下或营业收入</w:t>
            </w:r>
            <w:r>
              <w:rPr>
                <w:kern w:val="0"/>
                <w:sz w:val="24"/>
              </w:rPr>
              <w:t>50</w:t>
            </w:r>
            <w:r>
              <w:rPr>
                <w:rFonts w:hint="eastAsia"/>
                <w:kern w:val="0"/>
                <w:sz w:val="24"/>
              </w:rPr>
              <w:t>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2</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rFonts w:hint="eastAsia"/>
                <w:kern w:val="0"/>
                <w:sz w:val="24"/>
              </w:rPr>
              <w:t>密码云服务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highlight w:val="none"/>
              </w:rPr>
            </w:pPr>
            <w:r>
              <w:rPr>
                <w:rFonts w:hint="eastAsia"/>
                <w:bCs/>
                <w:sz w:val="24"/>
                <w:highlight w:val="none"/>
                <w:lang w:bidi="ar"/>
              </w:rPr>
              <w:t>软件和信息技术服务业（从业人员</w:t>
            </w:r>
            <w:r>
              <w:rPr>
                <w:bCs/>
                <w:sz w:val="24"/>
                <w:highlight w:val="none"/>
                <w:lang w:bidi="ar"/>
              </w:rPr>
              <w:t>300</w:t>
            </w:r>
            <w:r>
              <w:rPr>
                <w:rFonts w:hint="eastAsia"/>
                <w:bCs/>
                <w:sz w:val="24"/>
                <w:highlight w:val="none"/>
                <w:lang w:bidi="ar"/>
              </w:rPr>
              <w:t>人以下或营业收入</w:t>
            </w:r>
            <w:r>
              <w:rPr>
                <w:bCs/>
                <w:sz w:val="24"/>
                <w:highlight w:val="none"/>
                <w:lang w:bidi="ar"/>
              </w:rPr>
              <w:t>10000</w:t>
            </w:r>
            <w:r>
              <w:rPr>
                <w:rFonts w:hint="eastAsia"/>
                <w:bCs/>
                <w:sz w:val="24"/>
                <w:highlight w:val="none"/>
                <w:lang w:bidi="ar"/>
              </w:rPr>
              <w:t>万元以下的为中小微型企业。其中，从业人员</w:t>
            </w:r>
            <w:r>
              <w:rPr>
                <w:bCs/>
                <w:sz w:val="24"/>
                <w:highlight w:val="none"/>
                <w:lang w:bidi="ar"/>
              </w:rPr>
              <w:t>100</w:t>
            </w:r>
            <w:r>
              <w:rPr>
                <w:rFonts w:hint="eastAsia"/>
                <w:bCs/>
                <w:sz w:val="24"/>
                <w:highlight w:val="none"/>
                <w:lang w:bidi="ar"/>
              </w:rPr>
              <w:t>人及以上，且营业收入</w:t>
            </w:r>
            <w:r>
              <w:rPr>
                <w:bCs/>
                <w:sz w:val="24"/>
                <w:highlight w:val="none"/>
                <w:lang w:bidi="ar"/>
              </w:rPr>
              <w:t>1000</w:t>
            </w:r>
            <w:r>
              <w:rPr>
                <w:rFonts w:hint="eastAsia"/>
                <w:bCs/>
                <w:sz w:val="24"/>
                <w:highlight w:val="none"/>
                <w:lang w:bidi="ar"/>
              </w:rPr>
              <w:t>万元及以上的为中型企业；从业人员</w:t>
            </w:r>
            <w:r>
              <w:rPr>
                <w:bCs/>
                <w:sz w:val="24"/>
                <w:highlight w:val="none"/>
                <w:lang w:bidi="ar"/>
              </w:rPr>
              <w:t>10</w:t>
            </w:r>
            <w:r>
              <w:rPr>
                <w:rFonts w:hint="eastAsia"/>
                <w:bCs/>
                <w:sz w:val="24"/>
                <w:highlight w:val="none"/>
                <w:lang w:bidi="ar"/>
              </w:rPr>
              <w:t>人及以上，且营业收入</w:t>
            </w:r>
            <w:r>
              <w:rPr>
                <w:bCs/>
                <w:sz w:val="24"/>
                <w:highlight w:val="none"/>
                <w:lang w:bidi="ar"/>
              </w:rPr>
              <w:t>50</w:t>
            </w:r>
            <w:r>
              <w:rPr>
                <w:rFonts w:hint="eastAsia"/>
                <w:bCs/>
                <w:sz w:val="24"/>
                <w:highlight w:val="none"/>
                <w:lang w:bidi="ar"/>
              </w:rPr>
              <w:t>万元及以上的为小型企业；从业人员</w:t>
            </w:r>
            <w:r>
              <w:rPr>
                <w:bCs/>
                <w:sz w:val="24"/>
                <w:highlight w:val="none"/>
                <w:lang w:bidi="ar"/>
              </w:rPr>
              <w:t>10</w:t>
            </w:r>
            <w:r>
              <w:rPr>
                <w:rFonts w:hint="eastAsia"/>
                <w:bCs/>
                <w:sz w:val="24"/>
                <w:highlight w:val="none"/>
                <w:lang w:bidi="ar"/>
              </w:rPr>
              <w:t>人以下或营业收入</w:t>
            </w:r>
            <w:r>
              <w:rPr>
                <w:bCs/>
                <w:sz w:val="24"/>
                <w:highlight w:val="none"/>
                <w:lang w:bidi="ar"/>
              </w:rPr>
              <w:t>50</w:t>
            </w:r>
            <w:r>
              <w:rPr>
                <w:rFonts w:hint="eastAsia"/>
                <w:bCs/>
                <w:sz w:val="24"/>
                <w:highlight w:val="none"/>
                <w:lang w:bidi="ar"/>
              </w:rPr>
              <w:t>万元以下的为微型企业。）</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00345"/>
    <w:multiLevelType w:val="singleLevel"/>
    <w:tmpl w:val="D6E00345"/>
    <w:lvl w:ilvl="0" w:tentative="0">
      <w:start w:val="1"/>
      <w:numFmt w:val="decimal"/>
      <w:lvlText w:val="%1)"/>
      <w:lvlJc w:val="left"/>
      <w:pPr>
        <w:ind w:left="425" w:hanging="425"/>
      </w:pPr>
      <w:rPr>
        <w:rFonts w:hint="default"/>
      </w:rPr>
    </w:lvl>
  </w:abstractNum>
  <w:abstractNum w:abstractNumId="1">
    <w:nsid w:val="ED8B0E17"/>
    <w:multiLevelType w:val="singleLevel"/>
    <w:tmpl w:val="ED8B0E17"/>
    <w:lvl w:ilvl="0" w:tentative="0">
      <w:start w:val="1"/>
      <w:numFmt w:val="decimal"/>
      <w:lvlText w:val="%1)"/>
      <w:lvlJc w:val="left"/>
      <w:pPr>
        <w:ind w:left="425" w:hanging="425"/>
      </w:pPr>
      <w:rPr>
        <w:rFonts w:hint="default"/>
      </w:rPr>
    </w:lvl>
  </w:abstractNum>
  <w:abstractNum w:abstractNumId="2">
    <w:nsid w:val="02935EB2"/>
    <w:multiLevelType w:val="multilevel"/>
    <w:tmpl w:val="02935EB2"/>
    <w:lvl w:ilvl="0" w:tentative="0">
      <w:start w:val="1"/>
      <w:numFmt w:val="decimal"/>
      <w:lvlText w:val="%1."/>
      <w:lvlJc w:val="left"/>
      <w:pPr>
        <w:ind w:left="1140" w:hanging="420"/>
      </w:pPr>
      <w:rPr>
        <w:rFonts w:hint="eastAsia" w:ascii="仿宋_GB2312" w:hAnsi="Times New Roman" w:eastAsia="仿宋_GB2312"/>
        <w:color w:val="auto"/>
        <w:sz w:val="30"/>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412CE481"/>
    <w:multiLevelType w:val="singleLevel"/>
    <w:tmpl w:val="412CE481"/>
    <w:lvl w:ilvl="0" w:tentative="0">
      <w:start w:val="1"/>
      <w:numFmt w:val="decimal"/>
      <w:lvlText w:val="%1)"/>
      <w:lvlJc w:val="left"/>
      <w:pPr>
        <w:ind w:left="425" w:hanging="425"/>
      </w:pPr>
      <w:rPr>
        <w:rFonts w:hint="default"/>
      </w:rPr>
    </w:lvl>
  </w:abstractNum>
  <w:abstractNum w:abstractNumId="4">
    <w:nsid w:val="7457319C"/>
    <w:multiLevelType w:val="singleLevel"/>
    <w:tmpl w:val="7457319C"/>
    <w:lvl w:ilvl="0" w:tentative="0">
      <w:start w:val="2"/>
      <w:numFmt w:val="decimal"/>
      <w:lvlText w:val="%1."/>
      <w:lvlJc w:val="left"/>
      <w:pPr>
        <w:tabs>
          <w:tab w:val="left" w:pos="312"/>
        </w:tabs>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97779"/>
    <w:rsid w:val="3A032CB7"/>
    <w:rsid w:val="7848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4">
    <w:name w:val="Body Text Indent"/>
    <w:basedOn w:val="1"/>
    <w:qFormat/>
    <w:uiPriority w:val="0"/>
    <w:pPr>
      <w:spacing w:line="360" w:lineRule="auto"/>
      <w:ind w:firstLine="570"/>
    </w:pPr>
    <w:rPr>
      <w:sz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2"/>
    <w:basedOn w:val="4"/>
    <w:qFormat/>
    <w:uiPriority w:val="0"/>
    <w:pPr>
      <w:spacing w:after="120" w:line="480" w:lineRule="exact"/>
      <w:ind w:left="420" w:leftChars="200" w:firstLine="420" w:firstLineChars="200"/>
    </w:pPr>
    <w:rPr>
      <w:szCs w:val="20"/>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2024-04-16T03:57:00Z</dcterms:created>
  <dc:creator>zhhx</dc:creator>
  <cp:lastModifiedBy>zhhx</cp:lastModifiedBy>
  <dcterms:modified xsi:type="dcterms:W3CDTF">2024-04-16T04:09:43Z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