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8"/>
        <w:numPr>
          <w:numId w:val="0"/>
        </w:numPr>
        <w:snapToGrid w:val="0"/>
        <w:spacing w:before="0" w:after="0"/>
        <w:ind w:leftChars="0"/>
        <w:jc w:val="center"/>
        <w:rPr>
          <w:rFonts w:ascii="宋体" w:hAnsi="宋体"/>
          <w:sz w:val="21"/>
          <w:szCs w:val="21"/>
        </w:rPr>
      </w:pPr>
      <w:bookmarkStart w:id="0" w:name="_Toc126330853"/>
      <w:r>
        <w:rPr>
          <w:rFonts w:hint="eastAsia" w:ascii="宋体" w:hAnsi="宋体"/>
          <w:szCs w:val="28"/>
        </w:rPr>
        <w:t>采购需求</w:t>
      </w:r>
      <w:bookmarkEnd w:id="0"/>
    </w:p>
    <w:p>
      <w:pPr>
        <w:widowControl/>
        <w:ind w:firstLine="422" w:firstLineChars="200"/>
        <w:textAlignment w:val="center"/>
        <w:rPr>
          <w:rFonts w:ascii="宋体" w:hAnsi="宋体" w:cs="宋体"/>
          <w:b/>
          <w:bCs/>
          <w:color w:val="FF0000"/>
          <w:sz w:val="21"/>
          <w:szCs w:val="21"/>
          <w:lang w:bidi="ar"/>
        </w:rPr>
      </w:pPr>
      <w:bookmarkStart w:id="1" w:name="_Toc13684"/>
      <w:bookmarkStart w:id="2" w:name="_Toc184023125"/>
      <w:bookmarkStart w:id="3" w:name="_Toc174185168"/>
      <w:r>
        <w:rPr>
          <w:rFonts w:hint="eastAsia" w:ascii="宋体" w:hAnsi="宋体" w:cs="宋体"/>
          <w:b/>
          <w:bCs/>
          <w:color w:val="FF0000"/>
          <w:sz w:val="21"/>
          <w:szCs w:val="21"/>
          <w:lang w:bidi="ar"/>
        </w:rPr>
        <w:t>采购需求中标★项均为实质性要求，需提供加盖报价人公章的证明材料，未按要求提供按无效响应文件处理。</w:t>
      </w:r>
    </w:p>
    <w:p>
      <w:pPr>
        <w:rPr>
          <w:rFonts w:ascii="宋体" w:hAnsi="宋体"/>
          <w:b/>
          <w:sz w:val="21"/>
          <w:szCs w:val="21"/>
        </w:rPr>
      </w:pPr>
    </w:p>
    <w:p>
      <w:pPr>
        <w:numPr>
          <w:ilvl w:val="0"/>
          <w:numId w:val="4"/>
        </w:numPr>
        <w:rPr>
          <w:rFonts w:ascii="宋体" w:hAnsi="宋体" w:cs="宋体"/>
          <w:b/>
          <w:sz w:val="21"/>
          <w:szCs w:val="21"/>
        </w:rPr>
      </w:pPr>
      <w:r>
        <w:rPr>
          <w:rFonts w:hint="eastAsia" w:ascii="宋体" w:hAnsi="宋体" w:cs="宋体"/>
          <w:b/>
          <w:sz w:val="21"/>
          <w:szCs w:val="21"/>
        </w:rPr>
        <w:t>采购清单</w:t>
      </w:r>
    </w:p>
    <w:tbl>
      <w:tblPr>
        <w:tblStyle w:val="30"/>
        <w:tblW w:w="4997" w:type="pct"/>
        <w:tblInd w:w="0" w:type="dxa"/>
        <w:tblLayout w:type="autofit"/>
        <w:tblCellMar>
          <w:top w:w="0" w:type="dxa"/>
          <w:left w:w="108" w:type="dxa"/>
          <w:bottom w:w="0" w:type="dxa"/>
          <w:right w:w="108" w:type="dxa"/>
        </w:tblCellMar>
      </w:tblPr>
      <w:tblGrid>
        <w:gridCol w:w="441"/>
        <w:gridCol w:w="1858"/>
        <w:gridCol w:w="445"/>
        <w:gridCol w:w="563"/>
        <w:gridCol w:w="1476"/>
        <w:gridCol w:w="2468"/>
        <w:gridCol w:w="845"/>
        <w:gridCol w:w="846"/>
      </w:tblGrid>
      <w:tr>
        <w:tblPrEx>
          <w:tblCellMar>
            <w:top w:w="0" w:type="dxa"/>
            <w:left w:w="108" w:type="dxa"/>
            <w:bottom w:w="0" w:type="dxa"/>
            <w:right w:w="108" w:type="dxa"/>
          </w:tblCellMar>
        </w:tblPrEx>
        <w:trPr>
          <w:trHeight w:val="96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序号</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产品名称</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单位</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数量</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总价（元）</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配置地点（系统）及用途</w:t>
            </w:r>
          </w:p>
        </w:tc>
        <w:tc>
          <w:tcPr>
            <w:tcW w:w="49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中小企业划型</w:t>
            </w:r>
          </w:p>
        </w:tc>
        <w:tc>
          <w:tcPr>
            <w:tcW w:w="491"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lang w:bidi="ar"/>
              </w:rPr>
            </w:pPr>
            <w:r>
              <w:rPr>
                <w:rFonts w:hint="eastAsia" w:ascii="宋体" w:hAnsi="宋体" w:cs="宋体"/>
                <w:b/>
                <w:bCs/>
                <w:sz w:val="21"/>
                <w:szCs w:val="21"/>
                <w:lang w:bidi="ar"/>
              </w:rPr>
              <w:t>备注</w:t>
            </w: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管理工作站</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9</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108,000.00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公共广播系统1台</w:t>
            </w:r>
            <w:r>
              <w:rPr>
                <w:rFonts w:hint="eastAsia" w:ascii="宋体" w:hAnsi="宋体" w:cs="宋体"/>
                <w:sz w:val="21"/>
                <w:szCs w:val="21"/>
                <w:lang w:bidi="ar"/>
              </w:rPr>
              <w:br w:type="textWrapping"/>
            </w:r>
            <w:r>
              <w:rPr>
                <w:rFonts w:hint="eastAsia" w:ascii="宋体" w:hAnsi="宋体" w:cs="宋体"/>
                <w:sz w:val="21"/>
                <w:szCs w:val="21"/>
                <w:lang w:bidi="ar"/>
              </w:rPr>
              <w:t>信息导引及发布系</w:t>
            </w:r>
            <w:bookmarkStart w:id="7" w:name="_GoBack"/>
            <w:bookmarkEnd w:id="7"/>
            <w:r>
              <w:rPr>
                <w:rFonts w:hint="eastAsia" w:ascii="宋体" w:hAnsi="宋体" w:cs="宋体"/>
                <w:sz w:val="21"/>
                <w:szCs w:val="21"/>
                <w:lang w:bidi="ar"/>
              </w:rPr>
              <w:t>统2台</w:t>
            </w:r>
            <w:r>
              <w:rPr>
                <w:rFonts w:hint="eastAsia" w:ascii="宋体" w:hAnsi="宋体" w:cs="宋体"/>
                <w:sz w:val="21"/>
                <w:szCs w:val="21"/>
                <w:lang w:bidi="ar"/>
              </w:rPr>
              <w:br w:type="textWrapping"/>
            </w:r>
            <w:r>
              <w:rPr>
                <w:rFonts w:hint="eastAsia" w:ascii="宋体" w:hAnsi="宋体" w:cs="宋体"/>
                <w:sz w:val="21"/>
                <w:szCs w:val="21"/>
                <w:lang w:bidi="ar"/>
              </w:rPr>
              <w:t>安防系统6台</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各项产品的报价不得超过产品对应的总价，否则作无效响应处理。</w:t>
            </w: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2</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控制电脑</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16,000.00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多功能厅1台（456平米，主楼二层）</w:t>
            </w:r>
            <w:r>
              <w:rPr>
                <w:rFonts w:hint="eastAsia" w:ascii="宋体" w:hAnsi="宋体" w:cs="宋体"/>
                <w:sz w:val="21"/>
                <w:szCs w:val="21"/>
                <w:lang w:bidi="ar"/>
              </w:rPr>
              <w:br w:type="textWrapping"/>
            </w:r>
            <w:r>
              <w:rPr>
                <w:rFonts w:hint="eastAsia" w:ascii="宋体" w:hAnsi="宋体" w:cs="宋体"/>
                <w:sz w:val="21"/>
                <w:szCs w:val="21"/>
                <w:lang w:bidi="ar"/>
              </w:rPr>
              <w:t>3.5层文博交流中心1台</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3</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控制电脑</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16,000.00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多功能厅1台（456平米，主楼二层）</w:t>
            </w:r>
            <w:r>
              <w:rPr>
                <w:rFonts w:hint="eastAsia" w:ascii="宋体" w:hAnsi="宋体" w:cs="宋体"/>
                <w:sz w:val="21"/>
                <w:szCs w:val="21"/>
                <w:lang w:bidi="ar"/>
              </w:rPr>
              <w:br w:type="textWrapping"/>
            </w:r>
            <w:r>
              <w:rPr>
                <w:rFonts w:hint="eastAsia" w:ascii="宋体" w:hAnsi="宋体" w:cs="宋体"/>
                <w:sz w:val="21"/>
                <w:szCs w:val="21"/>
                <w:lang w:bidi="ar"/>
              </w:rPr>
              <w:t>下沉观演厅1台（共享大厅地下一层）</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4</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32寸液晶显示器</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3</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4,197.00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多功能厅（456平米，主楼二层）</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5</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多媒体服务器</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24,000.00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数字会议及多媒体音视频系统</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6</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系统服务器</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14,588.00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安防系统</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7</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辅助显示投影机</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140,000.00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报告厅（469平米，共享大厅一层）</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8</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辅助显示投影机</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140,000.00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多功能厅（456平米，主楼二层）</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9</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显示投影机</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140,000.00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培训室（1间，238平米，主楼二层）</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10</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投影机</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70,000.00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儿童教育区</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11</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实物投影仪</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12,000.00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儿童教育区</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12</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55寸触摸查询机</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13</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130,000.00</w:t>
            </w:r>
          </w:p>
        </w:tc>
        <w:tc>
          <w:tcPr>
            <w:tcW w:w="1398"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用于共享大厅、走廊、展厅公共部位。/B1层6台，一层6台，二层1台</w:t>
            </w:r>
          </w:p>
        </w:tc>
        <w:tc>
          <w:tcPr>
            <w:tcW w:w="49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13</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UPS（150KVA/0.5h）</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220,000.00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14</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UPS（200KVA/0.5h）</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3</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450,000.00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15</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UPS（250KVA/0.5h）</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台</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170,000.00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16</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150KVA UPS配套蓄电池</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节</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200</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280,000.00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17</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200KVA UPS配套蓄电池</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节</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414</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579,600.00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18</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250KVA UPS配套蓄电池</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节</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184</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257,600.00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19</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UPS电池架</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22</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59,840.00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632" w:hRule="atLeast"/>
        </w:trPr>
        <w:tc>
          <w:tcPr>
            <w:tcW w:w="2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20</w:t>
            </w:r>
          </w:p>
        </w:tc>
        <w:tc>
          <w:tcPr>
            <w:tcW w:w="10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电池配件及检测模块</w:t>
            </w:r>
          </w:p>
        </w:tc>
        <w:tc>
          <w:tcPr>
            <w:tcW w:w="2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套</w:t>
            </w:r>
          </w:p>
        </w:tc>
        <w:tc>
          <w:tcPr>
            <w:tcW w:w="3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124,400.00</w:t>
            </w:r>
          </w:p>
        </w:tc>
        <w:tc>
          <w:tcPr>
            <w:tcW w:w="139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p>
        </w:tc>
        <w:tc>
          <w:tcPr>
            <w:tcW w:w="49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bidi="ar"/>
              </w:rPr>
            </w:pPr>
            <w:r>
              <w:rPr>
                <w:rFonts w:hint="eastAsia" w:ascii="宋体" w:hAnsi="宋体" w:cs="宋体"/>
                <w:sz w:val="21"/>
                <w:szCs w:val="21"/>
                <w:lang w:bidi="ar"/>
              </w:rPr>
              <w:t>工业</w:t>
            </w:r>
          </w:p>
        </w:tc>
        <w:tc>
          <w:tcPr>
            <w:tcW w:w="491" w:type="pct"/>
            <w:vMerge w:val="continue"/>
            <w:tcBorders>
              <w:left w:val="single" w:color="auto" w:sz="4" w:space="0"/>
              <w:right w:val="single" w:color="000000" w:sz="4" w:space="0"/>
            </w:tcBorders>
            <w:vAlign w:val="center"/>
          </w:tcPr>
          <w:p>
            <w:pPr>
              <w:widowControl/>
              <w:jc w:val="center"/>
              <w:textAlignment w:val="center"/>
              <w:rPr>
                <w:rFonts w:ascii="宋体" w:hAnsi="宋体" w:cs="宋体"/>
                <w:sz w:val="21"/>
                <w:szCs w:val="21"/>
                <w:lang w:bidi="ar"/>
              </w:rPr>
            </w:pPr>
          </w:p>
        </w:tc>
      </w:tr>
      <w:tr>
        <w:tblPrEx>
          <w:tblCellMar>
            <w:top w:w="0" w:type="dxa"/>
            <w:left w:w="108" w:type="dxa"/>
            <w:bottom w:w="0" w:type="dxa"/>
            <w:right w:w="108" w:type="dxa"/>
          </w:tblCellMar>
        </w:tblPrEx>
        <w:trPr>
          <w:trHeight w:val="520" w:hRule="atLeast"/>
        </w:trPr>
        <w:tc>
          <w:tcPr>
            <w:tcW w:w="1922"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预算金额</w:t>
            </w:r>
          </w:p>
        </w:tc>
        <w:tc>
          <w:tcPr>
            <w:tcW w:w="6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1"/>
                <w:szCs w:val="21"/>
                <w:lang w:bidi="ar"/>
              </w:rPr>
            </w:pPr>
            <w:r>
              <w:rPr>
                <w:rFonts w:hint="eastAsia" w:ascii="宋体" w:hAnsi="宋体" w:cs="宋体"/>
                <w:sz w:val="21"/>
                <w:szCs w:val="21"/>
                <w:lang w:bidi="ar"/>
              </w:rPr>
              <w:t>2,956,225.00</w:t>
            </w:r>
          </w:p>
        </w:tc>
        <w:tc>
          <w:tcPr>
            <w:tcW w:w="13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lang w:bidi="ar"/>
              </w:rPr>
            </w:pPr>
            <w:r>
              <w:rPr>
                <w:rFonts w:hint="eastAsia" w:ascii="宋体" w:hAnsi="宋体" w:cs="宋体"/>
                <w:sz w:val="21"/>
                <w:szCs w:val="21"/>
                <w:lang w:bidi="ar"/>
              </w:rPr>
              <w:t>/</w:t>
            </w:r>
          </w:p>
        </w:tc>
        <w:tc>
          <w:tcPr>
            <w:tcW w:w="4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lang w:bidi="ar"/>
              </w:rPr>
            </w:pPr>
          </w:p>
        </w:tc>
        <w:tc>
          <w:tcPr>
            <w:tcW w:w="491" w:type="pct"/>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sz w:val="21"/>
                <w:szCs w:val="21"/>
                <w:lang w:bidi="ar"/>
              </w:rPr>
            </w:pPr>
          </w:p>
        </w:tc>
      </w:tr>
    </w:tbl>
    <w:p>
      <w:pPr>
        <w:rPr>
          <w:rFonts w:ascii="宋体" w:hAnsi="宋体" w:cs="宋体"/>
          <w:sz w:val="21"/>
          <w:szCs w:val="21"/>
        </w:rPr>
      </w:pPr>
    </w:p>
    <w:p>
      <w:pPr>
        <w:numPr>
          <w:ilvl w:val="0"/>
          <w:numId w:val="4"/>
        </w:numPr>
        <w:rPr>
          <w:rFonts w:ascii="宋体" w:hAnsi="宋体" w:cs="宋体"/>
          <w:b/>
          <w:sz w:val="21"/>
          <w:szCs w:val="21"/>
        </w:rPr>
      </w:pPr>
      <w:r>
        <w:rPr>
          <w:rFonts w:hint="eastAsia" w:ascii="宋体" w:hAnsi="宋体" w:cs="宋体"/>
          <w:b/>
          <w:sz w:val="21"/>
          <w:szCs w:val="21"/>
        </w:rPr>
        <w:t>技术参数</w:t>
      </w:r>
    </w:p>
    <w:p>
      <w:pPr>
        <w:pStyle w:val="29"/>
        <w:numPr>
          <w:ilvl w:val="0"/>
          <w:numId w:val="5"/>
        </w:numPr>
        <w:ind w:left="0" w:leftChars="0" w:firstLineChars="0"/>
        <w:rPr>
          <w:rFonts w:ascii="宋体" w:hAnsi="宋体" w:eastAsia="宋体" w:cs="宋体"/>
          <w:b/>
          <w:sz w:val="21"/>
          <w:szCs w:val="21"/>
        </w:rPr>
      </w:pPr>
      <w:r>
        <w:rPr>
          <w:rFonts w:hint="eastAsia" w:ascii="宋体" w:hAnsi="宋体" w:eastAsia="宋体" w:cs="宋体"/>
          <w:b/>
          <w:sz w:val="21"/>
          <w:szCs w:val="21"/>
        </w:rPr>
        <w:t>管理工作站</w:t>
      </w:r>
    </w:p>
    <w:p>
      <w:pPr>
        <w:pStyle w:val="29"/>
        <w:ind w:leftChars="0" w:firstLine="0" w:firstLineChars="0"/>
        <w:rPr>
          <w:rFonts w:ascii="宋体" w:hAnsi="宋体" w:eastAsia="宋体" w:cs="宋体"/>
          <w:b/>
          <w:sz w:val="21"/>
          <w:szCs w:val="21"/>
        </w:rPr>
      </w:pPr>
      <w:r>
        <w:rPr>
          <w:rFonts w:hint="eastAsia" w:ascii="宋体" w:hAnsi="宋体" w:eastAsia="宋体" w:cs="宋体"/>
          <w:color w:val="000000"/>
          <w:sz w:val="21"/>
          <w:szCs w:val="21"/>
        </w:rPr>
        <w:t>管理工作站技术参数不低于以下指标</w:t>
      </w:r>
    </w:p>
    <w:tbl>
      <w:tblPr>
        <w:tblStyle w:val="30"/>
        <w:tblW w:w="4998" w:type="pct"/>
        <w:tblInd w:w="0" w:type="dxa"/>
        <w:tblLayout w:type="autofit"/>
        <w:tblCellMar>
          <w:top w:w="0" w:type="dxa"/>
          <w:left w:w="108" w:type="dxa"/>
          <w:bottom w:w="0" w:type="dxa"/>
          <w:right w:w="108" w:type="dxa"/>
        </w:tblCellMar>
      </w:tblPr>
      <w:tblGrid>
        <w:gridCol w:w="662"/>
        <w:gridCol w:w="816"/>
        <w:gridCol w:w="814"/>
        <w:gridCol w:w="932"/>
        <w:gridCol w:w="1187"/>
        <w:gridCol w:w="4532"/>
      </w:tblGrid>
      <w:tr>
        <w:tblPrEx>
          <w:tblCellMar>
            <w:top w:w="0" w:type="dxa"/>
            <w:left w:w="108" w:type="dxa"/>
            <w:bottom w:w="0" w:type="dxa"/>
            <w:right w:w="108" w:type="dxa"/>
          </w:tblCellMar>
        </w:tblPrEx>
        <w:trPr>
          <w:trHeight w:val="735" w:hRule="atLeast"/>
        </w:trPr>
        <w:tc>
          <w:tcPr>
            <w:tcW w:w="370" w:type="pc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color w:val="000000"/>
                <w:sz w:val="21"/>
                <w:szCs w:val="21"/>
              </w:rPr>
            </w:pPr>
            <w:r>
              <w:rPr>
                <w:rStyle w:val="107"/>
                <w:rFonts w:hint="eastAsia" w:ascii="宋体" w:eastAsia="宋体" w:cs="宋体"/>
                <w:sz w:val="21"/>
                <w:szCs w:val="21"/>
                <w:lang w:bidi="ar"/>
              </w:rPr>
              <w:t>序号</w:t>
            </w:r>
          </w:p>
        </w:tc>
        <w:tc>
          <w:tcPr>
            <w:tcW w:w="456" w:type="pct"/>
            <w:tcBorders>
              <w:top w:val="single" w:color="000000" w:sz="4" w:space="0"/>
              <w:left w:val="single" w:color="000000" w:sz="4" w:space="0"/>
              <w:bottom w:val="single" w:color="000000" w:sz="4" w:space="0"/>
              <w:right w:val="single" w:color="000000" w:sz="4" w:space="0"/>
            </w:tcBorders>
            <w:vAlign w:val="center"/>
          </w:tcPr>
          <w:p>
            <w:pPr>
              <w:rPr>
                <w:rStyle w:val="107"/>
                <w:rFonts w:ascii="宋体" w:eastAsia="宋体" w:cs="宋体"/>
                <w:sz w:val="21"/>
                <w:szCs w:val="21"/>
                <w:lang w:bidi="ar"/>
              </w:rPr>
            </w:pPr>
            <w:r>
              <w:rPr>
                <w:rStyle w:val="107"/>
                <w:rFonts w:hint="eastAsia" w:ascii="宋体" w:eastAsia="宋体" w:cs="宋体"/>
                <w:sz w:val="21"/>
                <w:szCs w:val="21"/>
                <w:lang w:bidi="ar"/>
              </w:rPr>
              <w:t>重要性</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7"/>
                <w:rFonts w:hint="eastAsia" w:ascii="宋体" w:eastAsia="宋体" w:cs="宋体"/>
                <w:sz w:val="21"/>
                <w:szCs w:val="21"/>
                <w:lang w:bidi="ar"/>
              </w:rPr>
              <w:t>指标</w:t>
            </w:r>
            <w:r>
              <w:rPr>
                <w:rStyle w:val="107"/>
                <w:rFonts w:hint="eastAsia" w:ascii="宋体" w:eastAsia="宋体" w:cs="宋体"/>
                <w:sz w:val="21"/>
                <w:szCs w:val="21"/>
                <w:lang w:bidi="ar"/>
              </w:rPr>
              <w:br w:type="textWrapping"/>
            </w:r>
            <w:r>
              <w:rPr>
                <w:rStyle w:val="107"/>
                <w:rFonts w:hint="eastAsia" w:ascii="宋体" w:eastAsia="宋体" w:cs="宋体"/>
                <w:sz w:val="21"/>
                <w:szCs w:val="21"/>
                <w:lang w:bidi="ar"/>
              </w:rPr>
              <w:t>分类</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7"/>
                <w:rFonts w:hint="eastAsia" w:ascii="宋体" w:eastAsia="宋体" w:cs="宋体"/>
                <w:sz w:val="21"/>
                <w:szCs w:val="21"/>
                <w:lang w:bidi="ar"/>
              </w:rPr>
              <w:t>一级</w:t>
            </w:r>
            <w:r>
              <w:rPr>
                <w:rStyle w:val="107"/>
                <w:rFonts w:hint="eastAsia" w:ascii="宋体" w:eastAsia="宋体" w:cs="宋体"/>
                <w:sz w:val="21"/>
                <w:szCs w:val="21"/>
                <w:lang w:bidi="ar"/>
              </w:rPr>
              <w:br w:type="textWrapping"/>
            </w:r>
            <w:r>
              <w:rPr>
                <w:rStyle w:val="107"/>
                <w:rFonts w:hint="eastAsia" w:ascii="宋体" w:eastAsia="宋体" w:cs="宋体"/>
                <w:sz w:val="21"/>
                <w:szCs w:val="21"/>
                <w:lang w:bidi="ar"/>
              </w:rPr>
              <w:t>指标</w:t>
            </w:r>
            <w:r>
              <w:rPr>
                <w:rStyle w:val="108"/>
                <w:rFonts w:hint="eastAsia" w:ascii="宋体" w:eastAsia="宋体" w:cs="宋体"/>
                <w:sz w:val="21"/>
                <w:szCs w:val="21"/>
                <w:lang w:bidi="ar"/>
              </w:rPr>
              <w:t>1</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7"/>
                <w:rFonts w:hint="eastAsia" w:ascii="宋体" w:eastAsia="宋体" w:cs="宋体"/>
                <w:sz w:val="21"/>
                <w:szCs w:val="21"/>
                <w:lang w:bidi="ar"/>
              </w:rPr>
              <w:t>二级</w:t>
            </w:r>
            <w:r>
              <w:rPr>
                <w:rStyle w:val="107"/>
                <w:rFonts w:hint="eastAsia" w:ascii="宋体" w:eastAsia="宋体" w:cs="宋体"/>
                <w:sz w:val="21"/>
                <w:szCs w:val="21"/>
                <w:lang w:bidi="ar"/>
              </w:rPr>
              <w:br w:type="textWrapping"/>
            </w:r>
            <w:r>
              <w:rPr>
                <w:rStyle w:val="107"/>
                <w:rFonts w:hint="eastAsia" w:ascii="宋体" w:eastAsia="宋体" w:cs="宋体"/>
                <w:sz w:val="21"/>
                <w:szCs w:val="21"/>
                <w:lang w:bidi="ar"/>
              </w:rPr>
              <w:t>指标</w:t>
            </w:r>
            <w:r>
              <w:rPr>
                <w:rStyle w:val="109"/>
                <w:rFonts w:hint="eastAsia" w:ascii="宋体" w:eastAsia="宋体" w:cs="宋体"/>
                <w:sz w:val="21"/>
                <w:szCs w:val="21"/>
                <w:lang w:bidi="ar"/>
              </w:rPr>
              <w:t xml:space="preserve"> </w:t>
            </w:r>
            <w:r>
              <w:rPr>
                <w:rStyle w:val="108"/>
                <w:rFonts w:hint="eastAsia" w:ascii="宋体" w:eastAsia="宋体" w:cs="宋体"/>
                <w:sz w:val="21"/>
                <w:szCs w:val="21"/>
                <w:lang w:bidi="ar"/>
              </w:rPr>
              <w:t>1</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7"/>
                <w:rFonts w:hint="eastAsia" w:ascii="宋体" w:eastAsia="宋体" w:cs="宋体"/>
                <w:sz w:val="21"/>
                <w:szCs w:val="21"/>
                <w:lang w:bidi="ar"/>
              </w:rPr>
              <w:t>指标要求</w:t>
            </w:r>
          </w:p>
        </w:tc>
      </w:tr>
      <w:tr>
        <w:tblPrEx>
          <w:tblCellMar>
            <w:top w:w="0" w:type="dxa"/>
            <w:left w:w="108" w:type="dxa"/>
            <w:bottom w:w="0" w:type="dxa"/>
            <w:right w:w="108" w:type="dxa"/>
          </w:tblCellMar>
        </w:tblPrEx>
        <w:trPr>
          <w:trHeight w:val="118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456" w:type="pc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CPU</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 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息</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10"/>
                <w:rFonts w:hint="eastAsia" w:ascii="宋体" w:eastAsia="宋体" w:cs="宋体"/>
                <w:sz w:val="21"/>
                <w:szCs w:val="21"/>
                <w:lang w:bidi="ar"/>
              </w:rPr>
              <w:t>供应商给出 CPU 信息，包含 CPU 型号、</w:t>
            </w:r>
            <w:r>
              <w:rPr>
                <w:rStyle w:val="110"/>
                <w:rFonts w:hint="eastAsia" w:ascii="宋体" w:eastAsia="宋体" w:cs="宋体"/>
                <w:sz w:val="21"/>
                <w:szCs w:val="21"/>
                <w:lang w:bidi="ar"/>
              </w:rPr>
              <w:br w:type="textWrapping"/>
            </w:r>
            <w:r>
              <w:rPr>
                <w:rStyle w:val="110"/>
                <w:rFonts w:hint="eastAsia" w:ascii="宋体" w:eastAsia="宋体" w:cs="宋体"/>
                <w:sz w:val="21"/>
                <w:szCs w:val="21"/>
                <w:lang w:bidi="ar"/>
              </w:rPr>
              <w:t>物理核心数、主频、末级缓存容量、线</w:t>
            </w:r>
            <w:r>
              <w:rPr>
                <w:rStyle w:val="110"/>
                <w:rFonts w:hint="eastAsia" w:ascii="宋体" w:eastAsia="宋体" w:cs="宋体"/>
                <w:sz w:val="21"/>
                <w:szCs w:val="21"/>
                <w:lang w:bidi="ar"/>
              </w:rPr>
              <w:br w:type="textWrapping"/>
            </w:r>
            <w:r>
              <w:rPr>
                <w:rStyle w:val="110"/>
                <w:rFonts w:hint="eastAsia" w:ascii="宋体" w:eastAsia="宋体" w:cs="宋体"/>
                <w:sz w:val="21"/>
                <w:szCs w:val="21"/>
                <w:lang w:bidi="ar"/>
              </w:rPr>
              <w:t>程数、热设计功耗及内存的最高速率、</w:t>
            </w:r>
            <w:r>
              <w:rPr>
                <w:rStyle w:val="110"/>
                <w:rFonts w:hint="eastAsia" w:ascii="宋体" w:eastAsia="宋体" w:cs="宋体"/>
                <w:sz w:val="21"/>
                <w:szCs w:val="21"/>
                <w:lang w:bidi="ar"/>
              </w:rPr>
              <w:br w:type="textWrapping"/>
            </w:r>
            <w:r>
              <w:rPr>
                <w:rStyle w:val="110"/>
                <w:rFonts w:hint="eastAsia" w:ascii="宋体" w:eastAsia="宋体" w:cs="宋体"/>
                <w:sz w:val="21"/>
                <w:szCs w:val="21"/>
                <w:lang w:bidi="ar"/>
              </w:rPr>
              <w:t>通道数和位宽。</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456" w:type="pc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置容量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10"/>
                <w:rFonts w:hint="eastAsia" w:ascii="宋体" w:eastAsia="宋体" w:cs="宋体"/>
                <w:sz w:val="21"/>
                <w:szCs w:val="21"/>
                <w:lang w:bidi="ar"/>
              </w:rPr>
              <w:t>≥32GB</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DDR4/LPDDR4/LPDDR4X 及以上内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存类型</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配置数量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（板载内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存不涉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主板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主板集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成模块</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集成资源扩展模块、计算处理模块、音</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频扩展模块等，主板的互联拓扑可通过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处理器或交换电路实现</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主板支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持的 CPU</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和内存情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况</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供应商给出主板支持的 CPU 和内存的型号数量 供应商给出的主板至少支持供应商所提供的CPU和内存且至少拥有4个DDR4内存插槽</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主板其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他内置接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供应商给出相关 SATA、M.2、USB 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数量及占用状态，至少拥有1个SATA接口</w:t>
            </w:r>
          </w:p>
        </w:tc>
      </w:tr>
      <w:tr>
        <w:tblPrEx>
          <w:tblCellMar>
            <w:top w:w="0" w:type="dxa"/>
            <w:left w:w="108" w:type="dxa"/>
            <w:bottom w:w="0" w:type="dxa"/>
            <w:right w:w="108" w:type="dxa"/>
          </w:tblCellMar>
        </w:tblPrEx>
        <w:trPr>
          <w:trHeight w:val="1455"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单内存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插槽最大</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可支持容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量（板载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内存不涉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≥16GB</w:t>
            </w:r>
          </w:p>
        </w:tc>
      </w:tr>
      <w:tr>
        <w:tblPrEx>
          <w:tblCellMar>
            <w:top w:w="0" w:type="dxa"/>
            <w:left w:w="108" w:type="dxa"/>
            <w:bottom w:w="0" w:type="dxa"/>
            <w:right w:w="108" w:type="dxa"/>
          </w:tblCellMar>
        </w:tblPrEx>
        <w:trPr>
          <w:trHeight w:val="19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内存插</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槽满配时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提供的最</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高内存总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容量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≥32GB</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存储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固态盘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个</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固态存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储容量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≥240GB</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机械硬</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个</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机械硬</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盘总容量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10"/>
                <w:rFonts w:hint="eastAsia" w:ascii="宋体" w:eastAsia="宋体" w:cs="宋体"/>
                <w:sz w:val="21"/>
                <w:szCs w:val="21"/>
                <w:lang w:bidi="ar"/>
              </w:rPr>
              <w:t>≥2TB</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机械硬</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盘转速</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≥7200rpm</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固态存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储形态</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采用插卡形态，符合M.2 接口定义</w:t>
            </w:r>
          </w:p>
        </w:tc>
      </w:tr>
      <w:tr>
        <w:tblPrEx>
          <w:tblCellMar>
            <w:top w:w="0" w:type="dxa"/>
            <w:left w:w="108" w:type="dxa"/>
            <w:bottom w:w="0" w:type="dxa"/>
            <w:right w:w="108" w:type="dxa"/>
          </w:tblCellMar>
        </w:tblPrEx>
        <w:trPr>
          <w:trHeight w:val="145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存储设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备其他参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数要求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a）固态盘应符合 SJ/T 11654 相关规定；</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b）机械硬盘准备时间应不大于 30s；</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侧面固定螺丝孔数量可为 4 孔或 6 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工作状态环境温度应满足 5℃~55℃ ;</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其它参数应符合 GB/T 12628 的相关规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定</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显卡类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不低于集成显卡</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独立显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卡显存类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若配置独立显卡，显存类型应为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DDR3/DDR4/GDDR5/GDDR6/LPDDR4</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独立显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卡显存位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若配置独立显卡，显存位宽≥64 位</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独立显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卡显存容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若配置独立显卡，显存容量≥1GB</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屏占比</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≥80%</w:t>
            </w:r>
          </w:p>
        </w:tc>
      </w:tr>
      <w:tr>
        <w:tblPrEx>
          <w:tblCellMar>
            <w:top w:w="0" w:type="dxa"/>
            <w:left w:w="108" w:type="dxa"/>
            <w:bottom w:w="0" w:type="dxa"/>
            <w:right w:w="108" w:type="dxa"/>
          </w:tblCellMar>
        </w:tblPrEx>
        <w:trPr>
          <w:trHeight w:val="19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分辨率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≥2560×1440</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23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尺寸</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≥23 英寸</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屏幕比例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16:9/3:2/21:9/16:10 等</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外观颜色</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黑色等商务色系</w:t>
            </w:r>
          </w:p>
        </w:tc>
      </w:tr>
      <w:tr>
        <w:tblPrEx>
          <w:tblCellMar>
            <w:top w:w="0" w:type="dxa"/>
            <w:left w:w="108" w:type="dxa"/>
            <w:bottom w:w="0" w:type="dxa"/>
            <w:right w:w="108" w:type="dxa"/>
          </w:tblCellMar>
        </w:tblPrEx>
        <w:trPr>
          <w:trHeight w:val="96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26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防蓝光</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支持防蓝光模式，蓝光加权辐射亮度比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应≤0.0012W/(·cd·sr)（瓦每坎特拉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每球面度）</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低频闪</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显示屏应支持低频闪≤-35dB</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28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防炫目</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显示屏镜面反射率≤10%</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tcPr>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p>
          <w:p>
            <w:pPr>
              <w:jc w:val="center"/>
              <w:rPr>
                <w:rStyle w:val="109"/>
                <w:rFonts w:ascii="宋体" w:eastAsia="宋体" w:cs="宋体"/>
                <w:sz w:val="21"/>
                <w:szCs w:val="21"/>
                <w:lang w:bidi="ar"/>
              </w:rPr>
            </w:pPr>
            <w:r>
              <w:rPr>
                <w:rStyle w:val="109"/>
                <w:rFonts w:hint="eastAsia" w:ascii="宋体" w:eastAsia="宋体" w:cs="宋体"/>
                <w:sz w:val="21"/>
                <w:szCs w:val="21"/>
                <w:lang w:bidi="ar"/>
              </w:rPr>
              <w:t>其余</w:t>
            </w:r>
          </w:p>
          <w:p>
            <w:pPr>
              <w:jc w:val="center"/>
              <w:rPr>
                <w:rStyle w:val="109"/>
                <w:rFonts w:ascii="宋体" w:eastAsia="宋体" w:cs="宋体"/>
                <w:sz w:val="21"/>
                <w:szCs w:val="21"/>
                <w:lang w:bidi="ar"/>
              </w:rPr>
            </w:pPr>
            <w:r>
              <w:rPr>
                <w:rStyle w:val="109"/>
                <w:rFonts w:hint="eastAsia" w:ascii="宋体" w:eastAsia="宋体" w:cs="宋体"/>
                <w:sz w:val="21"/>
                <w:szCs w:val="21"/>
                <w:lang w:bidi="ar"/>
              </w:rPr>
              <w:t>外设</w:t>
            </w:r>
          </w:p>
          <w:p>
            <w:pPr>
              <w:jc w:val="center"/>
              <w:rPr>
                <w:rFonts w:ascii="宋体" w:hAnsi="宋体" w:cs="宋体"/>
                <w:color w:val="000000"/>
                <w:sz w:val="21"/>
                <w:szCs w:val="21"/>
              </w:rPr>
            </w:pP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鼠标数</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个</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键盘数</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个</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摄像头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个</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键数目</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104 键</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摄像头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像素</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≥50 万</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摄像头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分辨率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≥800×600</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扬声器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 瓦/个</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扬声器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频率范围</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不低于（100Hz-8kHz）范围</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键盘连</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接方式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有线或无线</w:t>
            </w:r>
          </w:p>
        </w:tc>
      </w:tr>
      <w:tr>
        <w:tblPrEx>
          <w:tblCellMar>
            <w:top w:w="0" w:type="dxa"/>
            <w:left w:w="108" w:type="dxa"/>
            <w:bottom w:w="0" w:type="dxa"/>
            <w:right w:w="108" w:type="dxa"/>
          </w:tblCellMar>
        </w:tblPrEx>
        <w:trPr>
          <w:trHeight w:val="169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键盘键</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2.3mm ~ 4.0mm</w:t>
            </w:r>
          </w:p>
        </w:tc>
      </w:tr>
      <w:tr>
        <w:tblPrEx>
          <w:tblCellMar>
            <w:top w:w="0" w:type="dxa"/>
            <w:left w:w="108" w:type="dxa"/>
            <w:bottom w:w="0" w:type="dxa"/>
            <w:right w:w="108" w:type="dxa"/>
          </w:tblCellMar>
        </w:tblPrEx>
        <w:trPr>
          <w:trHeight w:val="97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39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键压力</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按键压力应在 0.54 N±0.14N</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有线键</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盘连接线</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≥1.5 米</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色</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黑色等商务色系</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他要求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键盘外观结构、连接方式、主要功能、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安全、电磁兼容性、可靠性应符合 GB/T</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14081 的相关规定</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鼠标连</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接方式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有线或无线</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标连接线</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≥1.5 米</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鼠标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DPI 分辨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800 * 1600</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鼠标其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他要求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其它参数应符合 GB/T 26245 的相关规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定</w:t>
            </w:r>
          </w:p>
        </w:tc>
      </w:tr>
      <w:tr>
        <w:tblPrEx>
          <w:tblCellMar>
            <w:top w:w="0" w:type="dxa"/>
            <w:left w:w="108" w:type="dxa"/>
            <w:bottom w:w="0" w:type="dxa"/>
            <w:right w:w="108" w:type="dxa"/>
          </w:tblCellMar>
        </w:tblPrEx>
        <w:trPr>
          <w:trHeight w:val="68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网络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有线网</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外部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接口</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USB 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≥8，机箱前板至少包括 2 个 USB3.0 及</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以上接口</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49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视频接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音频接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w:t>
            </w:r>
          </w:p>
        </w:tc>
      </w:tr>
      <w:tr>
        <w:tblPrEx>
          <w:tblCellMar>
            <w:top w:w="0" w:type="dxa"/>
            <w:left w:w="108" w:type="dxa"/>
            <w:bottom w:w="0" w:type="dxa"/>
            <w:right w:w="108" w:type="dxa"/>
          </w:tblCellMar>
        </w:tblPrEx>
        <w:trPr>
          <w:trHeight w:val="19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整机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基础</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整机外</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 产品表面不应有凹痕、划伤、裂缝、</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变形和污染等。表面涂层均匀，不应起</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泡、龟裂、脱落和磨损，金属零部件无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锈蚀及其它机械损伤；</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 产品表面说明功能的文字、符号、</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标志，应清晰、端正、牢固；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c) 宜在产品显著位置提供运行状态指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示功能，并由生产厂商提供详细参数</w:t>
            </w:r>
          </w:p>
        </w:tc>
      </w:tr>
      <w:tr>
        <w:tblPrEx>
          <w:tblCellMar>
            <w:top w:w="0" w:type="dxa"/>
            <w:left w:w="108" w:type="dxa"/>
            <w:bottom w:w="0" w:type="dxa"/>
            <w:right w:w="108" w:type="dxa"/>
          </w:tblCellMar>
        </w:tblPrEx>
        <w:trPr>
          <w:trHeight w:val="8579"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整机结</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构</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 机箱应符合 GB/T 4208、GB/T 26246</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的相关规定；</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 产品内部结构应符合通用部件的安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装需要；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c) 所有输入输出接口应符合相关国家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或行业标准；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d) 产品零部件应紧固无松动，可插拔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部件应可靠连接，开关、按钮和其它控</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制部件应灵活可靠，布局应方便使用；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e) 所有 I/O 连接器及需插接线缆的部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位应预留用户操作空间，方便插拔解锁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与插拔线缆；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f) 可插拔板卡插槽部位应预留安装、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拆卸或更换板卡空间；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g) 拆装可能接触到的金属剪口或金属</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尖角部位应做防划伤处理，以保证安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h) 整机内部走线应规整，固线结构和</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位置要合理可靠并做防割线处理，需便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于理线和插拔操作，走线应不影响系统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各主要部件组装和拆卸；</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i) 如需通过孔走线，过线孔应做防割</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线处理；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j) 各插头位置和插拔方向应合理，应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做到插拔无障碍设计，具备防呆设计，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有效避免误操作；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k) 各主要部件拆装无障碍，使用常规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工具拆装，无特殊拆装工具需求；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l) 各主要部件拆装步骤要少，各自拆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装需避免相互干扰；</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m) 对于整机或零部件外表面为高亮面</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的，应粘贴保护膜，保护膜需粘贴牢固，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运输、组装等过程不易脱落，撕下无残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留；</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n) 其它要求应符合 GB/T 9813.1 的相</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关规定</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机箱防</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护要求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机箱应符合 GB/T 4208 中 IP20 防护要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整机噪</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音</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产品工作在空闲状态下，产品的声功率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级应不超过 4.5 Bel</w:t>
            </w:r>
          </w:p>
        </w:tc>
      </w:tr>
      <w:tr>
        <w:tblPrEx>
          <w:tblCellMar>
            <w:top w:w="0" w:type="dxa"/>
            <w:left w:w="108" w:type="dxa"/>
            <w:bottom w:w="0" w:type="dxa"/>
            <w:right w:w="108" w:type="dxa"/>
          </w:tblCellMar>
        </w:tblPrEx>
        <w:trPr>
          <w:trHeight w:val="122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整机散</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热</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109"/>
                <w:rFonts w:ascii="宋体" w:eastAsia="宋体" w:cs="宋体"/>
                <w:sz w:val="21"/>
                <w:szCs w:val="21"/>
                <w:lang w:bidi="ar"/>
              </w:rPr>
            </w:pPr>
            <w:r>
              <w:rPr>
                <w:rStyle w:val="109"/>
                <w:rFonts w:hint="eastAsia" w:ascii="宋体" w:eastAsia="宋体" w:cs="宋体"/>
                <w:sz w:val="21"/>
                <w:szCs w:val="21"/>
                <w:lang w:bidi="ar"/>
              </w:rPr>
              <w:t>在环境温度25℃及处理器满载情况下，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产品表面温度应符合下列要求：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a) 出风口在机箱后面板情况下，出风</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口温度不高于 55℃ ;</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 可触及面温度小于 45℃ ;</w:t>
            </w:r>
          </w:p>
          <w:p>
            <w:pPr>
              <w:pStyle w:val="29"/>
              <w:ind w:left="0" w:leftChars="0" w:firstLine="0" w:firstLineChars="0"/>
              <w:rPr>
                <w:rFonts w:ascii="宋体" w:hAnsi="宋体" w:eastAsia="宋体" w:cs="宋体"/>
                <w:sz w:val="21"/>
                <w:szCs w:val="21"/>
              </w:rPr>
            </w:pPr>
            <w:r>
              <w:rPr>
                <w:rStyle w:val="109"/>
                <w:rFonts w:hint="eastAsia" w:ascii="宋体" w:eastAsia="宋体" w:cs="宋体"/>
                <w:sz w:val="21"/>
                <w:szCs w:val="21"/>
                <w:lang w:bidi="ar"/>
              </w:rPr>
              <w:t>c) 显示器表面温度：显示屏温度不高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38℃ , 显示屏上下灯带位置温度（如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涉及）不高于 40℃ , 出风口温度不高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45℃</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效限定值</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产品能效限定值应达到 GB 28380-2012</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标准中能效等级 2 级及以上</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机身颜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色</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一般选用灰色/黑色等商务色系</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规格</w:t>
            </w:r>
          </w:p>
        </w:tc>
        <w:tc>
          <w:tcPr>
            <w:tcW w:w="521" w:type="pct"/>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机箱尺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寸容量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机箱体积应不大于 40L</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59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CPU</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 物</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理核数</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核数或线程数≥ 8</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 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频</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≥2.2GHz</w:t>
            </w:r>
          </w:p>
        </w:tc>
      </w:tr>
      <w:tr>
        <w:tblPrEx>
          <w:tblCellMar>
            <w:top w:w="0" w:type="dxa"/>
            <w:left w:w="108" w:type="dxa"/>
            <w:bottom w:w="0" w:type="dxa"/>
            <w:right w:w="108" w:type="dxa"/>
          </w:tblCellMar>
        </w:tblPrEx>
        <w:trPr>
          <w:trHeight w:val="145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 末</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级缓存容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≥8MB</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 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持的内存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最高速率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≥2666MT/s</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内存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写速率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≥2666MT/s</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显示分</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辨率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≥2560×1440</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显卡显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示芯片核</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心频率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≥800MHz</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显存等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效频率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≥1600MT/s</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显卡可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支持多屏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同时显示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数量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 2 块屏幕同时显示，分辨率应不低</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2560×1440</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刷新率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≥60Hz</w:t>
            </w:r>
          </w:p>
        </w:tc>
      </w:tr>
      <w:tr>
        <w:tblPrEx>
          <w:tblCellMar>
            <w:top w:w="0" w:type="dxa"/>
            <w:left w:w="108" w:type="dxa"/>
            <w:bottom w:w="0" w:type="dxa"/>
            <w:right w:w="108" w:type="dxa"/>
          </w:tblCellMar>
        </w:tblPrEx>
        <w:trPr>
          <w:trHeight w:val="97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69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位深</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≥8 位</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色域</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≥99% sRGB</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色准</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△E ≤ 3</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响应时间</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≤6ms</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亮度</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≥300 尼特</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亮度一致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≥70%</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对比度</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≥500：1</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其他参数</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其它参数应符合 SJ/T 11292 的相关规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定</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性能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网络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有线网</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卡速率</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最高速率应不低于 1000Mbps，应支持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10Mbps、100Mbps、1000Mbps 速率自适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应</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主板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内存扩</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展接口</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(板载内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存不涉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≥4</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79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主板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USB 瞬间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过流保护</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支持瞬间过流保护功能</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80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主板防</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静电保护</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支持防静电保护功能</w:t>
            </w:r>
          </w:p>
        </w:tc>
      </w:tr>
      <w:tr>
        <w:tblPrEx>
          <w:tblCellMar>
            <w:top w:w="0" w:type="dxa"/>
            <w:left w:w="108" w:type="dxa"/>
            <w:bottom w:w="0" w:type="dxa"/>
            <w:right w:w="108" w:type="dxa"/>
          </w:tblCellMar>
        </w:tblPrEx>
        <w:trPr>
          <w:trHeight w:val="144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rPr>
              <w:t>81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I/O 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口功能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109"/>
                <w:rFonts w:ascii="宋体" w:eastAsia="宋体" w:cs="宋体"/>
                <w:sz w:val="21"/>
                <w:szCs w:val="21"/>
                <w:lang w:bidi="ar"/>
              </w:rPr>
            </w:pPr>
            <w:r>
              <w:rPr>
                <w:rStyle w:val="109"/>
                <w:rFonts w:hint="eastAsia" w:ascii="宋体" w:eastAsia="宋体" w:cs="宋体"/>
                <w:sz w:val="21"/>
                <w:szCs w:val="21"/>
                <w:lang w:bidi="ar"/>
              </w:rPr>
              <w:t>提供基于标准 USB 接口外设连接功能、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基于音频输入输出接口的音频扩展功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能、基于 PCIe 接口板卡扩展功能、基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HDMI/VGA/Type-C/DVI/DP 等接口外</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接显示器扩展功能、基于存储接口对产</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品进行增容功能等。工作站 I/O 接口应</w:t>
            </w:r>
          </w:p>
          <w:p>
            <w:pPr>
              <w:pStyle w:val="29"/>
              <w:ind w:left="0" w:leftChars="0" w:firstLine="0" w:firstLineChars="0"/>
              <w:rPr>
                <w:rFonts w:ascii="宋体" w:hAnsi="宋体" w:eastAsia="宋体" w:cs="宋体"/>
                <w:sz w:val="21"/>
                <w:szCs w:val="21"/>
              </w:rPr>
            </w:pPr>
            <w:r>
              <w:rPr>
                <w:rStyle w:val="109"/>
                <w:rFonts w:hint="eastAsia" w:ascii="宋体" w:eastAsia="宋体" w:cs="宋体"/>
                <w:sz w:val="21"/>
                <w:szCs w:val="21"/>
                <w:lang w:bidi="ar"/>
              </w:rPr>
              <w:t>具备外接标准 USB 设备、显示器、音频</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设备等内外部设备能力</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显卡外</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接显示接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显卡至少支持 VGA、HDMI、DVI、DP、</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Type-C 中 1 种显示接口，并与显示器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接口相匹配</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接口</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显示器应与显卡外接显示接口匹配</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支架</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显示器应提供显示器支架，宜支持屏幕</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旋转、支架可升降等</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参数调节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 提供 OSD 选单按钮用于调节色彩、</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模式等；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 支持色温、亮度、对比度调节</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存储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存储功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通过 SATA 固态存储/PCIe 固态存储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/UFS 固态存储/SATA 硬磁盘等存储部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件提供存储功能</w:t>
            </w:r>
          </w:p>
        </w:tc>
      </w:tr>
      <w:tr>
        <w:tblPrEx>
          <w:tblCellMar>
            <w:top w:w="0" w:type="dxa"/>
            <w:left w:w="108" w:type="dxa"/>
            <w:bottom w:w="0" w:type="dxa"/>
            <w:right w:w="108" w:type="dxa"/>
          </w:tblCellMar>
        </w:tblPrEx>
        <w:trPr>
          <w:trHeight w:val="6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网络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网络功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a)支持网络连接、网络开启/关闭功能；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b)支持访问网络和数据交换功能</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数据传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输</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支持数据传输能力，并提供数据流量和</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异常日志记录功能</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89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有线网</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卡接口类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 RJ45 接口</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网络设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备拆装</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若配备的网络设备应支持物理拆装，包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括无线网卡和蓝牙模块等</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外部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接口</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音频接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口类型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 3.5mm 孔径 3 段式或 4 段式接口</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视频接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口类型</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至少支持 VGA、HDMI、DVI、DP、Type-C</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中 1 种显示接口</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HDMI、</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DP、</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Type-C</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显示接口</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若提供 HDMI 或 DP 或 Type-C 作为显示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接口，应支持音频和视频同步输出</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电源</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功能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电源线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适配能力</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电源适配器电线组件应符合 GB/T</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15934 的要求，可拆线的插头和连接器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可以不做要求</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操作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系统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能</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中文信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息处理要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 18030 的相关规定</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操作系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统备份及</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还原功能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支持操作系统备份及还原功能</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份还原能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力</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支持备份及还原固件的功能</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操作系</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统及驱动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升级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兼容Windows系统，支持通过网络、闪存盘等方式对操作系统、驱动进行升级</w:t>
            </w:r>
          </w:p>
        </w:tc>
      </w:tr>
      <w:tr>
        <w:tblPrEx>
          <w:tblCellMar>
            <w:top w:w="0" w:type="dxa"/>
            <w:left w:w="108" w:type="dxa"/>
            <w:bottom w:w="0" w:type="dxa"/>
            <w:right w:w="108" w:type="dxa"/>
          </w:tblCellMar>
        </w:tblPrEx>
        <w:trPr>
          <w:trHeight w:val="73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99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BIOS 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持关闭通</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讯接口</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 BIOS 关闭以太网及 USB 接口功能</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固件查</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看信息</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支持查看固件版本、内存信息、主板信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息、处理器信息和系统时间信息等功能</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置启动顺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序</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支持设置启动顺序功能，并按照设置的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启动顺序启动</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置口令</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支持设置口令、修改口令、验证口令功</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能</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功能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置网络引</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导</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支持网络引导启动和关闭功能</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存储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固态存</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储寿命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TBW ≥ 80TB（条件：240GB 硬盘容量）</w:t>
            </w:r>
          </w:p>
        </w:tc>
      </w:tr>
      <w:tr>
        <w:tblPrEx>
          <w:tblCellMar>
            <w:top w:w="0" w:type="dxa"/>
            <w:left w:w="108" w:type="dxa"/>
            <w:bottom w:w="0" w:type="dxa"/>
            <w:right w:w="108" w:type="dxa"/>
          </w:tblCellMar>
        </w:tblPrEx>
        <w:trPr>
          <w:trHeight w:val="72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机械硬</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盘寿命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通电时间≥5 万小时</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显示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设备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显示屏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屏幕失效</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点</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9813.2 的要求</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外设</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键寿命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≥1000 万次</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鼠标按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键寿命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≥500 万次</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109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标线材寿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键盘鼠标所用线材经±60 °弯折不低</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3000 次，功能、外观完好</w:t>
            </w:r>
          </w:p>
        </w:tc>
      </w:tr>
      <w:tr>
        <w:tblPrEx>
          <w:tblCellMar>
            <w:top w:w="0" w:type="dxa"/>
            <w:left w:w="108" w:type="dxa"/>
            <w:bottom w:w="0" w:type="dxa"/>
            <w:right w:w="108" w:type="dxa"/>
          </w:tblCellMar>
        </w:tblPrEx>
        <w:trPr>
          <w:trHeight w:val="73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风扇寿</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命</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≥4 万小时</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整机</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电磁兼</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容性要求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的抗扰度</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9254.2 的规定</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环境条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件要求的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气候环境</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适应性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中规定</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环境条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件要求的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振动适应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中规定</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环境条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件要求的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冲击适应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中规定</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环境条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件要求的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碰撞适应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中规定</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环境条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件要求的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运输包装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件跌落适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应性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中规定</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可靠</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MTBF 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试</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MTBF(m1)≥3 万小时</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常用软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件兼容</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应支持流式软件、版式软件、浏览器、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邮件客户端、解压软件、多媒体、图形</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图像处理等常用软件</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119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数据库</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兼容</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 3 个及以上厂商的数据库产品</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中间件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兼容</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 3 个及以上厂商中间件产品</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平台软</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件兼容</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 3 个及以上厂商云计算及大数据</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平台</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包装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及运</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输要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包装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及运</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输要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标志、包</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装、运输</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和贮存</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9813.1 和商品包装政府采购</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需求标准的相关规定</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配置检</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查工具</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供应商提供经自检测试工具</w:t>
            </w:r>
          </w:p>
        </w:tc>
      </w:tr>
      <w:tr>
        <w:tblPrEx>
          <w:tblCellMar>
            <w:top w:w="0" w:type="dxa"/>
            <w:left w:w="108" w:type="dxa"/>
            <w:bottom w:w="0" w:type="dxa"/>
            <w:right w:w="108" w:type="dxa"/>
          </w:tblCellMar>
        </w:tblPrEx>
        <w:trPr>
          <w:trHeight w:val="121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应</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a）提供产品 3 年维保及上门服务（满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足同城4 小时、异地 12 小时响应要求）；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b）提供政企专线 724 在线服务；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c）现场保障技术服务团队员，国内上</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门服务地级市覆盖率达 100%</w:t>
            </w:r>
          </w:p>
        </w:tc>
      </w:tr>
      <w:tr>
        <w:tblPrEx>
          <w:tblCellMar>
            <w:top w:w="0" w:type="dxa"/>
            <w:left w:w="108" w:type="dxa"/>
            <w:bottom w:w="0" w:type="dxa"/>
            <w:right w:w="108" w:type="dxa"/>
          </w:tblCellMar>
        </w:tblPrEx>
        <w:trPr>
          <w:trHeight w:val="733"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期</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支持产品延保≥3 年</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提供每年延保服务报价</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提供备件服务能力≥6 年（自购买之日起）</w:t>
            </w:r>
          </w:p>
        </w:tc>
      </w:tr>
      <w:tr>
        <w:tblPrEx>
          <w:tblCellMar>
            <w:top w:w="0" w:type="dxa"/>
            <w:left w:w="108" w:type="dxa"/>
            <w:bottom w:w="0" w:type="dxa"/>
            <w:right w:w="108" w:type="dxa"/>
          </w:tblCellMar>
        </w:tblPrEx>
        <w:trPr>
          <w:trHeight w:val="145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预装操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作系统</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预装符合桌面操作系统政府采购需求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标准的正版操作系统</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培训服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务</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供应商提供培训材料、产品手册、培训</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视频等培训相关内容</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典型问</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题解决手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册</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供应商提供典型问题解决说明文档或</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视频</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129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厂家升</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级软件与</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扩容服务</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供应商提供上门升级部件/软件的增值</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服务</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整机质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量服务要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服务周期（含换件和维修）应不小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于 3 年</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合格证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书要求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供应商提供产品合格证</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开箱组</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装/使用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指导要求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供应商提供开箱组装/使用指导</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133</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驱动下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载服务要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供应商提供驱动光盘或下载方式</w:t>
            </w:r>
          </w:p>
        </w:tc>
      </w:tr>
      <w:tr>
        <w:tblPrEx>
          <w:tblCellMar>
            <w:top w:w="0" w:type="dxa"/>
            <w:left w:w="108" w:type="dxa"/>
            <w:bottom w:w="0" w:type="dxa"/>
            <w:right w:w="108" w:type="dxa"/>
          </w:tblCellMar>
        </w:tblPrEx>
        <w:trPr>
          <w:trHeight w:val="97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134</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服务</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兼容适</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配软件下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载服务要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供应商提供兼容适配软件下载渠道（光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盘、网站）</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135</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保障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供应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链合</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规性</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产品部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件保障</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保障产品主要部件提供 6 年的备件服</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务能力(自购买之日起)，或提供可兼容</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原设备的升级换代产品</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136</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保障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供应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链质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量</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抗干扰</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性</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当产品部件出现供应风险时，供应商应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通知采购人并提供风险应对方案确保</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产品的服务保障</w:t>
            </w:r>
          </w:p>
        </w:tc>
      </w:tr>
      <w:tr>
        <w:tblPrEx>
          <w:tblCellMar>
            <w:top w:w="0" w:type="dxa"/>
            <w:left w:w="108" w:type="dxa"/>
            <w:bottom w:w="0" w:type="dxa"/>
            <w:right w:w="108" w:type="dxa"/>
          </w:tblCellMar>
        </w:tblPrEx>
        <w:trPr>
          <w:trHeight w:val="73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137</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保障</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供应能</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力证明</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供应商提供供应链稳定承诺书，确保产</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品的部件在产品服务周期内稳定供货</w:t>
            </w:r>
          </w:p>
        </w:tc>
      </w:tr>
      <w:tr>
        <w:tblPrEx>
          <w:tblCellMar>
            <w:top w:w="0" w:type="dxa"/>
            <w:left w:w="108" w:type="dxa"/>
            <w:bottom w:w="0" w:type="dxa"/>
            <w:right w:w="108" w:type="dxa"/>
          </w:tblCellMar>
        </w:tblPrEx>
        <w:trPr>
          <w:trHeight w:val="145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138</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Style w:val="109"/>
                <w:rFonts w:hint="eastAsia" w:ascii="宋体" w:eastAsia="宋体" w:cs="宋体"/>
                <w:sz w:val="21"/>
                <w:szCs w:val="21"/>
                <w:lang w:bidi="ar"/>
              </w:rPr>
              <w:t>关键</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部件</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关键部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件安全要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CPU和操作系统等关键部件应当符合安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全可靠测评要求</w:t>
            </w:r>
          </w:p>
        </w:tc>
      </w:tr>
      <w:tr>
        <w:tblPrEx>
          <w:tblCellMar>
            <w:top w:w="0" w:type="dxa"/>
            <w:left w:w="108" w:type="dxa"/>
            <w:bottom w:w="0" w:type="dxa"/>
            <w:right w:w="108" w:type="dxa"/>
          </w:tblCellMar>
        </w:tblPrEx>
        <w:trPr>
          <w:trHeight w:val="675"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139</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安全性要求</w:t>
            </w: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密码算</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法实现</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CPU芯片应符合GM/T 0008 的相关规定，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或芯片密码模块应符合 GB/T 37092 或 GM/T 0028 的相关规定</w:t>
            </w:r>
          </w:p>
        </w:tc>
      </w:tr>
      <w:tr>
        <w:tblPrEx>
          <w:tblCellMar>
            <w:top w:w="0" w:type="dxa"/>
            <w:left w:w="108" w:type="dxa"/>
            <w:bottom w:w="0" w:type="dxa"/>
            <w:right w:w="108" w:type="dxa"/>
          </w:tblCellMar>
        </w:tblPrEx>
        <w:trPr>
          <w:trHeight w:val="1450"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140</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信息安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全基本要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a) 应符合 GB/T 39276 的 5.2 的规定；</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b) 生产厂商应建立漏洞跟踪表，保证</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产品版本涉及到的漏洞(如驱动程序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等)可查看；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c) 产品不得包含已知的恶意代码或漏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洞，不存在未声明的指令、功能、接口</w:t>
            </w:r>
          </w:p>
        </w:tc>
      </w:tr>
      <w:tr>
        <w:tblPrEx>
          <w:tblCellMar>
            <w:top w:w="0" w:type="dxa"/>
            <w:left w:w="108" w:type="dxa"/>
            <w:bottom w:w="0" w:type="dxa"/>
            <w:right w:w="108" w:type="dxa"/>
          </w:tblCellMar>
        </w:tblPrEx>
        <w:trPr>
          <w:trHeight w:val="577"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141</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固件安</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全启动</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支持固件安全启动功能，固件启动过程</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中只有通过启动校验才能正常启动</w:t>
            </w:r>
          </w:p>
        </w:tc>
      </w:tr>
      <w:tr>
        <w:tblPrEx>
          <w:tblCellMar>
            <w:top w:w="0" w:type="dxa"/>
            <w:left w:w="108" w:type="dxa"/>
            <w:bottom w:w="0" w:type="dxa"/>
            <w:right w:w="108" w:type="dxa"/>
          </w:tblCellMar>
        </w:tblPrEx>
        <w:trPr>
          <w:trHeight w:val="735" w:hRule="atLeast"/>
        </w:trPr>
        <w:tc>
          <w:tcPr>
            <w:tcW w:w="370"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rPr>
              <w:t>142</w:t>
            </w:r>
          </w:p>
        </w:tc>
        <w:tc>
          <w:tcPr>
            <w:tcW w:w="45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安全</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限用物</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质的限量</w:t>
            </w:r>
            <w:r>
              <w:rPr>
                <w:rStyle w:val="109"/>
                <w:rFonts w:hint="eastAsia" w:ascii="宋体" w:eastAsia="宋体" w:cs="宋体"/>
                <w:sz w:val="21"/>
                <w:szCs w:val="21"/>
                <w:lang w:bidi="ar"/>
              </w:rPr>
              <w:br w:type="textWrapping"/>
            </w:r>
            <w:r>
              <w:rPr>
                <w:rStyle w:val="109"/>
                <w:rFonts w:hint="eastAsia" w:ascii="宋体" w:eastAsia="宋体" w:cs="宋体"/>
                <w:sz w:val="21"/>
                <w:szCs w:val="21"/>
                <w:lang w:bidi="ar"/>
              </w:rPr>
              <w:t>要求</w:t>
            </w:r>
          </w:p>
        </w:tc>
        <w:tc>
          <w:tcPr>
            <w:tcW w:w="253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109"/>
                <w:rFonts w:hint="eastAsia" w:ascii="宋体" w:eastAsia="宋体" w:cs="宋体"/>
                <w:sz w:val="21"/>
                <w:szCs w:val="21"/>
                <w:lang w:bidi="ar"/>
              </w:rPr>
              <w:t>符合 GB/T 26572 中规定</w:t>
            </w:r>
          </w:p>
        </w:tc>
      </w:tr>
    </w:tbl>
    <w:p>
      <w:pPr>
        <w:pStyle w:val="29"/>
        <w:numPr>
          <w:ilvl w:val="0"/>
          <w:numId w:val="5"/>
        </w:numPr>
        <w:ind w:left="0" w:leftChars="0" w:firstLineChars="0"/>
        <w:rPr>
          <w:rFonts w:ascii="宋体" w:hAnsi="宋体" w:eastAsia="宋体" w:cs="宋体"/>
          <w:b/>
          <w:sz w:val="21"/>
          <w:szCs w:val="21"/>
        </w:rPr>
      </w:pPr>
      <w:r>
        <w:rPr>
          <w:rFonts w:hint="eastAsia" w:ascii="宋体" w:hAnsi="宋体" w:eastAsia="宋体" w:cs="宋体"/>
          <w:b/>
          <w:sz w:val="21"/>
          <w:szCs w:val="21"/>
        </w:rPr>
        <w:t>控制电脑</w:t>
      </w:r>
    </w:p>
    <w:p>
      <w:pPr>
        <w:pStyle w:val="29"/>
        <w:ind w:leftChars="0" w:firstLine="0" w:firstLineChars="0"/>
        <w:rPr>
          <w:rFonts w:ascii="宋体" w:hAnsi="宋体" w:eastAsia="宋体" w:cs="宋体"/>
          <w:b/>
          <w:sz w:val="21"/>
          <w:szCs w:val="21"/>
        </w:rPr>
      </w:pPr>
      <w:r>
        <w:rPr>
          <w:rFonts w:hint="eastAsia" w:ascii="宋体" w:hAnsi="宋体" w:eastAsia="宋体" w:cs="宋体"/>
          <w:color w:val="000000"/>
          <w:sz w:val="21"/>
          <w:szCs w:val="21"/>
        </w:rPr>
        <w:t>控制电脑技术参数不低于以下指标</w:t>
      </w:r>
    </w:p>
    <w:tbl>
      <w:tblPr>
        <w:tblStyle w:val="30"/>
        <w:tblW w:w="4998" w:type="pct"/>
        <w:tblInd w:w="0" w:type="dxa"/>
        <w:tblLayout w:type="autofit"/>
        <w:tblCellMar>
          <w:top w:w="0" w:type="dxa"/>
          <w:left w:w="108" w:type="dxa"/>
          <w:bottom w:w="0" w:type="dxa"/>
          <w:right w:w="108" w:type="dxa"/>
        </w:tblCellMar>
      </w:tblPr>
      <w:tblGrid>
        <w:gridCol w:w="649"/>
        <w:gridCol w:w="650"/>
        <w:gridCol w:w="623"/>
        <w:gridCol w:w="707"/>
        <w:gridCol w:w="1226"/>
        <w:gridCol w:w="5088"/>
      </w:tblGrid>
      <w:tr>
        <w:tblPrEx>
          <w:tblCellMar>
            <w:top w:w="0" w:type="dxa"/>
            <w:left w:w="108" w:type="dxa"/>
            <w:bottom w:w="0" w:type="dxa"/>
            <w:right w:w="108" w:type="dxa"/>
          </w:tblCellMar>
        </w:tblPrEx>
        <w:trPr>
          <w:trHeight w:val="735" w:hRule="atLeast"/>
        </w:trPr>
        <w:tc>
          <w:tcPr>
            <w:tcW w:w="363" w:type="pc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序号</w:t>
            </w:r>
          </w:p>
        </w:tc>
        <w:tc>
          <w:tcPr>
            <w:tcW w:w="363" w:type="pc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color w:val="000000"/>
                <w:sz w:val="21"/>
                <w:szCs w:val="21"/>
                <w:lang w:bidi="ar"/>
              </w:rPr>
            </w:pPr>
            <w:r>
              <w:rPr>
                <w:rFonts w:hint="eastAsia" w:ascii="宋体" w:hAnsi="宋体" w:cs="宋体"/>
                <w:b/>
                <w:bCs/>
                <w:color w:val="000000"/>
                <w:sz w:val="21"/>
                <w:szCs w:val="21"/>
                <w:lang w:bidi="ar"/>
              </w:rPr>
              <w:t>重要性</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指标分类</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一级指标</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二级指标</w:t>
            </w:r>
            <w:r>
              <w:rPr>
                <w:rFonts w:hint="eastAsia" w:ascii="宋体" w:hAnsi="宋体" w:cs="宋体"/>
                <w:color w:val="000000"/>
                <w:sz w:val="21"/>
                <w:szCs w:val="21"/>
                <w:lang w:bidi="ar"/>
              </w:rPr>
              <w:t xml:space="preserve"> </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指标要求</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信息</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lang w:bidi="ar"/>
              </w:rPr>
              <w:t>供应商给出 CPU 信息，包含 CPU 型号、物理核心数、主频、末级缓存容量、线程数、热设计功耗及内存的最高速率、通道数和位宽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置容量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供应商给出主板支持的 CPU 和内存</w:t>
            </w:r>
          </w:p>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的型号数量，内存需≥16GB</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支持DDR4及以上内存类型</w:t>
            </w:r>
          </w:p>
        </w:tc>
      </w:tr>
      <w:tr>
        <w:tblPrEx>
          <w:tblCellMar>
            <w:top w:w="0" w:type="dxa"/>
            <w:left w:w="108" w:type="dxa"/>
            <w:bottom w:w="0" w:type="dxa"/>
            <w:right w:w="108" w:type="dxa"/>
          </w:tblCellMar>
        </w:tblPrEx>
        <w:trPr>
          <w:trHeight w:val="120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配置数量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（板载内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存不涉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成模块</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集成资源扩展模块、计算处理模块、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音频扩展模块等，主板的互联拓扑可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通过处理器或交换电路实现</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持的 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和内存情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况</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lang w:bidi="ar"/>
              </w:rPr>
              <w:t>单内存插槽最大可支持容量≥8GB, 内存插槽满配时提供的最高内存总容量≥16GB;</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他内置接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供应商给出相关 SATA、M.2、USB 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数量及占用状态</w:t>
            </w:r>
          </w:p>
        </w:tc>
      </w:tr>
      <w:tr>
        <w:tblPrEx>
          <w:tblCellMar>
            <w:top w:w="0" w:type="dxa"/>
            <w:left w:w="108" w:type="dxa"/>
            <w:bottom w:w="0" w:type="dxa"/>
            <w:right w:w="108" w:type="dxa"/>
          </w:tblCellMar>
        </w:tblPrEx>
        <w:trPr>
          <w:trHeight w:val="144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单内存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插槽最大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可支持容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量（板载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内存不涉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≥8GB</w:t>
            </w:r>
          </w:p>
        </w:tc>
      </w:tr>
      <w:tr>
        <w:tblPrEx>
          <w:tblCellMar>
            <w:top w:w="0" w:type="dxa"/>
            <w:left w:w="108" w:type="dxa"/>
            <w:bottom w:w="0" w:type="dxa"/>
            <w:right w:w="108" w:type="dxa"/>
          </w:tblCellMar>
        </w:tblPrEx>
        <w:trPr>
          <w:trHeight w:val="1455"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内存插</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槽满配时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提供的最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高内存总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≥16GB</w:t>
            </w:r>
          </w:p>
        </w:tc>
      </w:tr>
      <w:tr>
        <w:tblPrEx>
          <w:tblCellMar>
            <w:top w:w="0" w:type="dxa"/>
            <w:left w:w="108" w:type="dxa"/>
            <w:bottom w:w="0" w:type="dxa"/>
            <w:right w:w="108" w:type="dxa"/>
          </w:tblCellMar>
        </w:tblPrEx>
        <w:trPr>
          <w:trHeight w:val="492"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存储设备规格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固态盘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 个</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固态存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储容量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≥240GB</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 个</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盘总容量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≥500GB</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盘转速</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≥5400rpm</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盘形态</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 英寸或 3.5 英寸等</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固态存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储形态</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符合M.2 或 mSATA 等标准的插卡形态</w:t>
            </w:r>
          </w:p>
        </w:tc>
      </w:tr>
      <w:tr>
        <w:tblPrEx>
          <w:tblCellMar>
            <w:top w:w="0" w:type="dxa"/>
            <w:left w:w="108" w:type="dxa"/>
            <w:bottom w:w="0" w:type="dxa"/>
            <w:right w:w="108" w:type="dxa"/>
          </w:tblCellMar>
        </w:tblPrEx>
        <w:trPr>
          <w:trHeight w:val="144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存储设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备其他参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a)固态盘应符合 SJ/T 11654 相关规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b)机械硬盘准备时间应不大于 30s；侧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面固定螺丝孔数量可为 4 孔或 6 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工作状态环境温度应满足 5℃~55℃ ;</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其它参数应符合 GB/T 12628 相关规定</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独立显卡</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独立显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卡显存类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lang w:bidi="ar"/>
              </w:rPr>
              <w:t>不低于DDR6</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独立显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卡显存位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 位</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独立显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卡显存容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≥1GB</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屏占比</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≥80%</w:t>
            </w:r>
          </w:p>
        </w:tc>
      </w:tr>
      <w:tr>
        <w:tblPrEx>
          <w:tblCellMar>
            <w:top w:w="0" w:type="dxa"/>
            <w:left w:w="108" w:type="dxa"/>
            <w:bottom w:w="0" w:type="dxa"/>
            <w:right w:w="108" w:type="dxa"/>
          </w:tblCellMar>
        </w:tblPrEx>
        <w:trPr>
          <w:trHeight w:val="144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分辨率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≥1920x1080</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尺寸</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≥23 英寸</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屏幕比例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16:9</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外观颜色</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黑色等商务色系</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防蓝光</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支持防蓝光模式，蓝光加权辐射亮度</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比应≤0.0012W/(·cd·sr)（瓦每坎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特拉每球面度）</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低频闪</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显示屏应支持低频闪≤-35dB</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防炫目</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显示屏镜面反射率≤10%</w:t>
            </w:r>
          </w:p>
        </w:tc>
      </w:tr>
      <w:tr>
        <w:tblPrEx>
          <w:tblCellMar>
            <w:top w:w="0" w:type="dxa"/>
            <w:left w:w="108" w:type="dxa"/>
            <w:bottom w:w="0" w:type="dxa"/>
            <w:right w:w="108" w:type="dxa"/>
          </w:tblCellMar>
        </w:tblPrEx>
        <w:trPr>
          <w:trHeight w:val="57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鼠标数</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 个</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键盘数</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 个</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键数目</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1"/>
                <w:szCs w:val="21"/>
              </w:rPr>
            </w:pPr>
            <w:r>
              <w:rPr>
                <w:rFonts w:hint="eastAsia" w:ascii="宋体" w:hAnsi="宋体" w:cs="宋体"/>
                <w:color w:val="000000"/>
                <w:sz w:val="21"/>
                <w:szCs w:val="21"/>
                <w:lang w:bidi="ar"/>
              </w:rPr>
              <w:t>104 键</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接方式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有线或无线</w:t>
            </w:r>
          </w:p>
        </w:tc>
      </w:tr>
      <w:tr>
        <w:tblPrEx>
          <w:tblCellMar>
            <w:top w:w="0" w:type="dxa"/>
            <w:left w:w="108" w:type="dxa"/>
            <w:bottom w:w="0" w:type="dxa"/>
            <w:right w:w="108" w:type="dxa"/>
          </w:tblCellMar>
        </w:tblPrEx>
        <w:trPr>
          <w:trHeight w:val="120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2.3mm ~ 4.0mm</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键压力</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按键压力应在 0.54 N±0.14N</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盘连接线</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≥1.5 米</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色</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黑色/白色/银色等商务色系</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接方式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有线或无线</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标连接线</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≥1.5 米</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 DPI</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分辨率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800~1600</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色</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黑色等商务色系</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他要求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其它参数应符合 GB/T 26245 的相关规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732"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外部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USB 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机箱前面板应提供不少于 3 个 USB 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口（含 2 个 USB3.0 及以上接口）</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视频接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音频接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144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基础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整机外</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产品表面不应有凹痕、划伤、裂缝、</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变形和污染等。表面涂层均匀，不应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起泡、龟裂、脱落和磨损，金属零部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件无锈蚀及其它机械损伤；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产品表面说明功能的文字、符号、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标志，应清晰、端正、牢固</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状态指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示灯</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在产品显著位置提供状态指示功能，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如运行状态，并由供应商提供详细参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w:t>
            </w:r>
          </w:p>
        </w:tc>
      </w:tr>
      <w:tr>
        <w:tblPrEx>
          <w:tblCellMar>
            <w:top w:w="0" w:type="dxa"/>
            <w:left w:w="108" w:type="dxa"/>
            <w:bottom w:w="0" w:type="dxa"/>
            <w:right w:w="108" w:type="dxa"/>
          </w:tblCellMar>
        </w:tblPrEx>
        <w:trPr>
          <w:trHeight w:val="819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构</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机箱应符合 GB/T 4208、GB/T 26246</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的相关规定；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产品内部结构应符合通用部件的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安装需求；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所有输入输出接口应符合相关国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家或行业标准；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 产品零部件应紧固无松动，可插拔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部件应可靠连接，开关、按钮和其它</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控制部件应灵活可靠，布局应方便使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e) 所有 I/O 连接器及需插接线缆的部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位应预留采购人操作空间，方便插拔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解锁与插拔线缆；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f) 可插拔板卡插槽部位应预留安装、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拆卸或更换板卡空间；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g) 拆装可能接触到的金属剪口或金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属尖角部位应做防划伤处理，以保证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h) 整机内部走线应规整，固线结构和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位置要合理可靠并做防割线处理，需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便于理线和插拔操作，走线应不影响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系统各主要部件组装和拆卸；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i) 如需通过孔走线，过线孔应做防割</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线处理；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j) 各插头位置和插拔方向应合理，应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做到插拔无障碍设计，具备防呆设计，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有效避免误操作；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k) 各主要部件拆装无障碍，使用常规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工具拆装，无特殊拆装工具需求；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l) 各主要部件拆装步骤要少，各自拆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装需避免相互干扰；</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m) 对于整机或零部件外表面为高亮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面的，应粘贴保护膜，保护膜需粘贴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牢固，运输、组装等过程不易脱落，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撕下无残留；</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n) 其它要求应符合 GB/T 9813.1 的相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关规定</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机箱防</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护要求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机箱应符合 GB/T 4208 中 IP20 防护要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整机噪</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音</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产品工作在空闲状态下，产品的声功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率级应不超过 4.5 Bel</w:t>
            </w:r>
          </w:p>
        </w:tc>
      </w:tr>
      <w:tr>
        <w:tblPrEx>
          <w:tblCellMar>
            <w:top w:w="0" w:type="dxa"/>
            <w:left w:w="108" w:type="dxa"/>
            <w:bottom w:w="0" w:type="dxa"/>
            <w:right w:w="108" w:type="dxa"/>
          </w:tblCellMar>
        </w:tblPrEx>
        <w:trPr>
          <w:trHeight w:val="216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热</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在环境温度 25℃及处理器满载情况</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下，产品表面温度应符合如下要求：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a) 出风口在机箱后面板情况下，出风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口温度不高于 55℃ ;</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可触及面温度不高于 45℃ ;</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显示器表面温度：显示屏不高于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38℃ , 显示屏上下灯带位置温度（如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涉及）不高于 40℃ , 出风口温度不高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 45℃</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效限定值</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产品能效限定值应达到 GB 28380-2012</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标准中能效等级 2 级及以上</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机身材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质</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金属</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机身颜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色</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黑色等商务色系</w:t>
            </w:r>
          </w:p>
        </w:tc>
      </w:tr>
      <w:tr>
        <w:tblPrEx>
          <w:tblCellMar>
            <w:top w:w="0" w:type="dxa"/>
            <w:left w:w="108" w:type="dxa"/>
            <w:bottom w:w="0" w:type="dxa"/>
            <w:right w:w="108" w:type="dxa"/>
          </w:tblCellMar>
        </w:tblPrEx>
        <w:trPr>
          <w:trHeight w:val="96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机箱尺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寸容量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机箱体积应不大于 30L</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物理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核数</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主频</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≥2.5GHz</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性能要求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CPU 线程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≥20</w:t>
            </w:r>
          </w:p>
        </w:tc>
      </w:tr>
      <w:tr>
        <w:tblPrEx>
          <w:tblCellMar>
            <w:top w:w="0" w:type="dxa"/>
            <w:left w:w="108" w:type="dxa"/>
            <w:bottom w:w="0" w:type="dxa"/>
            <w:right w:w="108" w:type="dxa"/>
          </w:tblCellMar>
        </w:tblPrEx>
        <w:trPr>
          <w:trHeight w:val="120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末</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级缓存容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≥25MB</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的内存最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高速率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≥2666MT/s</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写速率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≥2666MT/s</w:t>
            </w:r>
          </w:p>
        </w:tc>
      </w:tr>
      <w:tr>
        <w:tblPrEx>
          <w:tblCellMar>
            <w:top w:w="0" w:type="dxa"/>
            <w:left w:w="108" w:type="dxa"/>
            <w:bottom w:w="0" w:type="dxa"/>
            <w:right w:w="108" w:type="dxa"/>
          </w:tblCellMar>
        </w:tblPrEx>
        <w:trPr>
          <w:trHeight w:val="4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辨率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≥1920x1080</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示芯片核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心频率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≥300MHz</w:t>
            </w:r>
          </w:p>
        </w:tc>
      </w:tr>
      <w:tr>
        <w:tblPrEx>
          <w:tblCellMar>
            <w:top w:w="0" w:type="dxa"/>
            <w:left w:w="108" w:type="dxa"/>
            <w:bottom w:w="0" w:type="dxa"/>
            <w:right w:w="108" w:type="dxa"/>
          </w:tblCellMar>
        </w:tblPrEx>
        <w:trPr>
          <w:trHeight w:val="72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显存等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效频率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≥1000MT/s</w:t>
            </w:r>
          </w:p>
        </w:tc>
      </w:tr>
      <w:tr>
        <w:tblPrEx>
          <w:tblCellMar>
            <w:top w:w="0" w:type="dxa"/>
            <w:left w:w="108" w:type="dxa"/>
            <w:bottom w:w="0" w:type="dxa"/>
            <w:right w:w="108" w:type="dxa"/>
          </w:tblCellMar>
        </w:tblPrEx>
        <w:trPr>
          <w:trHeight w:val="96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支持多屏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同时显示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显卡应支持 2 块屏幕同时显示，分辨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率应不低于 1920×1080</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刷新率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≥75Hz</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位深</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 位</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色域</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≥99% sRGB</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69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色准</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△E ≤ 4</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响应时间</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≤8ms</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亮度</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≥250 尼特</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亮度一致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≥70%</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对比度</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≥500：1</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其他参数</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其它参数应符合 SJ/T 11292 的相关规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性能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卡速率</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最高速率应不低于 1000Mbps，应支持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10Mbps、100Mbps、1000Mbps 速率自适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w:t>
            </w:r>
          </w:p>
        </w:tc>
      </w:tr>
      <w:tr>
        <w:tblPrEx>
          <w:tblCellMar>
            <w:top w:w="0" w:type="dxa"/>
            <w:left w:w="108" w:type="dxa"/>
            <w:bottom w:w="0" w:type="dxa"/>
            <w:right w:w="108" w:type="dxa"/>
          </w:tblCellMar>
        </w:tblPrEx>
        <w:trPr>
          <w:trHeight w:val="120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内存扩</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展接口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(板载内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存不涉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 个</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 USB</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瞬间过流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保护</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支持有瞬间过流保护功能</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主板防</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静电保护</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支持防静电保护功能</w:t>
            </w:r>
          </w:p>
        </w:tc>
      </w:tr>
      <w:tr>
        <w:tblPrEx>
          <w:tblCellMar>
            <w:top w:w="0" w:type="dxa"/>
            <w:left w:w="108" w:type="dxa"/>
            <w:bottom w:w="0" w:type="dxa"/>
            <w:right w:w="108" w:type="dxa"/>
          </w:tblCellMar>
        </w:tblPrEx>
        <w:trPr>
          <w:trHeight w:val="1452"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79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I/O 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提供基于标准 USB 接口外设连接功能、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基于音频输入输出接口的音频扩展功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能、基于 PCIe 接口板卡扩展功能、基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 HDMI 或 VGA 或 Type-C 或 DVI 或 DP</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等接口外接显示器扩展功能、基于存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储接口对产品进行增容功能等。产品I/O 接口，应具备外接标准 USB 设备、显示器、音频设备等内外部设备能力</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显卡外</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接显示接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显卡至少支持 VGA、HDMI、DVI、DP、</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Type-C 中 1 种显示接口，并与显示器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接口相匹配</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显示器应与显卡外接显示接口匹配</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支架</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显示器应提供显示器支架，根据采购</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人需求支持屏幕旋转、升降等</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参数调节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a)提供 OSD 选单按钮用于调节色彩、</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模式等；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b)支持色温、亮度、对比度调节</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存储功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通过 SATA 固态存储/PCIe 固态存储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/UFS 固态存储/SATA 硬磁盘等存储部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件提供存储功能</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网络功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a)支持网络连接、网络开启/关闭功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能；b)支持访问网络和数据交换功能</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数据传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输</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支持数据传输能力，并提供数据流量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和异常日志记录功能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有线网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卡接口类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RJ45 接口</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网络设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备拆装</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网络设备支持物理拆装，包括无线网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卡和蓝牙模块等</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外部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音频接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口类型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3.5mm 孔径 3 段式或 4 段式接口</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视频接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口类型</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至少支持 VGA、HDMI、DVI、DP、Type-C</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中 1 种显示接口</w:t>
            </w:r>
          </w:p>
        </w:tc>
      </w:tr>
      <w:tr>
        <w:tblPrEx>
          <w:tblCellMar>
            <w:top w:w="0" w:type="dxa"/>
            <w:left w:w="108" w:type="dxa"/>
            <w:bottom w:w="0" w:type="dxa"/>
            <w:right w:w="108" w:type="dxa"/>
          </w:tblCellMar>
        </w:tblPrEx>
        <w:trPr>
          <w:trHeight w:val="120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HDMI、</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DP、</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Type-C 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示接口要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若提供 HDMI 或 DP 或 Type-C 作为显示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接口，应支持音频和视频同步输出</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电源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适配能力</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电源适配器电线组件应符合 GB/T</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15934 的要求，可拆线的插头和连接器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可以不做要求</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操作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中文信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息处理要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 18030 的相关规定</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操作系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统备份及</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还原功能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支持操作系统备份及还原功能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份还原能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力</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支持备份及还原固件的功能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操作系</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统及驱动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升级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支持通过网络、闪存盘等方式对操作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系统、驱动进行升级</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支持通过网络、闪存盘等方式对固件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进行升级</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BIOS 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持关闭通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讯接口</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BIOS 关闭以太网及 USB 接口</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99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看信息</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支持查看固件版本、内存信息、主板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信息、处理器信息和系统时间信息等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置启动顺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序</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支持设置启动顺序功能，并按照设置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的启动顺序启动</w:t>
            </w:r>
          </w:p>
        </w:tc>
      </w:tr>
      <w:tr>
        <w:tblPrEx>
          <w:tblCellMar>
            <w:top w:w="0" w:type="dxa"/>
            <w:left w:w="108" w:type="dxa"/>
            <w:bottom w:w="0" w:type="dxa"/>
            <w:right w:w="108" w:type="dxa"/>
          </w:tblCellMar>
        </w:tblPrEx>
        <w:trPr>
          <w:trHeight w:val="57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置口令</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支持设置口令、修改口令、验证口令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置网络引</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导</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支持网络引导启动和关闭功能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固态存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储寿命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TBW ≥ 80TB（条件：240GB 硬盘容量）</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盘寿命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通电时间≥5 万小时</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显示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屏幕失效</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点</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9813.2 的要求</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外设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键寿命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≥1000 万次</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鼠标按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键寿命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≥500 万次</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标线材寿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键盘鼠标所用线材经±60 °弯折不低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 3000 次，功能、外观完好</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109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风扇寿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命</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 万小时</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电磁兼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容性要求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的抗扰度</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9254.2 的规定</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件要求的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气候环境</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适应性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中规定</w:t>
            </w:r>
          </w:p>
        </w:tc>
      </w:tr>
      <w:tr>
        <w:tblPrEx>
          <w:tblCellMar>
            <w:top w:w="0" w:type="dxa"/>
            <w:left w:w="108" w:type="dxa"/>
            <w:bottom w:w="0" w:type="dxa"/>
            <w:right w:w="108" w:type="dxa"/>
          </w:tblCellMar>
        </w:tblPrEx>
        <w:trPr>
          <w:trHeight w:val="972"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件要求的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振动适应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中规定</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件要求的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冲击适应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中规定</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件要求的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碰撞适应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中规定</w:t>
            </w:r>
          </w:p>
        </w:tc>
      </w:tr>
      <w:tr>
        <w:tblPrEx>
          <w:tblCellMar>
            <w:top w:w="0" w:type="dxa"/>
            <w:left w:w="108" w:type="dxa"/>
            <w:bottom w:w="0" w:type="dxa"/>
            <w:right w:w="108" w:type="dxa"/>
          </w:tblCellMar>
        </w:tblPrEx>
        <w:trPr>
          <w:trHeight w:val="120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件要求的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运输包装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件跌落适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中规定</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MTBF 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试</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MTBF(m1)≥3 万小时</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常用软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件兼容</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支持流式软件、版式软件、浏览器、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邮件采购人端、解压软件、多媒体、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图形图像处理等常用软件</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数据库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个及以上厂商的数据库产品</w:t>
            </w:r>
          </w:p>
        </w:tc>
      </w:tr>
      <w:tr>
        <w:tblPrEx>
          <w:tblCellMar>
            <w:top w:w="0" w:type="dxa"/>
            <w:left w:w="108" w:type="dxa"/>
            <w:bottom w:w="0" w:type="dxa"/>
            <w:right w:w="108" w:type="dxa"/>
          </w:tblCellMar>
        </w:tblPrEx>
        <w:trPr>
          <w:trHeight w:val="510"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119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中间件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个及以上厂商中间件产品</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平台软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件兼容</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个及以上厂商云计算及大数据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平台</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包装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输要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包装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输要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标志、包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装、运输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和贮存</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9813.1 和商品包装政府采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购需求标准的相关规定</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配置检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查工具</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供应商提供自检测试工具</w:t>
            </w:r>
          </w:p>
        </w:tc>
      </w:tr>
      <w:tr>
        <w:tblPrEx>
          <w:tblCellMar>
            <w:top w:w="0" w:type="dxa"/>
            <w:left w:w="108" w:type="dxa"/>
            <w:bottom w:w="0" w:type="dxa"/>
            <w:right w:w="108" w:type="dxa"/>
          </w:tblCellMar>
        </w:tblPrEx>
        <w:trPr>
          <w:trHeight w:val="288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a)供应商提供电话、电子邮件、远程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连接等多种形式服务；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b)供应商提供同城 4h、异地 12h 技术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响应服务，2 个工作日解决问题，对于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未能解决的问题和故障应提供可行的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升级方案，并提供周转设备或更换设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c)建立全国技术服务体系和服务团</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体，符合专业服务体系标准要求，提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供原厂中文服务；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d)服务周期内提供产品的维修、换件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和升级服务</w:t>
            </w:r>
          </w:p>
        </w:tc>
      </w:tr>
      <w:tr>
        <w:tblPrEx>
          <w:tblCellMar>
            <w:top w:w="0" w:type="dxa"/>
            <w:left w:w="108" w:type="dxa"/>
            <w:bottom w:w="0" w:type="dxa"/>
            <w:right w:w="108" w:type="dxa"/>
          </w:tblCellMar>
        </w:tblPrEx>
        <w:trPr>
          <w:trHeight w:val="1692"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期</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设备停产后应继续提供质量保障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服务（含备品备件），服务终止时间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与最后一批设备交付时间间隔不低于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6 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产品停止服务时间应提前 1 年告</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应明确产品发布日期</w:t>
            </w:r>
          </w:p>
        </w:tc>
      </w:tr>
      <w:tr>
        <w:tblPrEx>
          <w:tblCellMar>
            <w:top w:w="0" w:type="dxa"/>
            <w:left w:w="108" w:type="dxa"/>
            <w:bottom w:w="0" w:type="dxa"/>
            <w:right w:w="108" w:type="dxa"/>
          </w:tblCellMar>
        </w:tblPrEx>
        <w:trPr>
          <w:trHeight w:val="1155"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预装操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作系统</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预装符合桌面操作系统政府采购需求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标准的正版操作系统</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培训服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务</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供应商提供培训材料、产品手册、培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训视频等培训相关内容</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典型问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题解决手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册</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供应商提供典型问题解决说明文档或</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视频</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厂家升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级软件与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扩容服务</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供应商提供上门升级部件/软件与扩</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容的增值服务</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129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量服务要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服务周期（含换件和维修）应不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小于 3 年</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合格证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书要求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供应商提供产品合格证</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开箱组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装/使用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指导要求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供应商提供开箱组装/使用指导</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132</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驱动下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载服务要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供应商提供驱动光盘或下载方式</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133</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配软件下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载服务要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供应商提供兼容适配软件下载渠道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（光盘、网站）</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134</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链合</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规性</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产品部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件保障</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供应商保障产品主要部件，提供 6 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的备件服务能力（自购买之日起），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或提供可兼容原设备的升级换代产品</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135</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链质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抗干扰</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当产品部件出现供应风险时，供应商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应通知采购人并提供风险应对方案确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保产品的服务保障</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136</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力证明</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供应商提供供应链稳定承诺书，确保</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产品的部件在产品服务周期内稳定供</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货</w:t>
            </w:r>
          </w:p>
        </w:tc>
      </w:tr>
      <w:tr>
        <w:tblPrEx>
          <w:tblCellMar>
            <w:top w:w="0" w:type="dxa"/>
            <w:left w:w="108" w:type="dxa"/>
            <w:bottom w:w="0" w:type="dxa"/>
            <w:right w:w="108" w:type="dxa"/>
          </w:tblCellMar>
        </w:tblPrEx>
        <w:trPr>
          <w:trHeight w:val="96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137</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关键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部件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关键部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件安全要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和操作系统等关键部件应当符合</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安全可靠测评要求</w:t>
            </w:r>
          </w:p>
        </w:tc>
      </w:tr>
      <w:tr>
        <w:tblPrEx>
          <w:tblCellMar>
            <w:top w:w="0" w:type="dxa"/>
            <w:left w:w="108" w:type="dxa"/>
            <w:bottom w:w="0" w:type="dxa"/>
            <w:right w:w="108" w:type="dxa"/>
          </w:tblCellMar>
        </w:tblPrEx>
        <w:trPr>
          <w:trHeight w:val="7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138</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密码算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法实现</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芯片应符合 GM/T 0008 的相关规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定，或芯片密码模块应符合 GB/T 37092</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或 GM/T 0028 的相关规定</w:t>
            </w:r>
          </w:p>
        </w:tc>
      </w:tr>
      <w:tr>
        <w:tblPrEx>
          <w:tblCellMar>
            <w:top w:w="0" w:type="dxa"/>
            <w:left w:w="108" w:type="dxa"/>
            <w:bottom w:w="0" w:type="dxa"/>
            <w:right w:w="108" w:type="dxa"/>
          </w:tblCellMar>
        </w:tblPrEx>
        <w:trPr>
          <w:trHeight w:val="1929"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139</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信息安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全基本要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产品应符合 GB/T 39276 的 5.2 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生产厂商应建立漏洞跟踪表，保证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产品版本涉及到的漏洞(如驱动程序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等)可查看；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产品不得包含已知的恶意代码或</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漏洞，不存在未声明的指令、功能、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p>
        </w:tc>
      </w:tr>
      <w:tr>
        <w:tblPrEx>
          <w:tblCellMar>
            <w:top w:w="0" w:type="dxa"/>
            <w:left w:w="108" w:type="dxa"/>
            <w:bottom w:w="0" w:type="dxa"/>
            <w:right w:w="108" w:type="dxa"/>
          </w:tblCellMar>
        </w:tblPrEx>
        <w:trPr>
          <w:trHeight w:val="576"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140</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固件安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全启动</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支持固件安全启动功能，固件启动过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程中只有通过启动校验才能正常启动</w:t>
            </w:r>
          </w:p>
        </w:tc>
      </w:tr>
      <w:tr>
        <w:tblPrEx>
          <w:tblCellMar>
            <w:top w:w="0" w:type="dxa"/>
            <w:left w:w="108" w:type="dxa"/>
            <w:bottom w:w="0" w:type="dxa"/>
            <w:right w:w="108" w:type="dxa"/>
          </w:tblCellMar>
        </w:tblPrEx>
        <w:trPr>
          <w:trHeight w:val="735" w:hRule="atLeast"/>
        </w:trPr>
        <w:tc>
          <w:tcPr>
            <w:tcW w:w="36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141</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39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6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限用物</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质的限量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28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26572 中规定</w:t>
            </w:r>
          </w:p>
        </w:tc>
      </w:tr>
    </w:tbl>
    <w:p>
      <w:pPr>
        <w:pStyle w:val="29"/>
        <w:numPr>
          <w:ilvl w:val="0"/>
          <w:numId w:val="5"/>
        </w:numPr>
        <w:ind w:left="0" w:leftChars="0" w:firstLineChars="0"/>
        <w:rPr>
          <w:rFonts w:ascii="宋体" w:hAnsi="宋体" w:eastAsia="宋体" w:cs="宋体"/>
          <w:b/>
          <w:sz w:val="21"/>
          <w:szCs w:val="21"/>
        </w:rPr>
      </w:pPr>
      <w:r>
        <w:rPr>
          <w:rFonts w:hint="eastAsia" w:ascii="宋体" w:hAnsi="宋体" w:eastAsia="宋体" w:cs="宋体"/>
          <w:b/>
          <w:sz w:val="21"/>
          <w:szCs w:val="21"/>
        </w:rPr>
        <w:t>多媒体服务器和系统服务器</w:t>
      </w:r>
    </w:p>
    <w:p>
      <w:pPr>
        <w:pStyle w:val="29"/>
        <w:ind w:left="0" w:leftChars="0" w:firstLine="0" w:firstLineChars="0"/>
        <w:rPr>
          <w:rFonts w:ascii="宋体" w:hAnsi="宋体" w:eastAsia="宋体" w:cs="宋体"/>
          <w:b/>
          <w:sz w:val="21"/>
          <w:szCs w:val="21"/>
        </w:rPr>
      </w:pPr>
      <w:r>
        <w:rPr>
          <w:rFonts w:hint="eastAsia" w:ascii="宋体" w:hAnsi="宋体" w:eastAsia="宋体" w:cs="宋体"/>
          <w:color w:val="000000"/>
          <w:sz w:val="21"/>
          <w:szCs w:val="21"/>
        </w:rPr>
        <w:t>多媒体服务器和系统服务器技术参数不低于以下指标</w:t>
      </w:r>
    </w:p>
    <w:tbl>
      <w:tblPr>
        <w:tblStyle w:val="30"/>
        <w:tblW w:w="4997" w:type="pct"/>
        <w:tblInd w:w="0" w:type="dxa"/>
        <w:tblLayout w:type="autofit"/>
        <w:tblCellMar>
          <w:top w:w="0" w:type="dxa"/>
          <w:left w:w="108" w:type="dxa"/>
          <w:bottom w:w="0" w:type="dxa"/>
          <w:right w:w="108" w:type="dxa"/>
        </w:tblCellMar>
      </w:tblPr>
      <w:tblGrid>
        <w:gridCol w:w="789"/>
        <w:gridCol w:w="945"/>
        <w:gridCol w:w="1269"/>
        <w:gridCol w:w="948"/>
        <w:gridCol w:w="1517"/>
        <w:gridCol w:w="3474"/>
      </w:tblGrid>
      <w:tr>
        <w:tblPrEx>
          <w:tblCellMar>
            <w:top w:w="0" w:type="dxa"/>
            <w:left w:w="108" w:type="dxa"/>
            <w:bottom w:w="0" w:type="dxa"/>
            <w:right w:w="108" w:type="dxa"/>
          </w:tblCellMar>
        </w:tblPrEx>
        <w:trPr>
          <w:trHeight w:val="915"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序号</w:t>
            </w:r>
          </w:p>
        </w:tc>
        <w:tc>
          <w:tcPr>
            <w:tcW w:w="528" w:type="pc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lang w:bidi="ar"/>
              </w:rPr>
            </w:pPr>
            <w:r>
              <w:rPr>
                <w:rFonts w:hint="eastAsia" w:ascii="宋体" w:hAnsi="宋体" w:cs="宋体"/>
                <w:b/>
                <w:bCs/>
                <w:color w:val="000000"/>
                <w:sz w:val="21"/>
                <w:szCs w:val="21"/>
                <w:lang w:bidi="ar"/>
              </w:rPr>
              <w:t>重要性</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w:t>
            </w:r>
            <w:r>
              <w:rPr>
                <w:rFonts w:hint="eastAsia" w:ascii="宋体" w:hAnsi="宋体" w:cs="宋体"/>
                <w:b/>
                <w:bCs/>
                <w:color w:val="000000"/>
                <w:sz w:val="21"/>
                <w:szCs w:val="21"/>
                <w:lang w:bidi="ar"/>
              </w:rPr>
              <w:t>指标分类</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一级</w:t>
            </w:r>
            <w:r>
              <w:rPr>
                <w:rFonts w:hint="eastAsia" w:ascii="宋体" w:hAnsi="宋体" w:cs="宋体"/>
                <w:b/>
                <w:bCs/>
                <w:color w:val="000000"/>
                <w:sz w:val="21"/>
                <w:szCs w:val="21"/>
                <w:lang w:bidi="ar"/>
              </w:rPr>
              <w:br w:type="textWrapping"/>
            </w:r>
            <w:r>
              <w:rPr>
                <w:rFonts w:hint="eastAsia" w:ascii="宋体" w:hAnsi="宋体" w:cs="宋体"/>
                <w:b/>
                <w:bCs/>
                <w:color w:val="000000"/>
                <w:sz w:val="21"/>
                <w:szCs w:val="21"/>
                <w:lang w:bidi="ar"/>
              </w:rPr>
              <w:t>指标1</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二级指标</w:t>
            </w:r>
            <w:r>
              <w:rPr>
                <w:rFonts w:hint="eastAsia" w:ascii="宋体" w:hAnsi="宋体" w:cs="宋体"/>
                <w:color w:val="000000"/>
                <w:sz w:val="21"/>
                <w:szCs w:val="21"/>
                <w:lang w:bidi="ar"/>
              </w:rPr>
              <w:t xml:space="preserve"> </w:t>
            </w:r>
            <w:r>
              <w:rPr>
                <w:rFonts w:hint="eastAsia" w:ascii="宋体" w:hAnsi="宋体" w:cs="宋体"/>
                <w:b/>
                <w:bCs/>
                <w:color w:val="000000"/>
                <w:sz w:val="21"/>
                <w:szCs w:val="21"/>
                <w:lang w:bidi="ar"/>
              </w:rPr>
              <w:t>1</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b/>
                <w:bCs/>
                <w:color w:val="000000"/>
                <w:sz w:val="21"/>
                <w:szCs w:val="21"/>
                <w:lang w:bidi="ar"/>
              </w:rPr>
              <w:t>指标要求</w:t>
            </w:r>
          </w:p>
        </w:tc>
      </w:tr>
      <w:tr>
        <w:tblPrEx>
          <w:tblCellMar>
            <w:top w:w="0" w:type="dxa"/>
            <w:left w:w="108" w:type="dxa"/>
            <w:bottom w:w="0" w:type="dxa"/>
            <w:right w:w="108" w:type="dxa"/>
          </w:tblCellMar>
        </w:tblPrEx>
        <w:trPr>
          <w:trHeight w:val="13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信息</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 CPU 信息，包含 CPU 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号、物理核心数、主频、末级缓存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容量、线程数、热设计功耗及支持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 xml:space="preserve">内存的最高速率、通道数和位宽          </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 CPU 和内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存情况</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供应商给出主板支持的 CPU 和内存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的型号数量，须支持供应商提供的处理器及DDR4内存</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槽数量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非板载内存的可扩展插槽数量应不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少于 4 个</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主板存储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至少支持 SATA、SAS、M.2、U.2 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存储接口中的 1 种</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PCIe 插槽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PCIe3.0 或以上的高速串行计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算机扩展总线标准，PCIe 的接口速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率与位宽需保证向下兼容</w:t>
            </w:r>
          </w:p>
        </w:tc>
      </w:tr>
      <w:tr>
        <w:tblPrEx>
          <w:tblCellMar>
            <w:top w:w="0" w:type="dxa"/>
            <w:left w:w="108" w:type="dxa"/>
            <w:bottom w:w="0" w:type="dxa"/>
            <w:right w:w="108" w:type="dxa"/>
          </w:tblCellMar>
        </w:tblPrEx>
        <w:trPr>
          <w:trHeight w:val="231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 xml:space="preserve">  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 PCIe</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插槽数量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及规格</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高度大于44.45mm 双路或以上服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务器 PCIe 插槽或接口应不少于 5</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个；</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单路服务器 PCIe 插槽或接口应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不少于 4 个，可通过扩展卡进行插</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槽扩展</w:t>
            </w:r>
          </w:p>
        </w:tc>
      </w:tr>
      <w:tr>
        <w:tblPrEx>
          <w:tblCellMar>
            <w:top w:w="0" w:type="dxa"/>
            <w:left w:w="108" w:type="dxa"/>
            <w:bottom w:w="0" w:type="dxa"/>
            <w:right w:w="108" w:type="dxa"/>
          </w:tblCellMar>
        </w:tblPrEx>
        <w:trPr>
          <w:trHeight w:val="25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内存数量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≥4</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内存规格</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≥DDR4</w:t>
            </w:r>
          </w:p>
        </w:tc>
      </w:tr>
      <w:tr>
        <w:tblPrEx>
          <w:tblCellMar>
            <w:top w:w="0" w:type="dxa"/>
            <w:left w:w="108" w:type="dxa"/>
            <w:bottom w:w="0" w:type="dxa"/>
            <w:right w:w="108" w:type="dxa"/>
          </w:tblCellMar>
        </w:tblPrEx>
        <w:trPr>
          <w:trHeight w:val="121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内存通道</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支持多个内存接口通道，每个通道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可支持 1DPC 或 2DPC，当支持 2DPC</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时，印制电路板上应具备插槽的序</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号标识，具体通道数应在随机文件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中明确</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内存容量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≥64GB</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硬盘类型</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供应商给出服务器支持硬磁盘和固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态盘类型及规格</w:t>
            </w:r>
          </w:p>
        </w:tc>
      </w:tr>
      <w:tr>
        <w:tblPrEx>
          <w:tblCellMar>
            <w:top w:w="0" w:type="dxa"/>
            <w:left w:w="108" w:type="dxa"/>
            <w:bottom w:w="0" w:type="dxa"/>
            <w:right w:w="108" w:type="dxa"/>
          </w:tblCellMar>
        </w:tblPrEx>
        <w:trPr>
          <w:trHeight w:val="16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硬磁盘实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配容量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服务器产品至少要配备一款存储设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备且总容量不低于 4TB</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a)若配备硬磁盘，服务器提供的实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配硬磁盘可用容量应不小于 600GB</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b)若配备固态盘，实配固态盘单盘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可用容量不小于 480GB，NVMe SSD</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容量不小于 960GB</w:t>
            </w:r>
          </w:p>
        </w:tc>
      </w:tr>
      <w:tr>
        <w:tblPrEx>
          <w:tblCellMar>
            <w:top w:w="0" w:type="dxa"/>
            <w:left w:w="108" w:type="dxa"/>
            <w:bottom w:w="0" w:type="dxa"/>
            <w:right w:w="108" w:type="dxa"/>
          </w:tblCellMar>
        </w:tblPrEx>
        <w:trPr>
          <w:trHeight w:val="121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硬盘实配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a)若配备硬磁盘，服务器提供的实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配硬磁盘数量应不小于 2 块，可实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现互为备份；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b)若配备固态盘，实配盘数应不小于 1 块</w:t>
            </w:r>
          </w:p>
        </w:tc>
      </w:tr>
      <w:tr>
        <w:tblPrEx>
          <w:tblCellMar>
            <w:top w:w="0" w:type="dxa"/>
            <w:left w:w="108" w:type="dxa"/>
            <w:bottom w:w="0" w:type="dxa"/>
            <w:right w:w="108" w:type="dxa"/>
          </w:tblCellMar>
        </w:tblPrEx>
        <w:trPr>
          <w:trHeight w:val="19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硬盘插槽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数量及规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格</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供应商应给出配置的硬盘尺寸，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如 2.5 英寸、3.5 英寸硬磁盘；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机箱高度为 88.9mm 的服务器可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支持的硬盘数量应不少于 8 块，机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箱高度为 44.45mm 的服务器可支持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的硬盘数量应不少于 4 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可支持硬盘数量应不少于 4 块</w:t>
            </w:r>
          </w:p>
        </w:tc>
      </w:tr>
      <w:tr>
        <w:tblPrEx>
          <w:tblCellMar>
            <w:top w:w="0" w:type="dxa"/>
            <w:left w:w="108" w:type="dxa"/>
            <w:bottom w:w="0" w:type="dxa"/>
            <w:right w:w="108" w:type="dxa"/>
          </w:tblCellMar>
        </w:tblPrEx>
        <w:trPr>
          <w:trHeight w:val="16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网口速率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和数量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配备网口数量不少于 1 个，且网口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速率不少于 1GE</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外部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显示接口</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显示接口类型应不少于 1 种，如：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VGA、DP、HDMI 等</w:t>
            </w:r>
          </w:p>
        </w:tc>
      </w:tr>
      <w:tr>
        <w:tblPrEx>
          <w:tblCellMar>
            <w:top w:w="0" w:type="dxa"/>
            <w:left w:w="108" w:type="dxa"/>
            <w:bottom w:w="0" w:type="dxa"/>
            <w:right w:w="108" w:type="dxa"/>
          </w:tblCellMar>
        </w:tblPrEx>
        <w:trPr>
          <w:trHeight w:val="733"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USB 接口</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配备 USB 接口，如 USB2.0、USB3.0</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电源模块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w:t>
            </w:r>
          </w:p>
        </w:tc>
      </w:tr>
      <w:tr>
        <w:tblPrEx>
          <w:tblCellMar>
            <w:top w:w="0" w:type="dxa"/>
            <w:left w:w="108" w:type="dxa"/>
            <w:bottom w:w="0" w:type="dxa"/>
            <w:right w:w="108" w:type="dxa"/>
          </w:tblCellMar>
        </w:tblPrEx>
        <w:trPr>
          <w:trHeight w:val="16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电源功率</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电源模块功率应有一定冗余，满足</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处理器满载时的需求</w:t>
            </w:r>
          </w:p>
        </w:tc>
      </w:tr>
      <w:tr>
        <w:tblPrEx>
          <w:tblCellMar>
            <w:top w:w="0" w:type="dxa"/>
            <w:left w:w="108" w:type="dxa"/>
            <w:bottom w:w="0" w:type="dxa"/>
            <w:right w:w="108" w:type="dxa"/>
          </w:tblCellMar>
        </w:tblPrEx>
        <w:trPr>
          <w:trHeight w:val="524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外观和结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构</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textAlignment w:val="center"/>
              <w:rPr>
                <w:rFonts w:ascii="宋体" w:hAnsi="宋体" w:cs="宋体"/>
                <w:color w:val="000000"/>
                <w:sz w:val="21"/>
                <w:szCs w:val="21"/>
                <w:lang w:bidi="ar"/>
              </w:rPr>
            </w:pPr>
            <w:r>
              <w:rPr>
                <w:rFonts w:hint="eastAsia" w:ascii="宋体" w:hAnsi="宋体" w:cs="宋体"/>
                <w:color w:val="000000"/>
                <w:sz w:val="21"/>
                <w:szCs w:val="21"/>
                <w:lang w:bidi="ar"/>
              </w:rPr>
              <w:t>服务器的零部件应紧固无松动，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可插拔部件应可靠连接，开关、按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钮和其它控制部件应灵活可靠，布</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局应方便使用；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产品表面不应有明显的凹痕、划</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伤、裂缝、变形和污染等。表面涂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层均匀，不应起泡、龟裂、脱落和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磨损，金属零部件无锈蚀及其它机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械损伤；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产品表面说明功能的文字、符号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和标志应清晰、端正且牢固；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 应在服务器的显著位置提供运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行状态的指示功能，并在随机文件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中明确具体含义；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e) 机架、机箱的尺寸应符合通用机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柜的安装要求，插入总线插座的电</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路板接口外形尺寸应符合有关总线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标准的规定，将机箱固定在机柜上，</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机箱底面最大下垂变形不得干涉相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邻机体；</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f) 高密度服务器应给出 CPU 个数与机柜高度；</w:t>
            </w:r>
          </w:p>
          <w:p>
            <w:pPr>
              <w:pStyle w:val="29"/>
              <w:ind w:left="0" w:leftChars="0" w:firstLine="0" w:firstLineChars="0"/>
              <w:rPr>
                <w:rFonts w:ascii="宋体" w:hAnsi="宋体" w:eastAsia="宋体" w:cs="宋体"/>
                <w:sz w:val="21"/>
                <w:szCs w:val="21"/>
              </w:rPr>
            </w:pPr>
            <w:r>
              <w:rPr>
                <w:rFonts w:hint="eastAsia" w:ascii="宋体" w:hAnsi="宋体" w:eastAsia="宋体" w:cs="宋体"/>
                <w:color w:val="000000"/>
                <w:kern w:val="0"/>
                <w:sz w:val="21"/>
                <w:szCs w:val="21"/>
                <w:lang w:bidi="ar"/>
              </w:rPr>
              <w:t>g) 服务器尺寸具体要求在随机文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件中明确</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restart"/>
            <w:tcBorders>
              <w:top w:val="single" w:color="000000" w:sz="4" w:space="0"/>
              <w:left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尺寸（高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×宽×深）</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供应商给出产品尺寸；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设计应遵循标准化、系列化的要求；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机箱的内部结构符合通用部件的安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装需要</w:t>
            </w:r>
          </w:p>
        </w:tc>
      </w:tr>
      <w:tr>
        <w:tblPrEx>
          <w:tblCellMar>
            <w:top w:w="0" w:type="dxa"/>
            <w:left w:w="108" w:type="dxa"/>
            <w:bottom w:w="0" w:type="dxa"/>
            <w:right w:w="108" w:type="dxa"/>
          </w:tblCellMar>
        </w:tblPrEx>
        <w:trPr>
          <w:trHeight w:val="145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环境适应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气候环境适应性应符合 GB/T</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9813.3 的有关规定，工作温度 10~</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35℃ , 贮存运输温度-40～55℃ ; 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作相对湿度 35%～80%，贮存运输相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对湿度 20％～93%（40℃) ; 大气压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86～106kPa</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机械环境</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适应性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机械环境适应性应符合 GB/T</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9813.3 的有关规定</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噪声</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9813.3 的有关规定，在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产品说明中给出具体测试值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塔式服务器噪声在空闲状态下不大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 50dB</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产品规格</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机柜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规格</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机柜尺寸</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供应商给出长度、高度和深度</w:t>
            </w:r>
          </w:p>
        </w:tc>
      </w:tr>
      <w:tr>
        <w:tblPrEx>
          <w:tblCellMar>
            <w:top w:w="0" w:type="dxa"/>
            <w:left w:w="108" w:type="dxa"/>
            <w:bottom w:w="0" w:type="dxa"/>
            <w:right w:w="108" w:type="dxa"/>
          </w:tblCellMar>
        </w:tblPrEx>
        <w:trPr>
          <w:trHeight w:val="19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主板外部    接口种类</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USB、显示、管理等接口，如：VGA、DP、HDMI、USB3.0、PS/2 接口、BMC 管理端口</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网络功能</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支持网络连接、网络访问、数据交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换和网络管控功能</w:t>
            </w:r>
          </w:p>
        </w:tc>
      </w:tr>
      <w:tr>
        <w:tblPrEx>
          <w:tblCellMar>
            <w:top w:w="0" w:type="dxa"/>
            <w:left w:w="108" w:type="dxa"/>
            <w:bottom w:w="0" w:type="dxa"/>
            <w:right w:w="108" w:type="dxa"/>
          </w:tblCellMar>
        </w:tblPrEx>
        <w:trPr>
          <w:trHeight w:val="145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计算处理</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支持通用计算及虚拟化功能。处理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器需集成整型计算单元、浮点计算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单元、内存控制器、I/O 模块等，处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理器与存储部件、网络部件、I/O</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部件等组成计算系统，提供数据处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理、网络接入等计算相关功能</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密码算法</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 xml:space="preserve">   实现</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芯片应符合 GM/T 0008 的相关规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定，或芯片密码模块应符合 GB/T</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37092 或 GM/T 0028 的相关规定</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电源热插</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拔</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整机电源模块应具备热插拔功能</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电源过流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保护</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支持过流及短路保护的功能</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散热方式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支持风冷或液冷等散热方式</w:t>
            </w:r>
          </w:p>
        </w:tc>
      </w:tr>
      <w:tr>
        <w:tblPrEx>
          <w:tblCellMar>
            <w:top w:w="0" w:type="dxa"/>
            <w:left w:w="108" w:type="dxa"/>
            <w:bottom w:w="0" w:type="dxa"/>
            <w:right w:w="108" w:type="dxa"/>
          </w:tblCellMar>
        </w:tblPrEx>
        <w:trPr>
          <w:trHeight w:val="71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管理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BMC 固件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基础功能</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 支持 DHCP 设置网络功能；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2)支持静态 IP 设置网络功能；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3)支持设备日志记录，包括但不限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于登录日志、操作日志和报警日志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4)支持日志信息导出和记录删除功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5)支持通过管理接口向外输出准确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的报警信息功能；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6)设备的 BMC 管理软件应能够按报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警的严重程度进行区分；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7)支持 IPMI2.0、SNMP 或 Redfish</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等接口功能；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8)支持键盘、鼠标和视频的重定向、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文本控制台的重定向、远程虚拟媒</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体、高可靠的硬件监控和管理功能；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9)支持基于网络开启、关闭和重启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设备的功能，并查询当前设备开机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运行状态；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10)支持故障提示功能，并可通过接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口读取服务器故障信息；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11)支持基于网络的固件更新功能，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包括 BMC 和 BIOS 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12)支持基于网络安装操作系统的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功能，并可通过网络控制台访问设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13)支持通过本地的硬盘或光驱等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存储设备，基于网络完成设备的操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作系统安装功能；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14)支持通过浏览器打开管理界面</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并登录功能；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15)支持设置口令策略功能；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16)支持访问权限设置功能，并通过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日志记录访问事件；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17)支持对出厂默认的用户名及口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令进行安全保护功能，并提供默认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口令修改提示；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18)支持读取设备主板的工作环境</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温度功能；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19)支持读取服务器 CPU 等核心器件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的温度功能；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20)支持通过外部管理工具进行 BMC参数设置的功能，并可基于网络通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过外部管理工具对 BMC 进行管理；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21)应支持固件版本查询、固件升级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22)支持基于网络实现开关机和复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位控制的功能；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23)BMC 启动时间应不超过 180s，实</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现功能包括网络、IPMI、散热、传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感器服务可用；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24)支持 BMC 固件设置的恢复出厂功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r>
      <w:tr>
        <w:tblPrEx>
          <w:tblCellMar>
            <w:top w:w="0" w:type="dxa"/>
            <w:left w:w="108" w:type="dxa"/>
            <w:bottom w:w="0" w:type="dxa"/>
            <w:right w:w="108" w:type="dxa"/>
          </w:tblCellMar>
        </w:tblPrEx>
        <w:trPr>
          <w:trHeight w:val="624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BIOS 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件基础功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a）支持查看固件版本、内存信息、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主板信息、处理器信息和系统时间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信息功能；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b）支持上电初始化界面显示 CPU 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息、内存信息、固件版本和部分快</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捷键信息功能；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c）支持设置界面中英文显示切换功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d）支持查看 PCIe 设备信息，SATA</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设备信息功能；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e）支持操作系统安装和引导功能，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应并向操作系统提供计算机主板信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息和服务接口；</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f）支持设置启动顺序，并按照设置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的启动顺序启动功能；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g）支持安全启动功能；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h）支持设置口令、修改口令、验证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口令功能；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i）支持板载显示控制或独立显卡的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显示控制功能；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j）支持 RAID 识别和启动功能；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k）支持串口重定向功能；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l）支持固件更新功能；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m）支持 BIOS 固件设置的恢复出厂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n）支持网络引导启用和关闭功能</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远程控制</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支持远程关机和重新启动功能</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6"/>
                <w:rFonts w:ascii="宋体" w:hAnsi="宋体" w:cs="宋体"/>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color w:val="000000"/>
                <w:sz w:val="21"/>
                <w:szCs w:val="21"/>
              </w:rPr>
            </w:pPr>
            <w:r>
              <w:rPr>
                <w:rStyle w:val="116"/>
                <w:rFonts w:hint="eastAsia" w:ascii="宋体" w:hAnsi="宋体" w:cs="宋体"/>
                <w:sz w:val="21"/>
                <w:szCs w:val="21"/>
                <w:lang w:bidi="ar"/>
              </w:rPr>
              <w:br w:type="textWrapping"/>
            </w:r>
            <w:r>
              <w:rPr>
                <w:rFonts w:hint="eastAsia" w:ascii="宋体" w:hAnsi="宋体" w:cs="宋体"/>
                <w:color w:val="000000"/>
                <w:sz w:val="21"/>
                <w:szCs w:val="21"/>
                <w:lang w:bidi="ar"/>
              </w:rPr>
              <w:t>功能要求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操作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及驱</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动功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操作系统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及驱动的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升级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支持通过网络、闪存盘对操作系统、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驱动进行升级</w:t>
            </w:r>
          </w:p>
        </w:tc>
      </w:tr>
      <w:tr>
        <w:tblPrEx>
          <w:tblCellMar>
            <w:top w:w="0" w:type="dxa"/>
            <w:left w:w="108" w:type="dxa"/>
            <w:bottom w:w="0" w:type="dxa"/>
            <w:right w:w="108" w:type="dxa"/>
          </w:tblCellMar>
        </w:tblPrEx>
        <w:trPr>
          <w:trHeight w:val="973"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操作系统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支持访问控制、安全审计、网络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接入鉴别等功能；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操作系统其他功能应满足操作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系统政府采购需求标准中加的指标要求</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功能要求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中文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处理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中文信息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处理</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 18030 的有关规定</w:t>
            </w:r>
          </w:p>
        </w:tc>
      </w:tr>
      <w:tr>
        <w:tblPrEx>
          <w:tblCellMar>
            <w:top w:w="0" w:type="dxa"/>
            <w:left w:w="108" w:type="dxa"/>
            <w:bottom w:w="0" w:type="dxa"/>
            <w:right w:w="108" w:type="dxa"/>
          </w:tblCellMar>
        </w:tblPrEx>
        <w:trPr>
          <w:trHeight w:val="16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关键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部件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关键部件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安全要求</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和操作系统等关键部件应当符</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合安全可靠测评要求</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固件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安全要求</w:t>
            </w:r>
            <w:r>
              <w:rPr>
                <w:rFonts w:hint="eastAsia" w:ascii="宋体" w:hAnsi="宋体" w:cs="宋体"/>
                <w:color w:val="000000"/>
                <w:sz w:val="21"/>
                <w:szCs w:val="21"/>
                <w:lang w:bidi="ar"/>
              </w:rPr>
              <w:br w:type="textWrapping"/>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故障检测</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支持故障检测功能，可以检测到具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体的 FRU（内存、硬盘等）的故障并发出告警</w:t>
            </w:r>
            <w:r>
              <w:rPr>
                <w:rFonts w:hint="eastAsia" w:ascii="宋体" w:hAnsi="宋体" w:cs="宋体"/>
                <w:color w:val="000000"/>
                <w:sz w:val="21"/>
                <w:szCs w:val="21"/>
                <w:lang w:bidi="ar"/>
              </w:rPr>
              <w:br w:type="textWrapping"/>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内存故障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智能预测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和自愈修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复</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支持内存故障智能预测和自愈修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复，提前自动硬隔离，避免内存故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障引起的非预期宕机以及内存寿命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的降低</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硬盘故障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智能预测</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支持硬盘故障智能预测，基于故障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模型预测出硬盘的故障</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PCIe 链路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故障智能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诊断</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PCIe 链路故障智能诊断，判断</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出现故障的 PCIe 链路</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内存故障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隔离</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支持内存故障隔离，在内存产生 CE</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故障时，内存地址被隔离成功，服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务器正常运行，业务系统不中断</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内存、PCIe</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卡的故障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精准告警</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支持内存、PCIe 卡的故障精准告警</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功能，触发告警并明确指示具体的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故障位置</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异常下电</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关键数据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保护</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支持异常下电关键数据保护，支持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数据备份恢复机制，防止系统异常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掉电导致的数据文件丢失</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BMC/BIOS</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固件双镜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像保护</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BMC/BIOS 固件双镜像保护，运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行异常时自动切换到备份镜像运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行，提升系统稳定性</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核重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启隔离</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 CPU 核发生不可纠正故障后，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重启后由 BIOS 隔离该故障核，OS</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不可见，防止 OS 再次使用导致系统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异常，核 0 除外</w:t>
            </w:r>
          </w:p>
        </w:tc>
      </w:tr>
      <w:tr>
        <w:tblPrEx>
          <w:tblCellMar>
            <w:top w:w="0" w:type="dxa"/>
            <w:left w:w="108" w:type="dxa"/>
            <w:bottom w:w="0" w:type="dxa"/>
            <w:right w:w="108" w:type="dxa"/>
          </w:tblCellMar>
        </w:tblPrEx>
        <w:trPr>
          <w:trHeight w:val="5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内存地址隔离</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在硬件支持的情况下，支持故障内存地址重启后隔离</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restart"/>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阵列替换</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在硬件支持的情况下，支持故障内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存存储阵列替换</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安全启动</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支持执行环境要求在整个系统启动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的过程中，系统应提供一个机制来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保护平台的完整性</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syslog 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向鉴别</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支持系统日志双向鉴别，对服务器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根证书和客户端根证书进行鉴别</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弱口令字</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典检查</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支持弱口令字典检查功能，出现在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弱口令字典中的字符串不能被设置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为用户口令</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白名单访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问控制</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支持基于时间、IP 或 MAC 白名单访</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问控制</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双因素鉴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别</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支持使用客户端证书和证书密码的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双因素鉴别方式登录管理系统</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二次鉴别</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支持二次鉴别功能。对于用户配置、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权限配置、公钥导入等重要的管理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操作，已登录用户应通过二次鉴别</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后，才能执行操作</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匿名化用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户告警接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收邮箱</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支持带外管理系统中的用户告警接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收邮箱进行匿名化处理</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密码证书</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安全加密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存储</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支持对带外管理系统中的用户口令</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和证书等敏感信息进行加密存储，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禁止使用私有的和业界已知不安全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的密码算法</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敏感信息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安全加密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传输</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支持使用安全的传输加密协议（如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SSH 或 HTTPS 等）传输用户的敏感信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息</w:t>
            </w:r>
          </w:p>
        </w:tc>
      </w:tr>
      <w:tr>
        <w:tblPrEx>
          <w:tblCellMar>
            <w:top w:w="0" w:type="dxa"/>
            <w:left w:w="108" w:type="dxa"/>
            <w:bottom w:w="0" w:type="dxa"/>
            <w:right w:w="108" w:type="dxa"/>
          </w:tblCellMar>
        </w:tblPrEx>
        <w:trPr>
          <w:trHeight w:val="145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信息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研发过程</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供应商承诺，生产商已建立从需求、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设计、开发、测试、维护端到端的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开发流程管理机制，输出和保存开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发流程中每个阶段的产品需求清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单、设计文档、开发文档、测试记</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录等材料，保证各个流程可追溯</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漏洞管理</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供应商承诺，生产商已建立漏洞全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量视图，保证产品版本涉及到的所</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有漏洞(如驱动程序、BMC 软件等)</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都可以查看</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网络关键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设备服务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器要求</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作为网络关键设备的服务器应符合</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GB 40050 的相关规定</w:t>
            </w:r>
          </w:p>
        </w:tc>
      </w:tr>
      <w:tr>
        <w:tblPrEx>
          <w:tblCellMar>
            <w:top w:w="0" w:type="dxa"/>
            <w:left w:w="108" w:type="dxa"/>
            <w:bottom w:w="0" w:type="dxa"/>
            <w:right w:w="108" w:type="dxa"/>
          </w:tblCellMar>
        </w:tblPrEx>
        <w:trPr>
          <w:trHeight w:val="1693"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增强要求</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textAlignment w:val="center"/>
              <w:rPr>
                <w:rFonts w:ascii="宋体" w:hAnsi="宋体" w:cs="宋体"/>
                <w:color w:val="000000"/>
                <w:sz w:val="21"/>
                <w:szCs w:val="21"/>
                <w:lang w:bidi="ar"/>
              </w:rPr>
            </w:pPr>
            <w:r>
              <w:rPr>
                <w:rFonts w:hint="eastAsia" w:ascii="宋体" w:hAnsi="宋体" w:cs="宋体"/>
                <w:color w:val="000000"/>
                <w:sz w:val="21"/>
                <w:szCs w:val="21"/>
                <w:lang w:bidi="ar"/>
              </w:rPr>
              <w:t>嵌入物理可信根，实现设备的信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任链构建；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支持可信平台控制模块(TPCM)；</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支持在固件系统（BMC、BIOS）</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启动前实现对固件度量的功能，支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持物理可信根对 BMC 固件或 BIOS 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件进行完整性检测、更新和恢复；</w:t>
            </w:r>
          </w:p>
          <w:p>
            <w:pPr>
              <w:widowControl/>
              <w:textAlignment w:val="center"/>
              <w:rPr>
                <w:rFonts w:ascii="宋体" w:hAnsi="宋体" w:cs="宋体"/>
                <w:color w:val="000000"/>
                <w:sz w:val="21"/>
                <w:szCs w:val="21"/>
              </w:rPr>
            </w:pPr>
            <w:r>
              <w:rPr>
                <w:rFonts w:hint="eastAsia" w:ascii="宋体" w:hAnsi="宋体" w:cs="宋体"/>
                <w:color w:val="000000"/>
                <w:sz w:val="21"/>
                <w:szCs w:val="21"/>
                <w:lang w:bidi="ar"/>
              </w:rPr>
              <w:t>d) 支持对 CPU、网络控制器等关键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处理器进行身份识别与度量的功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e) 支持基于处理器或可信计算模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块度量的功能；</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f) 所采用的可信密码模块接口应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符合 GM/T 0012 的相关规定；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g) 可信安全管理模块、处理器等硬</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件载体应通过国家相关部门的认证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和许可</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物理</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安全</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物理安全</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安全要求应符合 GB 4943.1 的规定</w:t>
            </w:r>
          </w:p>
        </w:tc>
      </w:tr>
      <w:tr>
        <w:tblPrEx>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安全要求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限用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物质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限用物质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的限量要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限用物质的限量应符合 GB/T 26572</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的要求</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CPU</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CPU 主频</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≥2.5GHzCPU</w:t>
            </w:r>
          </w:p>
        </w:tc>
      </w:tr>
      <w:tr>
        <w:tblPrEx>
          <w:tblCellMar>
            <w:top w:w="0" w:type="dxa"/>
            <w:left w:w="108" w:type="dxa"/>
            <w:bottom w:w="0" w:type="dxa"/>
            <w:right w:w="108" w:type="dxa"/>
          </w:tblCellMar>
        </w:tblPrEx>
        <w:trPr>
          <w:trHeight w:val="7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单 CPU 核</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数</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≥8</w:t>
            </w:r>
          </w:p>
        </w:tc>
      </w:tr>
      <w:tr>
        <w:tblPrEx>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vMerge w:val="continue"/>
            <w:tcBorders>
              <w:left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单 CPU 末</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级缓存容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≥18MB</w:t>
            </w:r>
          </w:p>
        </w:tc>
      </w:tr>
      <w:tr>
        <w:tblPrEx>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性能要求</w:t>
            </w:r>
          </w:p>
        </w:tc>
        <w:tc>
          <w:tcPr>
            <w:tcW w:w="53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线程数</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lang w:bidi="ar"/>
              </w:rPr>
            </w:pPr>
            <w:r>
              <w:rPr>
                <w:rFonts w:hint="eastAsia" w:ascii="宋体" w:hAnsi="宋体" w:cs="宋体"/>
                <w:color w:val="000000"/>
                <w:sz w:val="21"/>
                <w:szCs w:val="21"/>
                <w:lang w:bidi="ar"/>
              </w:rPr>
              <w:t>≥16</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内存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性能</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单内存模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块容量</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≥16GB</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内存速率</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≥2666MT/s</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性能要求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电源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能耗</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电源能耗</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9813.3 的有关规定</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部件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内存兼容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适配 3 种及以上厂商的内存产品，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且均不低于产品支持的内存规格</w:t>
            </w:r>
          </w:p>
        </w:tc>
      </w:tr>
      <w:tr>
        <w:tblPrEx>
          <w:tblCellMar>
            <w:top w:w="0" w:type="dxa"/>
            <w:left w:w="108" w:type="dxa"/>
            <w:bottom w:w="0" w:type="dxa"/>
            <w:right w:w="108" w:type="dxa"/>
          </w:tblCellMar>
        </w:tblPrEx>
        <w:trPr>
          <w:trHeight w:val="7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固态存储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适配 3 种或以上厂商的固态存储产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品，且均不低于产品支持的固态存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储设备规格</w:t>
            </w:r>
          </w:p>
        </w:tc>
      </w:tr>
      <w:tr>
        <w:tblPrEx>
          <w:tblCellMar>
            <w:top w:w="0" w:type="dxa"/>
            <w:left w:w="108" w:type="dxa"/>
            <w:bottom w:w="0" w:type="dxa"/>
            <w:right w:w="108" w:type="dxa"/>
          </w:tblCellMar>
        </w:tblPrEx>
        <w:trPr>
          <w:trHeight w:val="253"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网卡兼容性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网卡应适配两种或以上厂商产品</w:t>
            </w:r>
          </w:p>
        </w:tc>
      </w:tr>
      <w:tr>
        <w:tblPrEx>
          <w:tblCellMar>
            <w:top w:w="0" w:type="dxa"/>
            <w:left w:w="108" w:type="dxa"/>
            <w:bottom w:w="0" w:type="dxa"/>
            <w:right w:w="108" w:type="dxa"/>
          </w:tblCellMar>
        </w:tblPrEx>
        <w:trPr>
          <w:trHeight w:val="7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功能卡兼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内置或适配符合 PCIe 的功能卡，如：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网络功能卡、存储功能卡及图形显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示功能卡</w:t>
            </w:r>
          </w:p>
        </w:tc>
      </w:tr>
      <w:tr>
        <w:tblPrEx>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外设</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外设兼容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兼容多种主流生产商的外部设备，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包括显示器、键盘、鼠标、闪存盘、</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移动硬盘、USB 光驱及 KVM 等，要求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使用不同厂商的外部设备时，系统</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均能正常识别和安装驱动</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软件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数据库兼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个及以上厂商的数据库产品</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中间件兼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容</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个及以上厂商的中间件产品</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平台软件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兼容</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3 个及以上厂商的大数据平台</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虚拟化软</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件兼容</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兼容 2 款及以上虚拟化软件</w:t>
            </w:r>
          </w:p>
        </w:tc>
      </w:tr>
      <w:tr>
        <w:tblPrEx>
          <w:tblCellMar>
            <w:top w:w="0" w:type="dxa"/>
            <w:left w:w="108" w:type="dxa"/>
            <w:bottom w:w="0" w:type="dxa"/>
            <w:right w:w="108" w:type="dxa"/>
          </w:tblCellMar>
        </w:tblPrEx>
        <w:trPr>
          <w:trHeight w:val="73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整机</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整机可靠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m1 值（MTBF 的不可接受值）不得低</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于 30000h</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风扇可靠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风扇寿命应不低于 40000h</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可靠性要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部件可靠</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支持硬盘、电源、风扇热插拔(内置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风扇除外)</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包装及运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输要求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包装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及运</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输要</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标志、包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装、运输和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贮存</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符合 GB/T 9813.3 和商品包装政府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采购需求标准的相关规定</w:t>
            </w:r>
          </w:p>
        </w:tc>
      </w:tr>
      <w:tr>
        <w:tblPrEx>
          <w:tblCellMar>
            <w:top w:w="0" w:type="dxa"/>
            <w:left w:w="108" w:type="dxa"/>
            <w:bottom w:w="0" w:type="dxa"/>
            <w:right w:w="108" w:type="dxa"/>
          </w:tblCellMar>
        </w:tblPrEx>
        <w:trPr>
          <w:trHeight w:val="265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86</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响应</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服务响应</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提供电话、电子邮件、远程连接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等多种形式服务；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提供同城 4h、异地 12h 技术响应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服务，2 个工作日解决问题，对于未</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能解决的问题和故障应提供可行的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升级方案，并提供周转设备；</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建立全国技术服务体系和服务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团体，符合专业服务体系标准要求，</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提供原厂中文服务；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 服务周期内提供产品的维修、换</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件和升级服务</w:t>
            </w:r>
          </w:p>
        </w:tc>
      </w:tr>
      <w:tr>
        <w:tblPrEx>
          <w:tblCellMar>
            <w:top w:w="0" w:type="dxa"/>
            <w:left w:w="108" w:type="dxa"/>
            <w:bottom w:w="0" w:type="dxa"/>
            <w:right w:w="108" w:type="dxa"/>
          </w:tblCellMar>
        </w:tblPrEx>
        <w:trPr>
          <w:trHeight w:val="49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87</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培训服务</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供应商提供培训材料、产品手册、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培训视频等培训相关内容</w:t>
            </w:r>
          </w:p>
        </w:tc>
      </w:tr>
      <w:tr>
        <w:tblPrEx>
          <w:tblCellMar>
            <w:top w:w="0" w:type="dxa"/>
            <w:left w:w="108" w:type="dxa"/>
            <w:bottom w:w="0" w:type="dxa"/>
            <w:right w:w="108" w:type="dxa"/>
          </w:tblCellMar>
        </w:tblPrEx>
        <w:trPr>
          <w:trHeight w:val="2173"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88</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周期</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服务周期</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a) 产品服务周期（含换件和维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修）应不小于 3 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b) 设备停产后继续提供质量保障</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服务（含备品备件），服务终止时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间与最后一批设备交付时间间隔不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低于 6 年；</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c) 产品停止服务时间应提前 1 年告知客户；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d) 产品发布日期需在随机文件中明确</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89</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工具</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要求</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工具要求</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供应商提供设置服务器硬件、辅助</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操作系统安装等功能的辅助工具和</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管理软件。且随附软件应具有合法</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授权或版权</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90</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驱动安装</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升级指引</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供应商提供出厂安装的配件所需的</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驱动程序，形式包括但不限于驱动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光盘、驱动下载链接等。其他配件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应提供指引</w:t>
            </w:r>
          </w:p>
        </w:tc>
      </w:tr>
      <w:tr>
        <w:tblPrEx>
          <w:tblCellMar>
            <w:top w:w="0" w:type="dxa"/>
            <w:left w:w="108" w:type="dxa"/>
            <w:bottom w:w="0" w:type="dxa"/>
            <w:right w:w="108" w:type="dxa"/>
          </w:tblCellMar>
        </w:tblPrEx>
        <w:trPr>
          <w:trHeight w:val="72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91</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管理软件</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具备资源管理、系统管理、性能监</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控、健康监控、基于网络控制、报</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警设置功能</w:t>
            </w:r>
          </w:p>
        </w:tc>
      </w:tr>
      <w:tr>
        <w:tblPrEx>
          <w:tblCellMar>
            <w:top w:w="0" w:type="dxa"/>
            <w:left w:w="108" w:type="dxa"/>
            <w:bottom w:w="0" w:type="dxa"/>
            <w:right w:w="108" w:type="dxa"/>
          </w:tblCellMar>
        </w:tblPrEx>
        <w:trPr>
          <w:trHeight w:val="96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92</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增值</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服务</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厂家升级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产品软件</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与扩容服</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务</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供应商提供原厂级的部件/软件产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品升级和扩容能力</w:t>
            </w:r>
          </w:p>
        </w:tc>
      </w:tr>
      <w:tr>
        <w:tblPrEx>
          <w:tblCellMar>
            <w:top w:w="0" w:type="dxa"/>
            <w:left w:w="108" w:type="dxa"/>
            <w:bottom w:w="0" w:type="dxa"/>
            <w:right w:w="108" w:type="dxa"/>
          </w:tblCellMar>
        </w:tblPrEx>
        <w:trPr>
          <w:trHeight w:val="48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93</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服务要求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提供上门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服务</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供应商具备提供上门服务的能力</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(可收费)</w:t>
            </w:r>
          </w:p>
        </w:tc>
      </w:tr>
      <w:tr>
        <w:tblPrEx>
          <w:tblCellMar>
            <w:top w:w="0" w:type="dxa"/>
            <w:left w:w="108" w:type="dxa"/>
            <w:bottom w:w="0" w:type="dxa"/>
            <w:right w:w="108" w:type="dxa"/>
          </w:tblCellMar>
        </w:tblPrEx>
        <w:trPr>
          <w:trHeight w:val="970"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94</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供保要求</w:t>
            </w:r>
          </w:p>
        </w:tc>
        <w:tc>
          <w:tcPr>
            <w:tcW w:w="5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供应</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链质</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量</w:t>
            </w: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抗干扰性</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当产品部件出现供应风险时，应通</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知客户并提供风险应对方案确保产</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品的服务保障，必要时应停止相关</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受影响产品的销售</w:t>
            </w:r>
          </w:p>
        </w:tc>
      </w:tr>
      <w:tr>
        <w:tblPrEx>
          <w:tblCellMar>
            <w:top w:w="0" w:type="dxa"/>
            <w:left w:w="108" w:type="dxa"/>
            <w:bottom w:w="0" w:type="dxa"/>
            <w:right w:w="108" w:type="dxa"/>
          </w:tblCellMar>
        </w:tblPrEx>
        <w:trPr>
          <w:trHeight w:val="735"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95</w:t>
            </w:r>
          </w:p>
        </w:tc>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供保要求</w:t>
            </w:r>
          </w:p>
        </w:tc>
        <w:tc>
          <w:tcPr>
            <w:tcW w:w="5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rPr>
            </w:pPr>
          </w:p>
        </w:tc>
        <w:tc>
          <w:tcPr>
            <w:tcW w:w="84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供应能力</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证明</w:t>
            </w:r>
          </w:p>
        </w:tc>
        <w:tc>
          <w:tcPr>
            <w:tcW w:w="194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供应商提供供应链稳定承诺书，确</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保产品的部件在产品服务周期内稳</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定供货</w:t>
            </w:r>
          </w:p>
        </w:tc>
      </w:tr>
    </w:tbl>
    <w:p>
      <w:pPr>
        <w:pStyle w:val="29"/>
        <w:ind w:left="0" w:leftChars="0" w:firstLineChars="0"/>
        <w:rPr>
          <w:rFonts w:ascii="宋体" w:hAnsi="宋体" w:eastAsia="宋体" w:cs="宋体"/>
          <w:b/>
          <w:sz w:val="21"/>
          <w:szCs w:val="21"/>
        </w:rPr>
      </w:pPr>
      <w:r>
        <w:rPr>
          <w:rFonts w:hint="eastAsia" w:ascii="宋体" w:hAnsi="宋体" w:eastAsia="宋体" w:cs="宋体"/>
          <w:b/>
          <w:sz w:val="21"/>
          <w:szCs w:val="21"/>
        </w:rPr>
        <w:t>4、其余产品技术要求</w:t>
      </w:r>
    </w:p>
    <w:tbl>
      <w:tblPr>
        <w:tblStyle w:val="30"/>
        <w:tblW w:w="4999" w:type="pct"/>
        <w:tblInd w:w="0" w:type="dxa"/>
        <w:tblLayout w:type="autofit"/>
        <w:tblCellMar>
          <w:top w:w="0" w:type="dxa"/>
          <w:left w:w="108" w:type="dxa"/>
          <w:bottom w:w="0" w:type="dxa"/>
          <w:right w:w="108" w:type="dxa"/>
        </w:tblCellMar>
      </w:tblPr>
      <w:tblGrid>
        <w:gridCol w:w="427"/>
        <w:gridCol w:w="1791"/>
        <w:gridCol w:w="6727"/>
      </w:tblGrid>
      <w:tr>
        <w:tblPrEx>
          <w:tblCellMar>
            <w:top w:w="0" w:type="dxa"/>
            <w:left w:w="108" w:type="dxa"/>
            <w:bottom w:w="0" w:type="dxa"/>
            <w:right w:w="108" w:type="dxa"/>
          </w:tblCellMar>
        </w:tblPrEx>
        <w:trPr>
          <w:trHeight w:val="30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rPr>
            </w:pPr>
            <w:r>
              <w:rPr>
                <w:rFonts w:hint="eastAsia" w:ascii="宋体" w:hAnsi="宋体" w:cs="宋体"/>
                <w:b/>
                <w:bCs/>
                <w:sz w:val="21"/>
                <w:szCs w:val="21"/>
                <w:lang w:bidi="ar"/>
              </w:rPr>
              <w:t>序号</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rPr>
            </w:pPr>
            <w:r>
              <w:rPr>
                <w:rFonts w:hint="eastAsia" w:ascii="宋体" w:hAnsi="宋体" w:cs="宋体"/>
                <w:b/>
                <w:bCs/>
                <w:sz w:val="21"/>
                <w:szCs w:val="21"/>
                <w:lang w:bidi="ar"/>
              </w:rPr>
              <w:t>产品名称</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1"/>
                <w:szCs w:val="21"/>
              </w:rPr>
            </w:pPr>
            <w:r>
              <w:rPr>
                <w:rFonts w:hint="eastAsia" w:ascii="宋体" w:hAnsi="宋体" w:cs="宋体"/>
                <w:b/>
                <w:bCs/>
                <w:sz w:val="21"/>
                <w:szCs w:val="21"/>
                <w:lang w:bidi="ar"/>
              </w:rPr>
              <w:t>技术要求</w:t>
            </w:r>
          </w:p>
        </w:tc>
      </w:tr>
      <w:tr>
        <w:tblPrEx>
          <w:tblCellMar>
            <w:top w:w="0" w:type="dxa"/>
            <w:left w:w="108" w:type="dxa"/>
            <w:bottom w:w="0" w:type="dxa"/>
            <w:right w:w="108" w:type="dxa"/>
          </w:tblCellMar>
        </w:tblPrEx>
        <w:trPr>
          <w:trHeight w:val="48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1</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32寸液晶显示器</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32英寸，分辨率1920 * 1080。</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2</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辅助显示投影机</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lang w:bidi="ar"/>
              </w:rPr>
            </w:pPr>
            <w:r>
              <w:rPr>
                <w:rFonts w:hint="eastAsia" w:ascii="宋体" w:hAnsi="宋体" w:cs="宋体"/>
                <w:color w:val="FF0000"/>
                <w:sz w:val="21"/>
                <w:szCs w:val="21"/>
                <w:lang w:bidi="ar"/>
              </w:rPr>
              <w:t>★1、亮度≥7000流明（非中心亮度）</w:t>
            </w:r>
            <w:r>
              <w:rPr>
                <w:rFonts w:hint="eastAsia" w:ascii="宋体" w:hAnsi="宋体" w:cs="宋体"/>
                <w:sz w:val="21"/>
                <w:szCs w:val="21"/>
                <w:lang w:bidi="ar"/>
              </w:rPr>
              <w:t>（符合ISO21118标准）</w:t>
            </w:r>
            <w:r>
              <w:rPr>
                <w:rFonts w:hint="eastAsia" w:ascii="宋体" w:hAnsi="宋体" w:cs="宋体"/>
                <w:color w:val="FF0000"/>
                <w:sz w:val="21"/>
                <w:szCs w:val="21"/>
                <w:lang w:bidi="ar"/>
              </w:rPr>
              <w:t>；</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★2、分辨率≥1920 * 1200（WUXGA）；</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★3、芯片：LCD芯片；</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★4、激光光源；</w:t>
            </w:r>
            <w:r>
              <w:rPr>
                <w:rFonts w:hint="eastAsia" w:ascii="宋体" w:hAnsi="宋体" w:cs="宋体"/>
                <w:sz w:val="21"/>
                <w:szCs w:val="21"/>
                <w:lang w:bidi="ar"/>
              </w:rPr>
              <w:br w:type="textWrapping"/>
            </w:r>
            <w:r>
              <w:rPr>
                <w:rFonts w:hint="eastAsia" w:ascii="宋体" w:hAnsi="宋体" w:cs="宋体"/>
                <w:sz w:val="21"/>
                <w:szCs w:val="21"/>
                <w:lang w:bidi="ar"/>
              </w:rPr>
              <w:t>5、支持4K增强功能；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6、激光光源，20000小时光源寿命；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7、3LCD投影技术；</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8、液晶面板尺寸 ≥  0.67英寸含微透镜；</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9、支持恒定亮度输出模式，投射比：1.35-2.20，大范围镜头位移：垂直±50%，水平±20%，重量≥8.3KG，整机功耗≤345W，内置10W扬声器；</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10、支持Wi-Fi CERTIFIED Miracast（Screen Mirroring）,实现手机、平板、电脑等智能设备无线网络投影；</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11、支持细节增强和超解像功能，大幅增强投影机的清晰度，使得文字和图片更加清晰，支持快速四角调节，梯形、弧形等几何校正功能；</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12、专业防尘过滤网：20000小时 (标准模式)；30000小时（扩展模式）。</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3</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辅助显示投影机</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lang w:bidi="ar"/>
              </w:rPr>
            </w:pPr>
            <w:r>
              <w:rPr>
                <w:rFonts w:hint="eastAsia" w:ascii="宋体" w:hAnsi="宋体" w:cs="宋体"/>
                <w:color w:val="FF0000"/>
                <w:sz w:val="21"/>
                <w:szCs w:val="21"/>
                <w:lang w:bidi="ar"/>
              </w:rPr>
              <w:t>★1、亮度≥7000流明（非中心亮度）</w:t>
            </w:r>
            <w:r>
              <w:rPr>
                <w:rFonts w:hint="eastAsia" w:ascii="宋体" w:hAnsi="宋体" w:cs="宋体"/>
                <w:sz w:val="21"/>
                <w:szCs w:val="21"/>
                <w:lang w:bidi="ar"/>
              </w:rPr>
              <w:t>（符合ISO21118标准）</w:t>
            </w:r>
            <w:r>
              <w:rPr>
                <w:rFonts w:hint="eastAsia" w:ascii="宋体" w:hAnsi="宋体" w:cs="宋体"/>
                <w:color w:val="FF0000"/>
                <w:sz w:val="21"/>
                <w:szCs w:val="21"/>
                <w:lang w:bidi="ar"/>
              </w:rPr>
              <w:t>；</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★2、分辨率≥1920 * 1200（WUXGA）；</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★3、芯片：LCD芯片；</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★4、激光光源；</w:t>
            </w:r>
            <w:r>
              <w:rPr>
                <w:rFonts w:hint="eastAsia" w:ascii="宋体" w:hAnsi="宋体" w:cs="宋体"/>
                <w:sz w:val="21"/>
                <w:szCs w:val="21"/>
                <w:lang w:bidi="ar"/>
              </w:rPr>
              <w:br w:type="textWrapping"/>
            </w:r>
            <w:r>
              <w:rPr>
                <w:rFonts w:hint="eastAsia" w:ascii="宋体" w:hAnsi="宋体" w:cs="宋体"/>
                <w:sz w:val="21"/>
                <w:szCs w:val="21"/>
                <w:lang w:bidi="ar"/>
              </w:rPr>
              <w:t>5、支持4K增强功能；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6、激光光源，20000小时光源寿命；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7、3LCD投影技术；</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8、液晶面板尺寸 ≥  0.67英寸含微透镜；</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9、支持恒定亮度输出模式，投射比：1.35-2.20，大范围镜头位移：垂直±50%，水平±20%，重量≥8.3KG，整机功耗≤345W，内置10W扬声器；</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10、支持Wi-Fi CERTIFIED Miracast（Screen Mirroring）,实现手机、平板、电脑等智能设备无线网络投影；</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11、支持细节增强和超解像功能，大幅增强投影机的清晰度，使得文字和图片更加清晰，支持快速四角调节，梯形、弧形等几何校正功能；</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12、专业防尘过滤网：20000小时 (标准模式)；30000小时（扩展模式）。</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4</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显示投影机</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lang w:bidi="ar"/>
              </w:rPr>
            </w:pPr>
            <w:r>
              <w:rPr>
                <w:rFonts w:hint="eastAsia" w:ascii="宋体" w:hAnsi="宋体" w:cs="宋体"/>
                <w:color w:val="FF0000"/>
                <w:sz w:val="21"/>
                <w:szCs w:val="21"/>
                <w:lang w:bidi="ar"/>
              </w:rPr>
              <w:t>★1、亮度≥7000流明（非中心亮度）</w:t>
            </w:r>
            <w:r>
              <w:rPr>
                <w:rFonts w:hint="eastAsia" w:ascii="宋体" w:hAnsi="宋体" w:cs="宋体"/>
                <w:sz w:val="21"/>
                <w:szCs w:val="21"/>
                <w:lang w:bidi="ar"/>
              </w:rPr>
              <w:t>（符合ISO21118标准）</w:t>
            </w:r>
            <w:r>
              <w:rPr>
                <w:rFonts w:hint="eastAsia" w:ascii="宋体" w:hAnsi="宋体" w:cs="宋体"/>
                <w:color w:val="FF0000"/>
                <w:sz w:val="21"/>
                <w:szCs w:val="21"/>
                <w:lang w:bidi="ar"/>
              </w:rPr>
              <w:t>；</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★2、分辨率≥1920 * 1200（WUXGA）；</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★3、芯片：LCD芯片；</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★4、激光光源；</w:t>
            </w:r>
            <w:r>
              <w:rPr>
                <w:rFonts w:hint="eastAsia" w:ascii="宋体" w:hAnsi="宋体" w:cs="宋体"/>
                <w:sz w:val="21"/>
                <w:szCs w:val="21"/>
                <w:lang w:bidi="ar"/>
              </w:rPr>
              <w:br w:type="textWrapping"/>
            </w:r>
            <w:r>
              <w:rPr>
                <w:rFonts w:hint="eastAsia" w:ascii="宋体" w:hAnsi="宋体" w:cs="宋体"/>
                <w:sz w:val="21"/>
                <w:szCs w:val="21"/>
                <w:lang w:bidi="ar"/>
              </w:rPr>
              <w:t>5、支持4K增强功能；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6、激光光源，20000小时光源寿命；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7、3LCD投影技术；</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8、液晶面板尺寸 ≥ 0.67英寸含微透镜；</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9、支持恒定亮度输出模式，投射比：1.35-2.20，大范围镜头位移：垂直±50%，水平±20%，重量≥8.3KG，整机功耗≤345W，内置10W扬声器；</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10、支持Wi-Fi CERTIFIED Miracast（Screen Mirroring）,实现手机、平板、电脑等智能设备无线网络投影；</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11、支持细节增强和超解像功能，大幅增强投影机的清晰度，使得文字和图片更加清晰，支持快速四角调节，梯形、弧形等几何校正功能；</w:t>
            </w:r>
          </w:p>
          <w:p>
            <w:pPr>
              <w:pStyle w:val="29"/>
              <w:spacing w:after="0"/>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12、专业防尘过滤网：20000小时 (标准模式)；30000小时（扩展模式）。</w:t>
            </w:r>
          </w:p>
        </w:tc>
      </w:tr>
      <w:tr>
        <w:tblPrEx>
          <w:tblCellMar>
            <w:top w:w="0" w:type="dxa"/>
            <w:left w:w="108" w:type="dxa"/>
            <w:bottom w:w="0" w:type="dxa"/>
            <w:right w:w="108" w:type="dxa"/>
          </w:tblCellMar>
        </w:tblPrEx>
        <w:trPr>
          <w:trHeight w:val="144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5</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投影机</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lang w:bidi="ar"/>
              </w:rPr>
            </w:pPr>
            <w:r>
              <w:rPr>
                <w:rFonts w:hint="eastAsia" w:ascii="宋体" w:hAnsi="宋体" w:cs="宋体"/>
                <w:color w:val="FF0000"/>
                <w:sz w:val="21"/>
                <w:szCs w:val="21"/>
                <w:lang w:bidi="ar"/>
              </w:rPr>
              <w:t>★1、亮度≥7000流明（非中心亮度）</w:t>
            </w:r>
            <w:r>
              <w:rPr>
                <w:rFonts w:hint="eastAsia" w:ascii="宋体" w:hAnsi="宋体" w:cs="宋体"/>
                <w:sz w:val="21"/>
                <w:szCs w:val="21"/>
                <w:lang w:bidi="ar"/>
              </w:rPr>
              <w:t>（符合ISO21118标准）</w:t>
            </w:r>
            <w:r>
              <w:rPr>
                <w:rFonts w:hint="eastAsia" w:ascii="宋体" w:hAnsi="宋体" w:cs="宋体"/>
                <w:color w:val="FF0000"/>
                <w:sz w:val="21"/>
                <w:szCs w:val="21"/>
                <w:lang w:bidi="ar"/>
              </w:rPr>
              <w:t>；</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★2、分辨率≥1920 * 1200（WUXGA）；</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★3、芯片：LCD芯片；</w:t>
            </w:r>
            <w:r>
              <w:rPr>
                <w:rFonts w:hint="eastAsia" w:ascii="宋体" w:hAnsi="宋体" w:cs="宋体"/>
                <w:color w:val="FF0000"/>
                <w:sz w:val="21"/>
                <w:szCs w:val="21"/>
                <w:lang w:bidi="ar"/>
              </w:rPr>
              <w:br w:type="textWrapping"/>
            </w:r>
            <w:r>
              <w:rPr>
                <w:rFonts w:hint="eastAsia" w:ascii="宋体" w:hAnsi="宋体" w:cs="宋体"/>
                <w:color w:val="FF0000"/>
                <w:sz w:val="21"/>
                <w:szCs w:val="21"/>
                <w:lang w:bidi="ar"/>
              </w:rPr>
              <w:t>★4、激光光源；</w:t>
            </w:r>
            <w:r>
              <w:rPr>
                <w:rFonts w:hint="eastAsia" w:ascii="宋体" w:hAnsi="宋体" w:cs="宋体"/>
                <w:sz w:val="21"/>
                <w:szCs w:val="21"/>
                <w:lang w:bidi="ar"/>
              </w:rPr>
              <w:br w:type="textWrapping"/>
            </w:r>
            <w:r>
              <w:rPr>
                <w:rFonts w:hint="eastAsia" w:ascii="宋体" w:hAnsi="宋体" w:cs="宋体"/>
                <w:sz w:val="21"/>
                <w:szCs w:val="21"/>
                <w:lang w:bidi="ar"/>
              </w:rPr>
              <w:t>5、支持4K增强功能；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6、激光光源，20000小时光源寿命；</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7、3LCD投影技术；</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8、液晶面板尺寸 ≥  0.67英寸含微透镜；</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9、支持恒定亮度输出模式，投射比：1.35-2.20，大范围镜头位移：垂直±50%，水平±20%，重量≥8.3KG，整机功耗≤345W，内置10W扬声器；</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10、支持Wi-Fi CERTIFIED Miracast（Screen Mirroring）,实现手机、平板、电脑等智能设备无线网络投影；</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11、支持细节增强和超解像功能，大幅增强投影机的清晰度，使得文字和图片更加清晰，支持快速四角调节，梯形、弧形等几何校正功能；</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12、专业防尘过滤网：20000小时 (标准模式)；30000小时（扩展模式）。</w:t>
            </w:r>
          </w:p>
        </w:tc>
      </w:tr>
      <w:tr>
        <w:tblPrEx>
          <w:tblCellMar>
            <w:top w:w="0" w:type="dxa"/>
            <w:left w:w="108" w:type="dxa"/>
            <w:bottom w:w="0" w:type="dxa"/>
            <w:right w:w="108" w:type="dxa"/>
          </w:tblCellMar>
        </w:tblPrEx>
        <w:trPr>
          <w:trHeight w:val="72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6</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实物投影仪</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color w:val="FF0000"/>
                <w:sz w:val="21"/>
                <w:szCs w:val="21"/>
                <w:lang w:bidi="ar"/>
              </w:rPr>
              <w:t>★</w:t>
            </w:r>
            <w:r>
              <w:rPr>
                <w:rFonts w:hint="eastAsia" w:ascii="宋体" w:hAnsi="宋体" w:cs="宋体"/>
                <w:sz w:val="21"/>
                <w:szCs w:val="21"/>
                <w:lang w:bidi="ar"/>
              </w:rPr>
              <w:t>1、≥1000W像素；</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2、至少支持光学10倍放大，数码20倍放大；</w:t>
            </w:r>
            <w:r>
              <w:rPr>
                <w:rFonts w:hint="eastAsia" w:ascii="宋体" w:hAnsi="宋体" w:cs="宋体"/>
                <w:sz w:val="21"/>
                <w:szCs w:val="21"/>
                <w:lang w:bidi="ar"/>
              </w:rPr>
              <w:br w:type="textWrapping"/>
            </w:r>
            <w:r>
              <w:rPr>
                <w:rFonts w:hint="eastAsia" w:ascii="宋体" w:hAnsi="宋体" w:cs="宋体"/>
                <w:sz w:val="21"/>
                <w:szCs w:val="21"/>
                <w:lang w:bidi="ar"/>
              </w:rPr>
              <w:t>3、至少具备HDMI接口，USB接口。</w:t>
            </w:r>
          </w:p>
        </w:tc>
      </w:tr>
      <w:tr>
        <w:tblPrEx>
          <w:tblCellMar>
            <w:top w:w="0" w:type="dxa"/>
            <w:left w:w="108" w:type="dxa"/>
            <w:bottom w:w="0" w:type="dxa"/>
            <w:right w:w="108" w:type="dxa"/>
          </w:tblCellMar>
        </w:tblPrEx>
        <w:trPr>
          <w:trHeight w:val="240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7</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55寸触摸查询机</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lang w:bidi="ar"/>
              </w:rPr>
            </w:pPr>
            <w:r>
              <w:rPr>
                <w:rFonts w:hint="eastAsia" w:ascii="宋体" w:hAnsi="宋体" w:cs="宋体"/>
                <w:color w:val="FF0000"/>
                <w:sz w:val="21"/>
                <w:szCs w:val="21"/>
                <w:lang w:bidi="ar"/>
              </w:rPr>
              <w:t>★</w:t>
            </w:r>
            <w:r>
              <w:rPr>
                <w:rFonts w:hint="eastAsia" w:ascii="宋体" w:hAnsi="宋体" w:cs="宋体"/>
                <w:sz w:val="21"/>
                <w:szCs w:val="21"/>
                <w:lang w:bidi="ar"/>
              </w:rPr>
              <w:t>1、屏幕尺寸：55英寸；</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2、亮度：≥400cd/㎡；</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3、分辨率：不低于3840 * 2160；</w:t>
            </w:r>
            <w:r>
              <w:rPr>
                <w:rFonts w:hint="eastAsia" w:ascii="宋体" w:hAnsi="宋体" w:cs="宋体"/>
                <w:sz w:val="21"/>
                <w:szCs w:val="21"/>
                <w:lang w:bidi="ar"/>
              </w:rPr>
              <w:br w:type="textWrapping"/>
            </w:r>
            <w:r>
              <w:rPr>
                <w:rFonts w:hint="eastAsia" w:ascii="宋体" w:hAnsi="宋体" w:cs="宋体"/>
                <w:sz w:val="21"/>
                <w:szCs w:val="21"/>
                <w:lang w:bidi="ar"/>
              </w:rPr>
              <w:t>4、触控技术：投射式电容屏、10点触控；</w:t>
            </w:r>
            <w:r>
              <w:rPr>
                <w:rFonts w:hint="eastAsia" w:ascii="宋体" w:hAnsi="宋体" w:cs="宋体"/>
                <w:sz w:val="21"/>
                <w:szCs w:val="21"/>
                <w:lang w:bidi="ar"/>
              </w:rPr>
              <w:br w:type="textWrapping"/>
            </w:r>
            <w:r>
              <w:rPr>
                <w:rFonts w:hint="eastAsia" w:ascii="宋体" w:hAnsi="宋体" w:cs="宋体"/>
                <w:sz w:val="21"/>
                <w:szCs w:val="21"/>
                <w:lang w:bidi="ar"/>
              </w:rPr>
              <w:t>5、电容触摸，触摸响应时间：≤8ms；</w:t>
            </w:r>
            <w:r>
              <w:rPr>
                <w:rFonts w:hint="eastAsia" w:ascii="宋体" w:hAnsi="宋体" w:cs="宋体"/>
                <w:sz w:val="21"/>
                <w:szCs w:val="21"/>
                <w:lang w:bidi="ar"/>
              </w:rPr>
              <w:br w:type="textWrapping"/>
            </w:r>
            <w:r>
              <w:rPr>
                <w:rFonts w:hint="eastAsia" w:ascii="宋体" w:hAnsi="宋体" w:cs="宋体"/>
                <w:sz w:val="21"/>
                <w:szCs w:val="21"/>
                <w:lang w:bidi="ar"/>
              </w:rPr>
              <w:t>6、系统：预装正版win10中文专业版操作系统或以上；</w:t>
            </w:r>
            <w:r>
              <w:rPr>
                <w:rFonts w:hint="eastAsia" w:ascii="宋体" w:hAnsi="宋体" w:cs="宋体"/>
                <w:sz w:val="21"/>
                <w:szCs w:val="21"/>
                <w:lang w:bidi="ar"/>
              </w:rPr>
              <w:br w:type="textWrapping"/>
            </w:r>
            <w:r>
              <w:rPr>
                <w:rFonts w:hint="eastAsia" w:ascii="宋体" w:hAnsi="宋体" w:cs="宋体"/>
                <w:sz w:val="21"/>
                <w:szCs w:val="21"/>
                <w:lang w:bidi="ar"/>
              </w:rPr>
              <w:t>7、处理器/CPU：I7-8700或以上选型，主频不低于2.5GHz，内存为DDR4或以上，容</w:t>
            </w:r>
            <w:r>
              <w:rPr>
                <w:rFonts w:hint="eastAsia" w:ascii="宋体" w:hAnsi="宋体" w:cs="宋体"/>
                <w:sz w:val="21"/>
                <w:szCs w:val="21"/>
              </w:rPr>
              <w:t>量为</w:t>
            </w:r>
            <w:r>
              <w:rPr>
                <w:rFonts w:hint="eastAsia" w:ascii="宋体" w:hAnsi="宋体" w:cs="宋体"/>
                <w:sz w:val="21"/>
                <w:szCs w:val="21"/>
                <w:lang w:bidi="ar"/>
              </w:rPr>
              <w:t>8G或以上，存储容量256GB固态硬盘或以上、显卡性能达到GTX1050-4G或以上；</w:t>
            </w:r>
          </w:p>
          <w:p>
            <w:pPr>
              <w:widowControl/>
              <w:textAlignment w:val="center"/>
              <w:rPr>
                <w:rFonts w:ascii="宋体" w:hAnsi="宋体" w:cs="宋体"/>
                <w:sz w:val="21"/>
                <w:szCs w:val="21"/>
                <w:lang w:bidi="ar"/>
              </w:rPr>
            </w:pPr>
            <w:r>
              <w:rPr>
                <w:rFonts w:hint="eastAsia" w:ascii="宋体" w:hAnsi="宋体" w:cs="宋体"/>
                <w:sz w:val="21"/>
                <w:szCs w:val="21"/>
                <w:lang w:bidi="ar"/>
              </w:rPr>
              <w:t>8、显示比例：16:9；</w:t>
            </w:r>
          </w:p>
          <w:p>
            <w:pPr>
              <w:widowControl/>
              <w:textAlignment w:val="center"/>
              <w:rPr>
                <w:rFonts w:ascii="宋体" w:hAnsi="宋体" w:cs="宋体"/>
                <w:sz w:val="21"/>
                <w:szCs w:val="21"/>
                <w:lang w:bidi="ar"/>
              </w:rPr>
            </w:pPr>
            <w:r>
              <w:rPr>
                <w:rFonts w:hint="eastAsia" w:ascii="宋体" w:hAnsi="宋体" w:cs="宋体"/>
                <w:sz w:val="21"/>
                <w:szCs w:val="21"/>
                <w:lang w:bidi="ar"/>
              </w:rPr>
              <w:t>9、展厅大屏可视角度不低于178°/178°；</w:t>
            </w:r>
          </w:p>
          <w:p>
            <w:pPr>
              <w:widowControl/>
              <w:textAlignment w:val="center"/>
              <w:rPr>
                <w:rFonts w:ascii="宋体" w:hAnsi="宋体" w:cs="宋体"/>
                <w:sz w:val="21"/>
                <w:szCs w:val="21"/>
                <w:lang w:bidi="ar"/>
              </w:rPr>
            </w:pPr>
            <w:r>
              <w:rPr>
                <w:rFonts w:hint="eastAsia" w:ascii="宋体" w:hAnsi="宋体" w:cs="宋体"/>
                <w:sz w:val="21"/>
                <w:szCs w:val="21"/>
                <w:lang w:bidi="ar"/>
              </w:rPr>
              <w:t>10、有线网络至少需满足千兆网络接口；</w:t>
            </w:r>
          </w:p>
          <w:p>
            <w:pPr>
              <w:widowControl/>
              <w:textAlignment w:val="center"/>
              <w:rPr>
                <w:rFonts w:ascii="宋体" w:hAnsi="宋体" w:cs="宋体"/>
                <w:sz w:val="21"/>
                <w:szCs w:val="21"/>
                <w:lang w:bidi="ar"/>
              </w:rPr>
            </w:pPr>
            <w:r>
              <w:rPr>
                <w:rFonts w:hint="eastAsia" w:ascii="宋体" w:hAnsi="宋体" w:cs="宋体"/>
                <w:sz w:val="21"/>
                <w:szCs w:val="21"/>
                <w:lang w:bidi="ar"/>
              </w:rPr>
              <w:t>11、无线网络至少支持 Wi-Fi 802.11ac规格；</w:t>
            </w:r>
          </w:p>
          <w:p>
            <w:pPr>
              <w:widowControl/>
              <w:textAlignment w:val="center"/>
              <w:rPr>
                <w:rFonts w:ascii="宋体" w:hAnsi="宋体" w:cs="宋体"/>
                <w:sz w:val="21"/>
                <w:szCs w:val="21"/>
              </w:rPr>
            </w:pPr>
            <w:r>
              <w:rPr>
                <w:rFonts w:hint="eastAsia" w:ascii="宋体" w:hAnsi="宋体" w:cs="宋体"/>
                <w:sz w:val="21"/>
                <w:szCs w:val="21"/>
                <w:lang w:bidi="ar"/>
              </w:rPr>
              <w:t>12支持远程唤醒、开机、重启、关机、静音、校时等，远程设置播放端定时开关机等管理功能。</w:t>
            </w:r>
          </w:p>
        </w:tc>
      </w:tr>
      <w:tr>
        <w:tblPrEx>
          <w:tblCellMar>
            <w:top w:w="0" w:type="dxa"/>
            <w:left w:w="108" w:type="dxa"/>
            <w:bottom w:w="0" w:type="dxa"/>
            <w:right w:w="108" w:type="dxa"/>
          </w:tblCellMar>
        </w:tblPrEx>
        <w:trPr>
          <w:trHeight w:val="2163"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8</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UPS（150KVA/0.5h）</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FF0000"/>
                <w:sz w:val="21"/>
                <w:szCs w:val="21"/>
                <w:lang w:bidi="ar"/>
              </w:rPr>
            </w:pPr>
            <w:r>
              <w:rPr>
                <w:rFonts w:hint="eastAsia" w:ascii="宋体" w:hAnsi="宋体" w:cs="宋体"/>
                <w:color w:val="FF0000"/>
                <w:sz w:val="21"/>
                <w:szCs w:val="21"/>
                <w:lang w:bidi="ar"/>
              </w:rPr>
              <w:t>★1、150KVA主机功率应不低于150kVA，单个模块功率应不小于20KVA，配置功率模块总容量应不低于150KVA，单柜最大扩容不低于150KVA；</w:t>
            </w:r>
            <w:r>
              <w:rPr>
                <w:rFonts w:hint="eastAsia" w:ascii="宋体" w:hAnsi="宋体" w:cs="宋体"/>
                <w:sz w:val="21"/>
                <w:szCs w:val="21"/>
                <w:lang w:bidi="ar"/>
              </w:rPr>
              <w:br w:type="textWrapping"/>
            </w:r>
            <w:r>
              <w:rPr>
                <w:rFonts w:hint="eastAsia" w:ascii="宋体" w:hAnsi="宋体" w:cs="宋体"/>
                <w:sz w:val="21"/>
                <w:szCs w:val="21"/>
                <w:lang w:bidi="ar"/>
              </w:rPr>
              <w:t>2、</w:t>
            </w:r>
            <w:r>
              <w:rPr>
                <w:rFonts w:hint="eastAsia" w:ascii="宋体" w:hAnsi="宋体" w:cs="宋体"/>
                <w:color w:val="000000"/>
                <w:sz w:val="21"/>
                <w:szCs w:val="21"/>
                <w:lang w:bidi="ar"/>
              </w:rPr>
              <w:t>输入电压范围应不小于305~460 Vac；</w:t>
            </w:r>
            <w:r>
              <w:rPr>
                <w:rFonts w:hint="eastAsia" w:ascii="宋体" w:hAnsi="宋体" w:cs="宋体"/>
                <w:sz w:val="21"/>
                <w:szCs w:val="21"/>
                <w:lang w:bidi="ar"/>
              </w:rPr>
              <w:br w:type="textWrapping"/>
            </w:r>
            <w:r>
              <w:rPr>
                <w:rFonts w:hint="eastAsia" w:ascii="宋体" w:hAnsi="宋体" w:cs="宋体"/>
                <w:sz w:val="21"/>
                <w:szCs w:val="21"/>
                <w:lang w:bidi="ar"/>
              </w:rPr>
              <w:t>3、输入频率范围应为50Hz±20%；</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4、UPS的输入功率因数应大于等于0.99，输出功率因数：≥0.9，整机效率：≥96%，提供具体数据及</w:t>
            </w:r>
            <w:r>
              <w:rPr>
                <w:rFonts w:hint="eastAsia" w:ascii="宋体" w:hAnsi="宋体" w:cs="宋体"/>
                <w:color w:val="FF0000"/>
                <w:sz w:val="21"/>
                <w:szCs w:val="21"/>
                <w:lang w:bidi="ar"/>
              </w:rPr>
              <w:t>证明材料</w:t>
            </w:r>
            <w:r>
              <w:rPr>
                <w:rFonts w:hint="eastAsia" w:ascii="宋体" w:hAnsi="宋体" w:cs="宋体"/>
                <w:sz w:val="21"/>
                <w:szCs w:val="21"/>
                <w:lang w:bidi="ar"/>
              </w:rPr>
              <w:t>；</w:t>
            </w:r>
            <w:r>
              <w:rPr>
                <w:rFonts w:hint="eastAsia" w:ascii="宋体" w:hAnsi="宋体" w:cs="宋体"/>
                <w:sz w:val="21"/>
                <w:szCs w:val="21"/>
                <w:lang w:bidi="ar"/>
              </w:rPr>
              <w:br w:type="textWrapping"/>
            </w:r>
            <w:r>
              <w:rPr>
                <w:rFonts w:hint="eastAsia" w:ascii="宋体" w:hAnsi="宋体" w:cs="宋体"/>
                <w:sz w:val="21"/>
                <w:szCs w:val="21"/>
                <w:lang w:bidi="ar"/>
              </w:rPr>
              <w:t>5、UPS在2～39次谐波，100%额定非线性负载时的电流谐波成份应小于3％，50%额定非线性负载时的电流谐波成份应小于6%，30%额定非线性负载时的电流谐波成份应小于8%，提供具体数据，并按要求提供测试报告；</w:t>
            </w:r>
            <w:r>
              <w:rPr>
                <w:rFonts w:hint="eastAsia" w:ascii="宋体" w:hAnsi="宋体" w:cs="宋体"/>
                <w:sz w:val="21"/>
                <w:szCs w:val="21"/>
                <w:lang w:bidi="ar"/>
              </w:rPr>
              <w:br w:type="textWrapping"/>
            </w:r>
            <w:r>
              <w:rPr>
                <w:rFonts w:hint="eastAsia" w:ascii="宋体" w:hAnsi="宋体" w:cs="宋体"/>
                <w:sz w:val="21"/>
                <w:szCs w:val="21"/>
                <w:lang w:bidi="ar"/>
              </w:rPr>
              <w:t>6</w:t>
            </w:r>
            <w:r>
              <w:rPr>
                <w:rFonts w:hint="eastAsia" w:ascii="宋体" w:hAnsi="宋体" w:cs="宋体"/>
                <w:color w:val="000000"/>
                <w:sz w:val="21"/>
                <w:szCs w:val="21"/>
                <w:lang w:bidi="ar"/>
              </w:rPr>
              <w:t>、过载能力：负载≤110%，60min；≤125%，10min；</w:t>
            </w:r>
            <w:r>
              <w:rPr>
                <w:rFonts w:hint="eastAsia" w:ascii="宋体" w:hAnsi="宋体" w:cs="宋体"/>
                <w:sz w:val="21"/>
                <w:szCs w:val="21"/>
                <w:lang w:bidi="ar"/>
              </w:rPr>
              <w:br w:type="textWrapping"/>
            </w:r>
            <w:r>
              <w:rPr>
                <w:rFonts w:hint="eastAsia" w:ascii="宋体" w:hAnsi="宋体" w:cs="宋体"/>
                <w:sz w:val="21"/>
                <w:szCs w:val="21"/>
                <w:lang w:bidi="ar"/>
              </w:rPr>
              <w:t>7、UPS应具有N+1并联冗余工作及负载均分性能，并机数量应不低于4组，负载电流不均衡度≤5%(额定输出电流)，提供具体数据（％）及</w:t>
            </w:r>
            <w:r>
              <w:rPr>
                <w:rFonts w:hint="eastAsia" w:ascii="宋体" w:hAnsi="宋体" w:cs="宋体"/>
                <w:color w:val="FF0000"/>
                <w:sz w:val="21"/>
                <w:szCs w:val="21"/>
                <w:lang w:bidi="ar"/>
              </w:rPr>
              <w:t>证明材料</w:t>
            </w:r>
            <w:r>
              <w:rPr>
                <w:rFonts w:hint="eastAsia" w:ascii="宋体" w:hAnsi="宋体" w:cs="宋体"/>
                <w:sz w:val="21"/>
                <w:szCs w:val="21"/>
                <w:lang w:bidi="ar"/>
              </w:rPr>
              <w:t>；</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8、UPS采用集中旁路工作模式，集中旁路模块、功率模块、监控单元须支持在线热插拔；</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9、通信功能：RS485、CAN、SNMP、RS232、干接点</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10、包含设备运输、就位及安装。</w:t>
            </w:r>
          </w:p>
        </w:tc>
      </w:tr>
      <w:tr>
        <w:tblPrEx>
          <w:tblCellMar>
            <w:top w:w="0" w:type="dxa"/>
            <w:left w:w="108" w:type="dxa"/>
            <w:bottom w:w="0" w:type="dxa"/>
            <w:right w:w="108" w:type="dxa"/>
          </w:tblCellMar>
        </w:tblPrEx>
        <w:trPr>
          <w:trHeight w:val="482"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9</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UPS（200KVA/0.5h）</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FF0000"/>
                <w:sz w:val="21"/>
                <w:szCs w:val="21"/>
                <w:lang w:bidi="ar"/>
              </w:rPr>
            </w:pPr>
            <w:r>
              <w:rPr>
                <w:rFonts w:hint="eastAsia" w:ascii="宋体" w:hAnsi="宋体" w:cs="宋体"/>
                <w:color w:val="FF0000"/>
                <w:sz w:val="21"/>
                <w:szCs w:val="21"/>
                <w:lang w:bidi="ar"/>
              </w:rPr>
              <w:t>★1、200KVA主机功率应不低于200kVA，单个模块功率应不小于30KVA，配置功率模块总容量应不低于200KVA，单柜最大扩容不低于200KVA；</w:t>
            </w:r>
            <w:r>
              <w:rPr>
                <w:rFonts w:hint="eastAsia" w:ascii="宋体" w:hAnsi="宋体" w:cs="宋体"/>
                <w:sz w:val="21"/>
                <w:szCs w:val="21"/>
                <w:lang w:bidi="ar"/>
              </w:rPr>
              <w:t xml:space="preserve"> </w:t>
            </w:r>
            <w:r>
              <w:rPr>
                <w:rFonts w:hint="eastAsia" w:ascii="宋体" w:hAnsi="宋体" w:cs="宋体"/>
                <w:sz w:val="21"/>
                <w:szCs w:val="21"/>
                <w:lang w:bidi="ar"/>
              </w:rPr>
              <w:br w:type="textWrapping"/>
            </w:r>
            <w:r>
              <w:rPr>
                <w:rFonts w:hint="eastAsia" w:ascii="宋体" w:hAnsi="宋体" w:cs="宋体"/>
                <w:sz w:val="21"/>
                <w:szCs w:val="21"/>
                <w:lang w:bidi="ar"/>
              </w:rPr>
              <w:t>2、</w:t>
            </w:r>
            <w:r>
              <w:rPr>
                <w:rFonts w:hint="eastAsia" w:ascii="宋体" w:hAnsi="宋体" w:cs="宋体"/>
                <w:color w:val="000000"/>
                <w:sz w:val="21"/>
                <w:szCs w:val="21"/>
                <w:lang w:bidi="ar"/>
              </w:rPr>
              <w:t>输入电压范围应不小于305~460 Vac；</w:t>
            </w:r>
            <w:r>
              <w:rPr>
                <w:rFonts w:hint="eastAsia" w:ascii="宋体" w:hAnsi="宋体" w:cs="宋体"/>
                <w:sz w:val="21"/>
                <w:szCs w:val="21"/>
                <w:lang w:bidi="ar"/>
              </w:rPr>
              <w:br w:type="textWrapping"/>
            </w:r>
            <w:r>
              <w:rPr>
                <w:rFonts w:hint="eastAsia" w:ascii="宋体" w:hAnsi="宋体" w:cs="宋体"/>
                <w:sz w:val="21"/>
                <w:szCs w:val="21"/>
                <w:lang w:bidi="ar"/>
              </w:rPr>
              <w:t>3、输入频率范围应为50Hz±20%；</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4、UPS的输入功率因数应大于等于0.99，输出功率因数：≥0.9，整机效率：≥96.5%，提供具体数据及</w:t>
            </w:r>
            <w:r>
              <w:rPr>
                <w:rFonts w:hint="eastAsia" w:ascii="宋体" w:hAnsi="宋体" w:cs="宋体"/>
                <w:color w:val="FF0000"/>
                <w:sz w:val="21"/>
                <w:szCs w:val="21"/>
                <w:lang w:bidi="ar"/>
              </w:rPr>
              <w:t>证明材料</w:t>
            </w:r>
            <w:r>
              <w:rPr>
                <w:rFonts w:hint="eastAsia" w:ascii="宋体" w:hAnsi="宋体" w:cs="宋体"/>
                <w:sz w:val="21"/>
                <w:szCs w:val="21"/>
                <w:lang w:bidi="ar"/>
              </w:rPr>
              <w:t>；</w:t>
            </w:r>
            <w:r>
              <w:rPr>
                <w:rFonts w:hint="eastAsia" w:ascii="宋体" w:hAnsi="宋体" w:cs="宋体"/>
                <w:sz w:val="21"/>
                <w:szCs w:val="21"/>
                <w:lang w:bidi="ar"/>
              </w:rPr>
              <w:br w:type="textWrapping"/>
            </w:r>
            <w:r>
              <w:rPr>
                <w:rFonts w:hint="eastAsia" w:ascii="宋体" w:hAnsi="宋体" w:cs="宋体"/>
                <w:sz w:val="21"/>
                <w:szCs w:val="21"/>
                <w:lang w:bidi="ar"/>
              </w:rPr>
              <w:t>5、UPS在2～39次谐波，100%额定非线性负载时的电流谐波成份应小于3％，50%额定非线性负载时的电流谐波成份应小于6%，30%额定非线性负载时的电流谐波成份应小于8%，提供具体数据，并按要求提供测试报告；</w:t>
            </w:r>
            <w:r>
              <w:rPr>
                <w:rFonts w:hint="eastAsia" w:ascii="宋体" w:hAnsi="宋体" w:cs="宋体"/>
                <w:color w:val="FF0000"/>
                <w:sz w:val="21"/>
                <w:szCs w:val="21"/>
                <w:lang w:bidi="ar"/>
              </w:rPr>
              <w:br w:type="textWrapping"/>
            </w:r>
            <w:r>
              <w:rPr>
                <w:rFonts w:hint="eastAsia" w:ascii="宋体" w:hAnsi="宋体" w:cs="宋体"/>
                <w:color w:val="000000"/>
                <w:sz w:val="21"/>
                <w:szCs w:val="21"/>
                <w:lang w:bidi="ar"/>
              </w:rPr>
              <w:t>6、过载能力：负载≤110%，60min；≤125%，10min；</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7、UPS应</w:t>
            </w:r>
            <w:r>
              <w:rPr>
                <w:rFonts w:hint="eastAsia" w:ascii="宋体" w:hAnsi="宋体" w:cs="宋体"/>
                <w:sz w:val="21"/>
                <w:szCs w:val="21"/>
                <w:lang w:bidi="ar"/>
              </w:rPr>
              <w:t>具有N+1并联冗余工作及负载均分性能，并机数量应不低于4组，负载电流不均衡度≤5%(额定输出电流)，提供具体数据（％）及</w:t>
            </w:r>
            <w:r>
              <w:rPr>
                <w:rFonts w:hint="eastAsia" w:ascii="宋体" w:hAnsi="宋体" w:cs="宋体"/>
                <w:color w:val="FF0000"/>
                <w:sz w:val="21"/>
                <w:szCs w:val="21"/>
                <w:lang w:bidi="ar"/>
              </w:rPr>
              <w:t>证明材料</w:t>
            </w:r>
            <w:r>
              <w:rPr>
                <w:rFonts w:hint="eastAsia" w:ascii="宋体" w:hAnsi="宋体" w:cs="宋体"/>
                <w:sz w:val="21"/>
                <w:szCs w:val="21"/>
                <w:lang w:bidi="ar"/>
              </w:rPr>
              <w:t>；</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8、UPS采用集中旁路工作模式，集中旁路模块、功率模块、监控单元须支持在线热插拔；</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9、通信功能：RS485、CAN、SNMP、RS232、干接点</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10、包含设备运输、就位及安装。</w:t>
            </w:r>
          </w:p>
        </w:tc>
      </w:tr>
      <w:tr>
        <w:tblPrEx>
          <w:tblCellMar>
            <w:top w:w="0" w:type="dxa"/>
            <w:left w:w="108" w:type="dxa"/>
            <w:bottom w:w="0" w:type="dxa"/>
            <w:right w:w="108" w:type="dxa"/>
          </w:tblCellMar>
        </w:tblPrEx>
        <w:trPr>
          <w:trHeight w:val="1397"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10</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UPS（250KVA/0.5h）</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FF0000"/>
                <w:sz w:val="21"/>
                <w:szCs w:val="21"/>
                <w:lang w:bidi="ar"/>
              </w:rPr>
            </w:pPr>
            <w:r>
              <w:rPr>
                <w:rFonts w:hint="eastAsia" w:ascii="宋体" w:hAnsi="宋体" w:cs="宋体"/>
                <w:color w:val="FF0000"/>
                <w:sz w:val="21"/>
                <w:szCs w:val="21"/>
                <w:lang w:bidi="ar"/>
              </w:rPr>
              <w:t>★1、250KVA主机功率应不低于250kVA，单个模块功率应不小于30KVA，配置功率模块总容量应不低于250KVA，单柜最大扩容不低于300KVA；</w:t>
            </w:r>
            <w:r>
              <w:rPr>
                <w:rFonts w:hint="eastAsia" w:ascii="宋体" w:hAnsi="宋体" w:cs="宋体"/>
                <w:sz w:val="21"/>
                <w:szCs w:val="21"/>
                <w:lang w:bidi="ar"/>
              </w:rPr>
              <w:br w:type="textWrapping"/>
            </w:r>
            <w:r>
              <w:rPr>
                <w:rFonts w:hint="eastAsia" w:ascii="宋体" w:hAnsi="宋体" w:cs="宋体"/>
                <w:sz w:val="21"/>
                <w:szCs w:val="21"/>
                <w:lang w:bidi="ar"/>
              </w:rPr>
              <w:t>2、</w:t>
            </w:r>
            <w:r>
              <w:rPr>
                <w:rFonts w:hint="eastAsia" w:ascii="宋体" w:hAnsi="宋体" w:cs="宋体"/>
                <w:color w:val="000000"/>
                <w:sz w:val="21"/>
                <w:szCs w:val="21"/>
                <w:lang w:bidi="ar"/>
              </w:rPr>
              <w:t>输入电压范围应不小于305~460 Vac；</w:t>
            </w:r>
            <w:r>
              <w:rPr>
                <w:rFonts w:hint="eastAsia" w:ascii="宋体" w:hAnsi="宋体" w:cs="宋体"/>
                <w:sz w:val="21"/>
                <w:szCs w:val="21"/>
                <w:lang w:bidi="ar"/>
              </w:rPr>
              <w:br w:type="textWrapping"/>
            </w:r>
            <w:r>
              <w:rPr>
                <w:rFonts w:hint="eastAsia" w:ascii="宋体" w:hAnsi="宋体" w:cs="宋体"/>
                <w:sz w:val="21"/>
                <w:szCs w:val="21"/>
                <w:lang w:bidi="ar"/>
              </w:rPr>
              <w:t>3、输入频率范围应为50Hz±20%；</w:t>
            </w:r>
            <w:r>
              <w:rPr>
                <w:rFonts w:hint="eastAsia" w:ascii="宋体" w:hAnsi="宋体" w:cs="宋体"/>
                <w:sz w:val="21"/>
                <w:szCs w:val="21"/>
                <w:lang w:bidi="ar"/>
              </w:rPr>
              <w:br w:type="textWrapping"/>
            </w:r>
            <w:r>
              <w:rPr>
                <w:rFonts w:hint="eastAsia" w:ascii="宋体" w:hAnsi="宋体" w:cs="宋体"/>
                <w:color w:val="FF0000"/>
                <w:sz w:val="21"/>
                <w:szCs w:val="21"/>
                <w:lang w:bidi="ar"/>
              </w:rPr>
              <w:t>★</w:t>
            </w:r>
            <w:r>
              <w:rPr>
                <w:rFonts w:hint="eastAsia" w:ascii="宋体" w:hAnsi="宋体" w:cs="宋体"/>
                <w:sz w:val="21"/>
                <w:szCs w:val="21"/>
                <w:lang w:bidi="ar"/>
              </w:rPr>
              <w:t>4、UPS的输入功率因数应大于等于0.99，输出功率因数：≥0.9，整机效率：≥96.5%，提供具体数据及</w:t>
            </w:r>
            <w:r>
              <w:rPr>
                <w:rFonts w:hint="eastAsia" w:ascii="宋体" w:hAnsi="宋体" w:cs="宋体"/>
                <w:color w:val="FF0000"/>
                <w:sz w:val="21"/>
                <w:szCs w:val="21"/>
                <w:lang w:bidi="ar"/>
              </w:rPr>
              <w:t>证明材料</w:t>
            </w:r>
            <w:r>
              <w:rPr>
                <w:rFonts w:hint="eastAsia" w:ascii="宋体" w:hAnsi="宋体" w:cs="宋体"/>
                <w:sz w:val="21"/>
                <w:szCs w:val="21"/>
                <w:lang w:bidi="ar"/>
              </w:rPr>
              <w:t>；</w:t>
            </w:r>
            <w:r>
              <w:rPr>
                <w:rFonts w:hint="eastAsia" w:ascii="宋体" w:hAnsi="宋体" w:cs="宋体"/>
                <w:sz w:val="21"/>
                <w:szCs w:val="21"/>
                <w:lang w:bidi="ar"/>
              </w:rPr>
              <w:br w:type="textWrapping"/>
            </w:r>
            <w:r>
              <w:rPr>
                <w:rFonts w:hint="eastAsia" w:ascii="宋体" w:hAnsi="宋体" w:cs="宋体"/>
                <w:sz w:val="21"/>
                <w:szCs w:val="21"/>
                <w:lang w:bidi="ar"/>
              </w:rPr>
              <w:t>5、UPS在2～39次谐波，100%额定非线性负载时的电流谐波成份应小于3％，50%额定非线性负载时的电流谐波成份应小于6%，30%额定非线性负载时的电流谐波成份应小于8%，提供具体数据，并按要求提供测试报告；</w:t>
            </w:r>
            <w:r>
              <w:rPr>
                <w:rFonts w:hint="eastAsia" w:ascii="宋体" w:hAnsi="宋体" w:cs="宋体"/>
                <w:color w:val="FF0000"/>
                <w:sz w:val="21"/>
                <w:szCs w:val="21"/>
                <w:lang w:bidi="ar"/>
              </w:rPr>
              <w:br w:type="textWrapping"/>
            </w:r>
            <w:r>
              <w:rPr>
                <w:rFonts w:hint="eastAsia" w:ascii="宋体" w:hAnsi="宋体" w:cs="宋体"/>
                <w:color w:val="000000"/>
                <w:sz w:val="21"/>
                <w:szCs w:val="21"/>
                <w:lang w:bidi="ar"/>
              </w:rPr>
              <w:t>6、过载能力：负载≤110%，60min；≤125%，10min；</w:t>
            </w:r>
            <w:r>
              <w:rPr>
                <w:rFonts w:hint="eastAsia" w:ascii="宋体" w:hAnsi="宋体" w:cs="宋体"/>
                <w:color w:val="000000"/>
                <w:sz w:val="21"/>
                <w:szCs w:val="21"/>
                <w:lang w:bidi="ar"/>
              </w:rPr>
              <w:br w:type="textWrapping"/>
            </w:r>
            <w:r>
              <w:rPr>
                <w:rFonts w:hint="eastAsia" w:ascii="宋体" w:hAnsi="宋体" w:cs="宋体"/>
                <w:color w:val="000000"/>
                <w:sz w:val="21"/>
                <w:szCs w:val="21"/>
                <w:lang w:bidi="ar"/>
              </w:rPr>
              <w:t>7、UPS应</w:t>
            </w:r>
            <w:r>
              <w:rPr>
                <w:rFonts w:hint="eastAsia" w:ascii="宋体" w:hAnsi="宋体" w:cs="宋体"/>
                <w:sz w:val="21"/>
                <w:szCs w:val="21"/>
                <w:lang w:bidi="ar"/>
              </w:rPr>
              <w:t>具有N+1并联冗余工作及负载均分性能，并机数量应不低于4组，负载电流不均衡度≤5%(额定输出电流)，提供具体数据（％）及证明材料；</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8、UPS采用集中旁路工作模式，集中旁路模块、功率模块、监控单元须支持在线热插拔；</w:t>
            </w:r>
          </w:p>
          <w:p>
            <w:pPr>
              <w:pStyle w:val="29"/>
              <w:spacing w:after="0"/>
              <w:ind w:left="0" w:leftChars="0" w:firstLine="0" w:firstLineChars="0"/>
              <w:rPr>
                <w:rFonts w:ascii="宋体" w:hAnsi="宋体" w:eastAsia="宋体" w:cs="宋体"/>
                <w:sz w:val="21"/>
                <w:szCs w:val="21"/>
                <w:lang w:bidi="ar"/>
              </w:rPr>
            </w:pPr>
            <w:r>
              <w:rPr>
                <w:rFonts w:hint="eastAsia" w:ascii="宋体" w:hAnsi="宋体" w:eastAsia="宋体" w:cs="宋体"/>
                <w:sz w:val="21"/>
                <w:szCs w:val="21"/>
                <w:lang w:bidi="ar"/>
              </w:rPr>
              <w:t>9、通信功能：RS485、CAN、SNMP、RS232、干接点</w:t>
            </w:r>
          </w:p>
          <w:p>
            <w:pPr>
              <w:widowControl/>
              <w:textAlignment w:val="center"/>
              <w:rPr>
                <w:rFonts w:ascii="宋体" w:hAnsi="宋体" w:cs="宋体"/>
                <w:sz w:val="21"/>
                <w:szCs w:val="21"/>
              </w:rPr>
            </w:pPr>
            <w:r>
              <w:rPr>
                <w:rFonts w:hint="eastAsia" w:ascii="宋体" w:hAnsi="宋体" w:cs="宋体"/>
                <w:sz w:val="21"/>
                <w:szCs w:val="21"/>
                <w:lang w:bidi="ar"/>
              </w:rPr>
              <w:t>10、包含设备运输、就位及安装。</w:t>
            </w:r>
          </w:p>
        </w:tc>
      </w:tr>
      <w:tr>
        <w:tblPrEx>
          <w:tblCellMar>
            <w:top w:w="0" w:type="dxa"/>
            <w:left w:w="108" w:type="dxa"/>
            <w:bottom w:w="0" w:type="dxa"/>
            <w:right w:w="108" w:type="dxa"/>
          </w:tblCellMar>
        </w:tblPrEx>
        <w:trPr>
          <w:trHeight w:val="2160"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11</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150KVA UPS配套蓄电池</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textAlignment w:val="center"/>
              <w:rPr>
                <w:rFonts w:ascii="宋体" w:hAnsi="宋体" w:cs="宋体"/>
                <w:kern w:val="2"/>
                <w:sz w:val="21"/>
                <w:szCs w:val="21"/>
                <w:lang w:bidi="ar"/>
              </w:rPr>
            </w:pPr>
            <w:r>
              <w:rPr>
                <w:rFonts w:hint="eastAsia" w:ascii="宋体" w:hAnsi="宋体" w:cs="宋体"/>
                <w:kern w:val="2"/>
                <w:sz w:val="21"/>
                <w:szCs w:val="21"/>
                <w:lang w:bidi="ar"/>
              </w:rPr>
              <w:t>每台UPS配置不低于100节12V150Ah蓄电池；</w:t>
            </w:r>
          </w:p>
          <w:p>
            <w:pPr>
              <w:widowControl/>
              <w:numPr>
                <w:ilvl w:val="0"/>
                <w:numId w:val="8"/>
              </w:numPr>
              <w:textAlignment w:val="center"/>
              <w:rPr>
                <w:rFonts w:ascii="宋体" w:hAnsi="宋体" w:cs="宋体"/>
                <w:sz w:val="21"/>
                <w:szCs w:val="21"/>
              </w:rPr>
            </w:pPr>
            <w:r>
              <w:rPr>
                <w:rFonts w:hint="eastAsia" w:ascii="宋体" w:hAnsi="宋体" w:cs="宋体"/>
                <w:kern w:val="2"/>
                <w:sz w:val="21"/>
                <w:szCs w:val="21"/>
                <w:lang w:bidi="ar"/>
              </w:rPr>
              <w:t>为方便运维管理，本次蓄电池须与UPS主机保持同一品牌，排污许可证品牌须与蓄电池品牌保持一致；</w:t>
            </w:r>
          </w:p>
          <w:p>
            <w:pPr>
              <w:widowControl/>
              <w:textAlignment w:val="center"/>
              <w:rPr>
                <w:rFonts w:ascii="宋体" w:hAnsi="宋体" w:cs="宋体"/>
                <w:kern w:val="2"/>
                <w:sz w:val="21"/>
                <w:szCs w:val="21"/>
                <w:lang w:bidi="ar"/>
              </w:rPr>
            </w:pPr>
            <w:r>
              <w:rPr>
                <w:rFonts w:hint="eastAsia" w:ascii="宋体" w:hAnsi="宋体" w:cs="宋体"/>
                <w:kern w:val="2"/>
                <w:sz w:val="21"/>
                <w:szCs w:val="21"/>
                <w:lang w:bidi="ar"/>
              </w:rPr>
              <w:t>3、蓄电池须具备防漏液措施或解决方案，以及具备防碰撞、控制蓄电池有效安装距离的设计，报价人应提供相关技术方案证明文件；</w:t>
            </w:r>
          </w:p>
          <w:p>
            <w:pPr>
              <w:widowControl/>
              <w:textAlignment w:val="center"/>
              <w:rPr>
                <w:rFonts w:ascii="宋体" w:hAnsi="宋体" w:cs="宋体"/>
                <w:kern w:val="2"/>
                <w:sz w:val="21"/>
                <w:szCs w:val="21"/>
                <w:lang w:bidi="ar"/>
              </w:rPr>
            </w:pPr>
            <w:r>
              <w:rPr>
                <w:rFonts w:hint="eastAsia" w:ascii="宋体" w:hAnsi="宋体" w:cs="宋体"/>
                <w:kern w:val="2"/>
                <w:sz w:val="21"/>
                <w:szCs w:val="21"/>
                <w:lang w:bidi="ar"/>
              </w:rPr>
              <w:t>4、应包含蓄电池开关箱、UPS主机至电池组线缆、蓄电池连接线等相关安装辅助材料；</w:t>
            </w:r>
          </w:p>
          <w:p>
            <w:pPr>
              <w:widowControl/>
              <w:textAlignment w:val="center"/>
              <w:rPr>
                <w:rFonts w:ascii="宋体" w:hAnsi="宋体" w:cs="宋体"/>
                <w:sz w:val="21"/>
                <w:szCs w:val="21"/>
              </w:rPr>
            </w:pPr>
            <w:r>
              <w:rPr>
                <w:rFonts w:hint="eastAsia" w:ascii="宋体" w:hAnsi="宋体" w:cs="宋体"/>
                <w:kern w:val="2"/>
                <w:sz w:val="21"/>
                <w:szCs w:val="21"/>
                <w:lang w:bidi="ar"/>
              </w:rPr>
              <w:t>5、包含设备运输、就位及安装；</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6、蓄电池正常使用寿命不低于5年。</w:t>
            </w:r>
          </w:p>
        </w:tc>
      </w:tr>
      <w:tr>
        <w:tblPrEx>
          <w:tblCellMar>
            <w:top w:w="0" w:type="dxa"/>
            <w:left w:w="108" w:type="dxa"/>
            <w:bottom w:w="0" w:type="dxa"/>
            <w:right w:w="108" w:type="dxa"/>
          </w:tblCellMar>
        </w:tblPrEx>
        <w:trPr>
          <w:trHeight w:val="763"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12</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200KVA UPS配套蓄电池</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textAlignment w:val="center"/>
              <w:rPr>
                <w:rFonts w:ascii="宋体" w:hAnsi="宋体" w:cs="宋体"/>
                <w:kern w:val="2"/>
                <w:sz w:val="21"/>
                <w:szCs w:val="21"/>
                <w:lang w:bidi="ar"/>
              </w:rPr>
            </w:pPr>
            <w:r>
              <w:rPr>
                <w:rFonts w:hint="eastAsia" w:ascii="宋体" w:hAnsi="宋体" w:cs="宋体"/>
                <w:kern w:val="2"/>
                <w:sz w:val="21"/>
                <w:szCs w:val="21"/>
                <w:lang w:bidi="ar"/>
              </w:rPr>
              <w:t>每台UPS配置不低于138节12V 150Ah蓄电池；</w:t>
            </w:r>
          </w:p>
          <w:p>
            <w:pPr>
              <w:widowControl/>
              <w:numPr>
                <w:ilvl w:val="0"/>
                <w:numId w:val="9"/>
              </w:numPr>
              <w:textAlignment w:val="center"/>
              <w:rPr>
                <w:rFonts w:ascii="宋体" w:hAnsi="宋体" w:cs="宋体"/>
                <w:sz w:val="21"/>
                <w:szCs w:val="21"/>
              </w:rPr>
            </w:pPr>
            <w:r>
              <w:rPr>
                <w:rFonts w:hint="eastAsia" w:ascii="宋体" w:hAnsi="宋体" w:cs="宋体"/>
                <w:kern w:val="2"/>
                <w:sz w:val="21"/>
                <w:szCs w:val="21"/>
                <w:lang w:bidi="ar"/>
              </w:rPr>
              <w:t>为方便运维管理，本次蓄电池须与UPS主机保持同一品牌，排污许可证品牌须与蓄电池品牌保持一致；</w:t>
            </w:r>
          </w:p>
          <w:p>
            <w:pPr>
              <w:widowControl/>
              <w:numPr>
                <w:ilvl w:val="0"/>
                <w:numId w:val="9"/>
              </w:numPr>
              <w:textAlignment w:val="center"/>
              <w:rPr>
                <w:rFonts w:ascii="宋体" w:hAnsi="宋体" w:cs="宋体"/>
                <w:sz w:val="21"/>
                <w:szCs w:val="21"/>
              </w:rPr>
            </w:pPr>
            <w:r>
              <w:rPr>
                <w:rFonts w:hint="eastAsia" w:ascii="宋体" w:hAnsi="宋体" w:cs="宋体"/>
                <w:kern w:val="2"/>
                <w:sz w:val="21"/>
                <w:szCs w:val="21"/>
                <w:lang w:bidi="ar"/>
              </w:rPr>
              <w:t>蓄电池须具备防漏液措施或解决方案，以及具备防碰撞、控制蓄电池有效安装距离的设计，报价人应提供相关技术方案证明文件；</w:t>
            </w:r>
          </w:p>
          <w:p>
            <w:pPr>
              <w:widowControl/>
              <w:numPr>
                <w:ilvl w:val="0"/>
                <w:numId w:val="9"/>
              </w:numPr>
              <w:textAlignment w:val="center"/>
              <w:rPr>
                <w:rFonts w:ascii="宋体" w:hAnsi="宋体" w:cs="宋体"/>
                <w:sz w:val="21"/>
                <w:szCs w:val="21"/>
              </w:rPr>
            </w:pPr>
            <w:r>
              <w:rPr>
                <w:rFonts w:hint="eastAsia" w:ascii="宋体" w:hAnsi="宋体" w:cs="宋体"/>
                <w:kern w:val="2"/>
                <w:sz w:val="21"/>
                <w:szCs w:val="21"/>
                <w:lang w:bidi="ar"/>
              </w:rPr>
              <w:t>应包含蓄电池开关箱、UPS主机至电池组线缆、蓄电池连接线等相关安装辅助材料；</w:t>
            </w:r>
          </w:p>
          <w:p>
            <w:pPr>
              <w:widowControl/>
              <w:numPr>
                <w:ilvl w:val="0"/>
                <w:numId w:val="9"/>
              </w:numPr>
              <w:textAlignment w:val="center"/>
              <w:rPr>
                <w:rFonts w:ascii="宋体" w:hAnsi="宋体" w:cs="宋体"/>
                <w:sz w:val="21"/>
                <w:szCs w:val="21"/>
              </w:rPr>
            </w:pPr>
            <w:r>
              <w:rPr>
                <w:rFonts w:hint="eastAsia" w:ascii="宋体" w:hAnsi="宋体" w:cs="宋体"/>
                <w:kern w:val="2"/>
                <w:sz w:val="21"/>
                <w:szCs w:val="21"/>
                <w:lang w:bidi="ar"/>
              </w:rPr>
              <w:t>包含设备运输、就位及安装；</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6、蓄电池正常使用寿命不低于5年。</w:t>
            </w:r>
          </w:p>
        </w:tc>
      </w:tr>
      <w:tr>
        <w:tblPrEx>
          <w:tblCellMar>
            <w:top w:w="0" w:type="dxa"/>
            <w:left w:w="108" w:type="dxa"/>
            <w:bottom w:w="0" w:type="dxa"/>
            <w:right w:w="108" w:type="dxa"/>
          </w:tblCellMar>
        </w:tblPrEx>
        <w:trPr>
          <w:trHeight w:val="777"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13</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250KVA UPS配套蓄电池</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textAlignment w:val="center"/>
              <w:rPr>
                <w:rFonts w:ascii="宋体" w:hAnsi="宋体" w:cs="宋体"/>
                <w:kern w:val="2"/>
                <w:sz w:val="21"/>
                <w:szCs w:val="21"/>
                <w:lang w:bidi="ar"/>
              </w:rPr>
            </w:pPr>
            <w:r>
              <w:rPr>
                <w:rFonts w:hint="eastAsia" w:ascii="宋体" w:hAnsi="宋体" w:cs="宋体"/>
                <w:kern w:val="2"/>
                <w:sz w:val="21"/>
                <w:szCs w:val="21"/>
                <w:lang w:bidi="ar"/>
              </w:rPr>
              <w:t>每台UPS配置不低于184节12V 150Ah蓄电池；</w:t>
            </w:r>
          </w:p>
          <w:p>
            <w:pPr>
              <w:widowControl/>
              <w:numPr>
                <w:ilvl w:val="0"/>
                <w:numId w:val="10"/>
              </w:numPr>
              <w:textAlignment w:val="center"/>
              <w:rPr>
                <w:rFonts w:ascii="宋体" w:hAnsi="宋体" w:cs="宋体"/>
                <w:sz w:val="21"/>
                <w:szCs w:val="21"/>
              </w:rPr>
            </w:pPr>
            <w:r>
              <w:rPr>
                <w:rFonts w:hint="eastAsia" w:ascii="宋体" w:hAnsi="宋体" w:cs="宋体"/>
                <w:kern w:val="2"/>
                <w:sz w:val="21"/>
                <w:szCs w:val="21"/>
                <w:lang w:bidi="ar"/>
              </w:rPr>
              <w:t>为方便运维管理，本次蓄电池须与UPS主机保持同一品牌，排污许可证品牌须与蓄电池品牌保持一致；</w:t>
            </w:r>
          </w:p>
          <w:p>
            <w:pPr>
              <w:widowControl/>
              <w:numPr>
                <w:ilvl w:val="0"/>
                <w:numId w:val="10"/>
              </w:numPr>
              <w:textAlignment w:val="center"/>
              <w:rPr>
                <w:rFonts w:ascii="宋体" w:hAnsi="宋体" w:cs="宋体"/>
                <w:sz w:val="21"/>
                <w:szCs w:val="21"/>
              </w:rPr>
            </w:pPr>
            <w:r>
              <w:rPr>
                <w:rFonts w:hint="eastAsia" w:ascii="宋体" w:hAnsi="宋体" w:cs="宋体"/>
                <w:kern w:val="2"/>
                <w:sz w:val="21"/>
                <w:szCs w:val="21"/>
                <w:lang w:bidi="ar"/>
              </w:rPr>
              <w:t>蓄电池须具备防漏液措施或解决方案，以及具备防碰撞、控制蓄电池有效安装距离的设计，报价人应提供相关技术方案证明文件；</w:t>
            </w:r>
          </w:p>
          <w:p>
            <w:pPr>
              <w:widowControl/>
              <w:numPr>
                <w:ilvl w:val="0"/>
                <w:numId w:val="10"/>
              </w:numPr>
              <w:textAlignment w:val="center"/>
              <w:rPr>
                <w:rFonts w:ascii="宋体" w:hAnsi="宋体" w:cs="宋体"/>
                <w:sz w:val="21"/>
                <w:szCs w:val="21"/>
              </w:rPr>
            </w:pPr>
            <w:r>
              <w:rPr>
                <w:rFonts w:hint="eastAsia" w:ascii="宋体" w:hAnsi="宋体" w:cs="宋体"/>
                <w:kern w:val="2"/>
                <w:sz w:val="21"/>
                <w:szCs w:val="21"/>
                <w:lang w:bidi="ar"/>
              </w:rPr>
              <w:t>应包含蓄电池开关箱、UPS主机至电池组线缆、蓄电池连接线等相关安装辅助材料；</w:t>
            </w:r>
          </w:p>
          <w:p>
            <w:pPr>
              <w:widowControl/>
              <w:numPr>
                <w:ilvl w:val="0"/>
                <w:numId w:val="10"/>
              </w:numPr>
              <w:textAlignment w:val="center"/>
              <w:rPr>
                <w:rFonts w:ascii="宋体" w:hAnsi="宋体" w:cs="宋体"/>
                <w:sz w:val="21"/>
                <w:szCs w:val="21"/>
              </w:rPr>
            </w:pPr>
            <w:r>
              <w:rPr>
                <w:rFonts w:hint="eastAsia" w:ascii="宋体" w:hAnsi="宋体" w:cs="宋体"/>
                <w:kern w:val="2"/>
                <w:sz w:val="21"/>
                <w:szCs w:val="21"/>
                <w:lang w:bidi="ar"/>
              </w:rPr>
              <w:t>包含设备运输、就位及安装；</w:t>
            </w:r>
          </w:p>
          <w:p>
            <w:pPr>
              <w:pStyle w:val="29"/>
              <w:ind w:left="0" w:leftChars="0" w:firstLine="0" w:firstLineChars="0"/>
              <w:rPr>
                <w:rFonts w:ascii="宋体" w:hAnsi="宋体" w:eastAsia="宋体" w:cs="宋体"/>
                <w:sz w:val="21"/>
                <w:szCs w:val="21"/>
              </w:rPr>
            </w:pPr>
            <w:r>
              <w:rPr>
                <w:rFonts w:hint="eastAsia" w:ascii="宋体" w:hAnsi="宋体" w:eastAsia="宋体" w:cs="宋体"/>
                <w:sz w:val="21"/>
                <w:szCs w:val="21"/>
                <w:lang w:bidi="ar"/>
              </w:rPr>
              <w:t>6、蓄电池正常使用寿命不低于5年。</w:t>
            </w:r>
          </w:p>
        </w:tc>
      </w:tr>
      <w:tr>
        <w:tblPrEx>
          <w:tblCellMar>
            <w:top w:w="0" w:type="dxa"/>
            <w:left w:w="108" w:type="dxa"/>
            <w:bottom w:w="0" w:type="dxa"/>
            <w:right w:w="108" w:type="dxa"/>
          </w:tblCellMar>
        </w:tblPrEx>
        <w:trPr>
          <w:trHeight w:val="365"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lang w:bidi="ar"/>
              </w:rPr>
              <w:t>14</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UPS电池架</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1、满足至少798节150AH蓄电池使用需求；</w:t>
            </w:r>
            <w:r>
              <w:rPr>
                <w:rFonts w:hint="eastAsia" w:ascii="宋体" w:hAnsi="宋体" w:cs="宋体"/>
                <w:sz w:val="21"/>
                <w:szCs w:val="21"/>
                <w:lang w:bidi="ar"/>
              </w:rPr>
              <w:br w:type="textWrapping"/>
            </w:r>
            <w:r>
              <w:rPr>
                <w:rFonts w:hint="eastAsia" w:ascii="宋体" w:hAnsi="宋体" w:cs="宋体"/>
                <w:sz w:val="21"/>
                <w:szCs w:val="21"/>
                <w:lang w:bidi="ar"/>
              </w:rPr>
              <w:t>2、包含设备运输、就位及安装；</w:t>
            </w:r>
            <w:r>
              <w:rPr>
                <w:rFonts w:hint="eastAsia" w:ascii="宋体" w:hAnsi="宋体" w:cs="宋体"/>
                <w:sz w:val="21"/>
                <w:szCs w:val="21"/>
                <w:lang w:bidi="ar"/>
              </w:rPr>
              <w:br w:type="textWrapping"/>
            </w:r>
            <w:r>
              <w:rPr>
                <w:rFonts w:hint="eastAsia" w:ascii="宋体" w:hAnsi="宋体" w:cs="宋体"/>
                <w:sz w:val="21"/>
                <w:szCs w:val="21"/>
                <w:lang w:bidi="ar"/>
              </w:rPr>
              <w:t>3、钢架材质。</w:t>
            </w:r>
          </w:p>
        </w:tc>
      </w:tr>
      <w:tr>
        <w:tblPrEx>
          <w:tblCellMar>
            <w:top w:w="0" w:type="dxa"/>
            <w:left w:w="108" w:type="dxa"/>
            <w:bottom w:w="0" w:type="dxa"/>
            <w:right w:w="108" w:type="dxa"/>
          </w:tblCellMar>
        </w:tblPrEx>
        <w:trPr>
          <w:trHeight w:val="2227" w:hRule="atLeast"/>
        </w:trPr>
        <w:tc>
          <w:tcPr>
            <w:tcW w:w="2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15</w:t>
            </w:r>
          </w:p>
        </w:tc>
        <w:tc>
          <w:tcPr>
            <w:tcW w:w="99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1"/>
                <w:szCs w:val="21"/>
              </w:rPr>
            </w:pPr>
            <w:r>
              <w:rPr>
                <w:rFonts w:hint="eastAsia" w:ascii="宋体" w:hAnsi="宋体" w:cs="宋体"/>
                <w:sz w:val="21"/>
                <w:szCs w:val="21"/>
                <w:lang w:bidi="ar"/>
              </w:rPr>
              <w:t>电池配件及检测模块</w:t>
            </w:r>
          </w:p>
        </w:tc>
        <w:tc>
          <w:tcPr>
            <w:tcW w:w="376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7"/>
                <w:rFonts w:hint="default"/>
                <w:sz w:val="21"/>
                <w:szCs w:val="21"/>
                <w:lang w:bidi="ar"/>
              </w:rPr>
            </w:pPr>
            <w:r>
              <w:rPr>
                <w:rStyle w:val="57"/>
                <w:rFonts w:hint="default"/>
                <w:sz w:val="21"/>
                <w:szCs w:val="21"/>
                <w:lang w:bidi="ar"/>
              </w:rPr>
              <w:t>1、工作环境：相对湿度： 5％～90％ ；大气压强： 80～110kPa；</w:t>
            </w:r>
            <w:r>
              <w:rPr>
                <w:rStyle w:val="57"/>
                <w:rFonts w:hint="default"/>
                <w:sz w:val="21"/>
                <w:szCs w:val="21"/>
                <w:lang w:bidi="ar"/>
              </w:rPr>
              <w:br w:type="textWrapping"/>
            </w:r>
            <w:r>
              <w:rPr>
                <w:rStyle w:val="57"/>
                <w:rFonts w:hint="default"/>
                <w:sz w:val="21"/>
                <w:szCs w:val="21"/>
                <w:lang w:bidi="ar"/>
              </w:rPr>
              <w:t>2、监测能力：每组最大为 300节，一台监测仪最多管理六组电池，最大可监测总电池数为960节；</w:t>
            </w:r>
            <w:r>
              <w:rPr>
                <w:rStyle w:val="57"/>
                <w:rFonts w:hint="default"/>
                <w:sz w:val="21"/>
                <w:szCs w:val="21"/>
                <w:lang w:bidi="ar"/>
              </w:rPr>
              <w:br w:type="textWrapping"/>
            </w:r>
            <w:r>
              <w:rPr>
                <w:rStyle w:val="57"/>
                <w:rFonts w:hint="default"/>
                <w:sz w:val="21"/>
                <w:szCs w:val="21"/>
                <w:lang w:bidi="ar"/>
              </w:rPr>
              <w:t>3、监测范围：2V、6V、12V 电池，容量小于2000AH；</w:t>
            </w:r>
            <w:r>
              <w:rPr>
                <w:rStyle w:val="57"/>
                <w:rFonts w:hint="default"/>
                <w:sz w:val="21"/>
                <w:szCs w:val="21"/>
                <w:lang w:bidi="ar"/>
              </w:rPr>
              <w:br w:type="textWrapping"/>
            </w:r>
            <w:r>
              <w:rPr>
                <w:rStyle w:val="57"/>
                <w:rFonts w:hint="default"/>
                <w:sz w:val="21"/>
                <w:szCs w:val="21"/>
                <w:lang w:bidi="ar"/>
              </w:rPr>
              <w:t>4、电源要求：直接从被监测电池取电，正常工作时吸收电流小于 60mA （ 2V 模块 ）或 25mA(12V 模块)；</w:t>
            </w:r>
            <w:r>
              <w:rPr>
                <w:rStyle w:val="57"/>
                <w:rFonts w:hint="default"/>
                <w:sz w:val="21"/>
                <w:szCs w:val="21"/>
                <w:lang w:bidi="ar"/>
              </w:rPr>
              <w:br w:type="textWrapping"/>
            </w:r>
            <w:r>
              <w:rPr>
                <w:rStyle w:val="57"/>
                <w:rFonts w:hint="default"/>
                <w:sz w:val="21"/>
                <w:szCs w:val="21"/>
                <w:lang w:bidi="ar"/>
              </w:rPr>
              <w:t xml:space="preserve">5、保护：测量回路与电源回路带保险丝； </w:t>
            </w:r>
            <w:r>
              <w:rPr>
                <w:rStyle w:val="57"/>
                <w:rFonts w:hint="default"/>
                <w:sz w:val="21"/>
                <w:szCs w:val="21"/>
                <w:lang w:bidi="ar"/>
              </w:rPr>
              <w:br w:type="textWrapping"/>
            </w:r>
            <w:r>
              <w:rPr>
                <w:rStyle w:val="57"/>
                <w:rFonts w:hint="default"/>
                <w:sz w:val="21"/>
                <w:szCs w:val="21"/>
                <w:lang w:bidi="ar"/>
              </w:rPr>
              <w:t>6、测量范围及精度 ：组压：20～800V，±(0.5%+0.2V)；单体电压：1.5～2.5V，±(0.1%+1mV) 9～15V，±(0.1%+10mV)；单体电池内阻：100～65535u</w:t>
            </w:r>
            <w:r>
              <w:rPr>
                <w:rStyle w:val="63"/>
                <w:rFonts w:hint="eastAsia" w:ascii="宋体" w:hAnsi="宋体" w:cs="宋体"/>
                <w:sz w:val="21"/>
                <w:szCs w:val="21"/>
                <w:lang w:bidi="ar"/>
              </w:rPr>
              <w:t>Ω</w:t>
            </w:r>
            <w:r>
              <w:rPr>
                <w:rStyle w:val="57"/>
                <w:rFonts w:hint="default"/>
                <w:sz w:val="21"/>
                <w:szCs w:val="21"/>
                <w:lang w:bidi="ar"/>
              </w:rPr>
              <w:t>/±(2%+3 u</w:t>
            </w:r>
            <w:r>
              <w:rPr>
                <w:rStyle w:val="63"/>
                <w:rFonts w:hint="eastAsia" w:ascii="宋体" w:hAnsi="宋体" w:cs="宋体"/>
                <w:sz w:val="21"/>
                <w:szCs w:val="21"/>
                <w:lang w:bidi="ar"/>
              </w:rPr>
              <w:t>Ω</w:t>
            </w:r>
            <w:r>
              <w:rPr>
                <w:rStyle w:val="57"/>
                <w:rFonts w:hint="default"/>
                <w:sz w:val="21"/>
                <w:szCs w:val="21"/>
                <w:lang w:bidi="ar"/>
              </w:rPr>
              <w:t>)(2V 电池,重复精度)±(2%+30u</w:t>
            </w:r>
            <w:r>
              <w:rPr>
                <w:rStyle w:val="63"/>
                <w:rFonts w:hint="eastAsia" w:ascii="宋体" w:hAnsi="宋体" w:cs="宋体"/>
                <w:sz w:val="21"/>
                <w:szCs w:val="21"/>
                <w:lang w:bidi="ar"/>
              </w:rPr>
              <w:t>Ω</w:t>
            </w:r>
            <w:r>
              <w:rPr>
                <w:rStyle w:val="57"/>
                <w:rFonts w:hint="default"/>
                <w:sz w:val="21"/>
                <w:szCs w:val="21"/>
                <w:lang w:bidi="ar"/>
              </w:rPr>
              <w:t>)(6V、12V 电池,重复精度) 分辨率为 3 u</w:t>
            </w:r>
            <w:r>
              <w:rPr>
                <w:rStyle w:val="63"/>
                <w:rFonts w:hint="eastAsia" w:ascii="宋体" w:hAnsi="宋体" w:cs="宋体"/>
                <w:sz w:val="21"/>
                <w:szCs w:val="21"/>
                <w:lang w:bidi="ar"/>
              </w:rPr>
              <w:t>Ω</w:t>
            </w:r>
            <w:r>
              <w:rPr>
                <w:rStyle w:val="57"/>
                <w:rFonts w:hint="default"/>
                <w:sz w:val="21"/>
                <w:szCs w:val="21"/>
                <w:lang w:bidi="ar"/>
              </w:rPr>
              <w:t>/电池内部温度：5℃～+50℃，±1℃ ；充放电电流：0～500A(可选), ±2%（最大量程）；</w:t>
            </w:r>
            <w:r>
              <w:rPr>
                <w:rStyle w:val="57"/>
                <w:rFonts w:hint="default"/>
                <w:sz w:val="21"/>
                <w:szCs w:val="21"/>
                <w:lang w:bidi="ar"/>
              </w:rPr>
              <w:br w:type="textWrapping"/>
            </w:r>
            <w:r>
              <w:rPr>
                <w:rStyle w:val="57"/>
                <w:rFonts w:hint="default"/>
                <w:sz w:val="21"/>
                <w:szCs w:val="21"/>
                <w:lang w:bidi="ar"/>
              </w:rPr>
              <w:t>7、通信接口：UART口，支持MODBUS协议，每个UART总线最多支持130个设备；</w:t>
            </w:r>
            <w:r>
              <w:rPr>
                <w:rStyle w:val="57"/>
                <w:rFonts w:hint="default"/>
                <w:sz w:val="21"/>
                <w:szCs w:val="21"/>
                <w:lang w:bidi="ar"/>
              </w:rPr>
              <w:br w:type="textWrapping"/>
            </w:r>
            <w:r>
              <w:rPr>
                <w:rStyle w:val="57"/>
                <w:rFonts w:hint="default"/>
                <w:sz w:val="21"/>
                <w:szCs w:val="21"/>
                <w:lang w:bidi="ar"/>
              </w:rPr>
              <w:t>8、绝缘耐压：2000VAC；</w:t>
            </w:r>
          </w:p>
          <w:p>
            <w:pPr>
              <w:pStyle w:val="2"/>
              <w:rPr>
                <w:lang w:bidi="ar"/>
              </w:rPr>
            </w:pPr>
            <w:r>
              <w:rPr>
                <w:rFonts w:hint="eastAsia"/>
                <w:lang w:bidi="ar"/>
              </w:rPr>
              <w:t>9、电池散力架：满足蓄电池散力及承重需求；</w:t>
            </w:r>
            <w:r>
              <w:rPr>
                <w:rFonts w:hint="eastAsia"/>
                <w:lang w:bidi="ar"/>
              </w:rPr>
              <w:br w:type="textWrapping"/>
            </w:r>
            <w:r>
              <w:rPr>
                <w:rFonts w:hint="eastAsia"/>
                <w:lang w:bidi="ar"/>
              </w:rPr>
              <w:t>10、电池散力架：包含设备运输、就位及安装；</w:t>
            </w:r>
            <w:r>
              <w:rPr>
                <w:rFonts w:hint="eastAsia"/>
                <w:lang w:bidi="ar"/>
              </w:rPr>
              <w:br w:type="textWrapping"/>
            </w:r>
            <w:r>
              <w:rPr>
                <w:rFonts w:hint="eastAsia"/>
                <w:lang w:bidi="ar"/>
              </w:rPr>
              <w:t>11、电池散力架：钢架材质。</w:t>
            </w:r>
          </w:p>
        </w:tc>
      </w:tr>
    </w:tbl>
    <w:p>
      <w:pPr>
        <w:pStyle w:val="2"/>
      </w:pPr>
    </w:p>
    <w:p>
      <w:pPr>
        <w:numPr>
          <w:ilvl w:val="0"/>
          <w:numId w:val="4"/>
        </w:numPr>
        <w:rPr>
          <w:b/>
          <w:sz w:val="21"/>
          <w:szCs w:val="21"/>
        </w:rPr>
      </w:pPr>
      <w:r>
        <w:rPr>
          <w:rFonts w:hint="eastAsia"/>
          <w:b/>
          <w:sz w:val="21"/>
          <w:szCs w:val="21"/>
        </w:rPr>
        <w:t>总体要求</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1、报价人应充分考虑服务风险，本项目为固定总价合同</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 xml:space="preserve">2、报价人提供的工具、备品备件应为全新产品，功能完全满足谈判文件技术要求。 </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3、因产品质量等原因不满足采购人使用需求的应保证及时更换。</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4、符合国家绿色环保的相关要求。</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5、报价人须安装、调试本项目中的政府采购产品。</w:t>
      </w:r>
    </w:p>
    <w:p>
      <w:pPr>
        <w:widowControl/>
        <w:spacing w:line="360" w:lineRule="auto"/>
        <w:ind w:firstLine="210" w:firstLineChars="100"/>
        <w:textAlignment w:val="center"/>
        <w:rPr>
          <w:rStyle w:val="57"/>
          <w:rFonts w:hint="default"/>
          <w:sz w:val="21"/>
          <w:szCs w:val="21"/>
          <w:lang w:bidi="ar"/>
        </w:rPr>
      </w:pPr>
      <w:r>
        <w:rPr>
          <w:rStyle w:val="57"/>
          <w:rFonts w:hint="default"/>
          <w:sz w:val="21"/>
          <w:szCs w:val="21"/>
          <w:lang w:bidi="ar"/>
        </w:rPr>
        <w:t>在项目执行过程中出现争议，采购人有最终解释权。</w:t>
      </w:r>
    </w:p>
    <w:p>
      <w:pPr>
        <w:pStyle w:val="2"/>
      </w:pPr>
    </w:p>
    <w:p>
      <w:pPr>
        <w:numPr>
          <w:ilvl w:val="0"/>
          <w:numId w:val="4"/>
        </w:numPr>
        <w:rPr>
          <w:rStyle w:val="57"/>
          <w:rFonts w:hint="default"/>
          <w:sz w:val="21"/>
          <w:szCs w:val="21"/>
          <w:lang w:bidi="ar"/>
        </w:rPr>
      </w:pPr>
      <w:r>
        <w:rPr>
          <w:rFonts w:hint="eastAsia"/>
          <w:b/>
          <w:sz w:val="21"/>
          <w:szCs w:val="21"/>
        </w:rPr>
        <w:t>安装调试</w:t>
      </w:r>
    </w:p>
    <w:p>
      <w:pPr>
        <w:widowControl/>
        <w:spacing w:line="360" w:lineRule="auto"/>
        <w:ind w:firstLine="420" w:firstLineChars="200"/>
        <w:textAlignment w:val="center"/>
        <w:rPr>
          <w:rStyle w:val="57"/>
          <w:rFonts w:hint="default"/>
          <w:sz w:val="21"/>
          <w:szCs w:val="21"/>
          <w:lang w:bidi="ar"/>
        </w:rPr>
      </w:pPr>
      <w:r>
        <w:rPr>
          <w:rFonts w:hint="eastAsia" w:ascii="宋体" w:hAnsi="宋体" w:cs="宋体"/>
          <w:color w:val="FF0000"/>
          <w:sz w:val="21"/>
          <w:szCs w:val="21"/>
          <w:lang w:bidi="ar"/>
        </w:rPr>
        <w:t>★</w:t>
      </w:r>
      <w:r>
        <w:rPr>
          <w:rStyle w:val="57"/>
          <w:rFonts w:hint="default"/>
          <w:sz w:val="21"/>
          <w:szCs w:val="21"/>
          <w:lang w:bidi="ar"/>
        </w:rPr>
        <w:t>本项目成交人应在合同签订之日起60天内完成供货、安装、调试达到初验标准，3个月试运行结束后进行终验，终验合格后进入质保期，质保期至</w:t>
      </w:r>
      <w:r>
        <w:rPr>
          <w:rStyle w:val="57"/>
          <w:rFonts w:hint="default"/>
          <w:color w:val="FF0000"/>
          <w:sz w:val="21"/>
          <w:szCs w:val="21"/>
          <w:u w:val="single"/>
          <w:lang w:bidi="ar"/>
        </w:rPr>
        <w:t>少24个月，需提供加盖公章承诺函。</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项目质量标准：合格</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安装调试：</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成交人按采购人通知时间，负责将设备运至指定的地点，并进行设备的安装、调试及试运行，直至设备正常运行。</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工程质量应当达到协议书约定的质量标准，质量标准的评定以国家或行业的质量检验评定标准为依据。</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因成交人原因工程质量达不到约定的质量标准，成交人承担违约责任。</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双方对工程质量有争议，由双方同意的工程质量检测机构鉴定，所需费用及因此造成的损失，由责任方承担。双方均有责任，由双方根据其责任分别承担。</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成交人在质量保修期内承担工程质量保修责任。</w:t>
      </w:r>
    </w:p>
    <w:p>
      <w:pPr>
        <w:widowControl/>
        <w:numPr>
          <w:ilvl w:val="0"/>
          <w:numId w:val="11"/>
        </w:numPr>
        <w:spacing w:line="360" w:lineRule="auto"/>
        <w:ind w:firstLine="420" w:firstLineChars="200"/>
        <w:textAlignment w:val="center"/>
        <w:rPr>
          <w:rStyle w:val="57"/>
          <w:rFonts w:hint="default"/>
          <w:sz w:val="21"/>
          <w:szCs w:val="21"/>
          <w:lang w:bidi="ar"/>
        </w:rPr>
      </w:pPr>
      <w:r>
        <w:rPr>
          <w:rStyle w:val="57"/>
          <w:rFonts w:hint="default"/>
          <w:sz w:val="21"/>
          <w:szCs w:val="21"/>
          <w:lang w:bidi="ar"/>
        </w:rPr>
        <w:t>在设备安装、调试过程中做好成品保护，安装调试完成后负责现场恢复。</w:t>
      </w:r>
    </w:p>
    <w:p>
      <w:pPr>
        <w:pStyle w:val="2"/>
      </w:pPr>
    </w:p>
    <w:p>
      <w:pPr>
        <w:numPr>
          <w:ilvl w:val="0"/>
          <w:numId w:val="4"/>
        </w:numPr>
        <w:rPr>
          <w:b/>
          <w:sz w:val="21"/>
          <w:szCs w:val="21"/>
        </w:rPr>
      </w:pPr>
      <w:r>
        <w:rPr>
          <w:rFonts w:hint="eastAsia"/>
          <w:b/>
          <w:sz w:val="21"/>
          <w:szCs w:val="21"/>
        </w:rPr>
        <w:t>质量保证</w:t>
      </w:r>
    </w:p>
    <w:p>
      <w:pPr>
        <w:widowControl/>
        <w:spacing w:line="360" w:lineRule="auto"/>
        <w:ind w:firstLine="420" w:firstLineChars="200"/>
        <w:textAlignment w:val="center"/>
        <w:rPr>
          <w:rStyle w:val="57"/>
          <w:rFonts w:hint="default"/>
          <w:color w:val="auto"/>
          <w:sz w:val="21"/>
          <w:szCs w:val="21"/>
          <w:lang w:bidi="ar"/>
        </w:rPr>
      </w:pPr>
      <w:r>
        <w:rPr>
          <w:rStyle w:val="57"/>
          <w:rFonts w:hint="default"/>
          <w:color w:val="auto"/>
          <w:sz w:val="21"/>
          <w:szCs w:val="21"/>
          <w:lang w:bidi="ar"/>
        </w:rPr>
        <w:t xml:space="preserve">1、成交人应承诺为所投除耗材外所有货物提供至少24个月的质量保证期，质量保证期自所有货物验收合格之日起计算。 </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2、在质保期内，成交人应在采购人发出损坏、故障通知后提供必要的维修或更换部件并使设备达到正常运行。如24小时内无法进行修理或也不能再更换部件的设备在响应文件中明确说明。在设备修复并能正常运转时，3个月内出现同类故障应更换。</w:t>
      </w:r>
    </w:p>
    <w:p>
      <w:pPr>
        <w:pStyle w:val="2"/>
      </w:pPr>
    </w:p>
    <w:p>
      <w:pPr>
        <w:numPr>
          <w:ilvl w:val="0"/>
          <w:numId w:val="4"/>
        </w:numPr>
        <w:rPr>
          <w:b/>
          <w:sz w:val="21"/>
          <w:szCs w:val="21"/>
        </w:rPr>
      </w:pPr>
      <w:r>
        <w:rPr>
          <w:rFonts w:hint="eastAsia"/>
          <w:b/>
          <w:sz w:val="21"/>
          <w:szCs w:val="21"/>
        </w:rPr>
        <w:t>售后服务及培训</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质保期结束后，成交人应提供至少3年的售后服务。提供7×24热线服务，提供技术咨询，随时解决所发生的问题。如发生故障，若电话无法解决的，需在报修后2小时内进行响应，4小时内到达现场并在到达现场后8小时内解决问题。</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售后服务期内，如发生软件升级或设备升级、扩展有关情况，成交人应向采购人提供技术支持并提供必要的技术资料。</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质量保修期内，如因产品质量问题而产生损坏或不能正常工作，成交人应维修、更换和正常保养，相应延长故障设备的保修期，赔偿发生的经济损失。保修期后为采购人提供一套完整的运行记录。具体的操作程序和内容须在响应文件中说明。</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设备及系统同国家规定的标准和规范要求一致，检验及质量保修期内达到的性能指标与设计要求一致，达到或优于相应标准。</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在性能测试和质量保修期内所暴露的问题须获得令采购人满意的解决。</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在质保期满时，成交人工程师和采购人对机组进行一次测试，任何故障须由成交人自行解决并取得采购人的认可。</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对于项目中涉及的设备，成交人应提供维护及操作的技术培训。培训内容主要为设备的操作使用、维护培训，包括所提供产品的原理和技术性能、操作维护方法、安装调测、排除故障等方面，通过培训使采购人使用人员达到对设备能够独立操作，正常使用和维护的水平。</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成交人应至少在培训前3天向采购人提供培训日程和资料样本，培训资料的编写应使用简体中文，并且需经采购人确认。</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 xml:space="preserve">成交人需在响应文件中提供详细的培训计划，包括培训内容、培训时间、培训方式等。 </w:t>
      </w:r>
      <w:bookmarkStart w:id="4" w:name="_Toc4901"/>
      <w:bookmarkStart w:id="5" w:name="_Toc12029"/>
      <w:bookmarkStart w:id="6" w:name="_Toc8273"/>
      <w:r>
        <w:rPr>
          <w:rStyle w:val="57"/>
          <w:rFonts w:hint="default"/>
          <w:sz w:val="21"/>
          <w:szCs w:val="21"/>
          <w:lang w:bidi="ar"/>
        </w:rPr>
        <w:t>在质保期内因设备本身发生的安全责任事故由成交人负责。</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产品必须符合国家、北京市环保局技术标准，必须保证在产品规定的环境下其性能均符合技术要求。</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质保期内成交人需按照采购人要求到达设备使用地点定期进行设备巡检并向采购人提供设备巡检报告。</w:t>
      </w:r>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本项目要求在验收交付时，需要提供相关项目资料，包含但不限于：产品合格证书、最终技术资料，包括设计资料、各类规范和图片等。</w:t>
      </w:r>
      <w:bookmarkEnd w:id="4"/>
      <w:bookmarkEnd w:id="5"/>
      <w:bookmarkEnd w:id="6"/>
    </w:p>
    <w:p>
      <w:pPr>
        <w:widowControl/>
        <w:spacing w:line="360" w:lineRule="auto"/>
        <w:ind w:firstLine="420" w:firstLineChars="200"/>
        <w:textAlignment w:val="center"/>
        <w:rPr>
          <w:rStyle w:val="57"/>
          <w:rFonts w:hint="default"/>
          <w:sz w:val="21"/>
          <w:szCs w:val="21"/>
          <w:lang w:bidi="ar"/>
        </w:rPr>
      </w:pPr>
      <w:r>
        <w:rPr>
          <w:rStyle w:val="57"/>
          <w:rFonts w:hint="default"/>
          <w:sz w:val="21"/>
          <w:szCs w:val="21"/>
          <w:lang w:bidi="ar"/>
        </w:rPr>
        <w:t>以上发生的所有费用均包含在报价人的报价中。</w:t>
      </w:r>
    </w:p>
    <w:p>
      <w:pPr>
        <w:numPr>
          <w:ilvl w:val="0"/>
          <w:numId w:val="4"/>
        </w:numPr>
        <w:rPr>
          <w:b/>
          <w:sz w:val="21"/>
          <w:szCs w:val="21"/>
        </w:rPr>
      </w:pPr>
      <w:r>
        <w:rPr>
          <w:rFonts w:hint="eastAsia"/>
          <w:b/>
          <w:sz w:val="21"/>
          <w:szCs w:val="21"/>
        </w:rPr>
        <w:t>付款方式</w:t>
      </w:r>
    </w:p>
    <w:p>
      <w:pPr>
        <w:spacing w:line="360" w:lineRule="auto"/>
        <w:ind w:firstLine="420" w:firstLineChars="200"/>
        <w:rPr>
          <w:rFonts w:ascii="宋体" w:hAnsi="宋体" w:cs="宋体"/>
          <w:b/>
          <w:sz w:val="21"/>
          <w:szCs w:val="21"/>
        </w:rPr>
      </w:pPr>
      <w:r>
        <w:rPr>
          <w:rFonts w:hint="eastAsia" w:ascii="宋体" w:hAnsi="宋体" w:cs="宋体"/>
          <w:sz w:val="21"/>
          <w:szCs w:val="21"/>
        </w:rPr>
        <w:t>签订合同后10日内，成交人向采购人提交履约保证金，即合同总价10%，收到成交人提交的履约保证金且财政资金已下达15日内，且所有货物到货后，采购人向成交人支付</w:t>
      </w:r>
      <w:r>
        <w:rPr>
          <w:rFonts w:hint="eastAsia" w:ascii="宋体" w:hAnsi="宋体" w:cs="宋体"/>
          <w:color w:val="000000"/>
          <w:sz w:val="21"/>
          <w:szCs w:val="21"/>
        </w:rPr>
        <w:t>6</w:t>
      </w:r>
      <w:r>
        <w:rPr>
          <w:rFonts w:hint="eastAsia" w:ascii="宋体" w:hAnsi="宋体" w:cs="宋体"/>
          <w:color w:val="000000"/>
          <w:sz w:val="21"/>
          <w:szCs w:val="21"/>
          <w:u w:val="single"/>
        </w:rPr>
        <w:t>0%</w:t>
      </w:r>
      <w:r>
        <w:rPr>
          <w:rFonts w:hint="eastAsia" w:ascii="宋体" w:hAnsi="宋体" w:cs="宋体"/>
          <w:color w:val="000000"/>
          <w:sz w:val="21"/>
          <w:szCs w:val="21"/>
        </w:rPr>
        <w:t>合同款；安装、调试完成，</w:t>
      </w:r>
      <w:r>
        <w:rPr>
          <w:rFonts w:hint="eastAsia" w:ascii="宋体" w:hAnsi="宋体" w:cs="宋体"/>
          <w:sz w:val="21"/>
          <w:szCs w:val="21"/>
        </w:rPr>
        <w:t>最终验收合格并签署验收报告后，采购人向成交人支付合同尾款。质保期满，没有因成交人未履行质保责任导致扣款的，则无息退还履约保证金。</w:t>
      </w:r>
      <w:bookmarkEnd w:id="1"/>
      <w:bookmarkEnd w:id="2"/>
      <w:bookmarkEnd w:id="3"/>
    </w:p>
    <w:sectPr>
      <w:headerReference r:id="rId5" w:type="default"/>
      <w:footerReference r:id="rId6" w:type="default"/>
      <w:pgSz w:w="11907" w:h="16840"/>
      <w:pgMar w:top="1701" w:right="1588" w:bottom="1701" w:left="1588"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falt">
    <w:altName w:val="MingLiU-ExtB"/>
    <w:panose1 w:val="00000000000000000000"/>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93</w:t>
    </w:r>
    <w:r>
      <w:rPr>
        <w:szCs w:val="21"/>
      </w:rPr>
      <w:fldChar w:fldCharType="end"/>
    </w:r>
    <w:r>
      <w:rPr>
        <w:rFonts w:hint="eastAsia"/>
        <w:szCs w:val="21"/>
      </w:rPr>
      <w:t xml:space="preserve"> 页 共50页</w:t>
    </w:r>
  </w:p>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97167"/>
    <w:multiLevelType w:val="singleLevel"/>
    <w:tmpl w:val="91097167"/>
    <w:lvl w:ilvl="0" w:tentative="0">
      <w:start w:val="1"/>
      <w:numFmt w:val="decimal"/>
      <w:suff w:val="nothing"/>
      <w:lvlText w:val="（%1）"/>
      <w:lvlJc w:val="left"/>
    </w:lvl>
  </w:abstractNum>
  <w:abstractNum w:abstractNumId="1">
    <w:nsid w:val="B70CB694"/>
    <w:multiLevelType w:val="singleLevel"/>
    <w:tmpl w:val="B70CB694"/>
    <w:lvl w:ilvl="0" w:tentative="0">
      <w:start w:val="1"/>
      <w:numFmt w:val="lowerLetter"/>
      <w:suff w:val="space"/>
      <w:lvlText w:val="%1)"/>
      <w:lvlJc w:val="left"/>
    </w:lvl>
  </w:abstractNum>
  <w:abstractNum w:abstractNumId="2">
    <w:nsid w:val="C7FC344D"/>
    <w:multiLevelType w:val="singleLevel"/>
    <w:tmpl w:val="C7FC344D"/>
    <w:lvl w:ilvl="0" w:tentative="0">
      <w:start w:val="1"/>
      <w:numFmt w:val="decimal"/>
      <w:suff w:val="nothing"/>
      <w:lvlText w:val="%1、"/>
      <w:lvlJc w:val="left"/>
    </w:lvl>
  </w:abstractNum>
  <w:abstractNum w:abstractNumId="3">
    <w:nsid w:val="F8055D17"/>
    <w:multiLevelType w:val="singleLevel"/>
    <w:tmpl w:val="F8055D17"/>
    <w:lvl w:ilvl="0" w:tentative="0">
      <w:start w:val="1"/>
      <w:numFmt w:val="decimal"/>
      <w:suff w:val="nothing"/>
      <w:lvlText w:val="%1、"/>
      <w:lvlJc w:val="left"/>
    </w:lvl>
  </w:abstractNum>
  <w:abstractNum w:abstractNumId="4">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85"/>
      <w:suff w:val="nothing"/>
      <w:lvlText w:val="%2、"/>
      <w:lvlJc w:val="left"/>
      <w:pPr>
        <w:ind w:left="2694" w:firstLine="0"/>
      </w:pPr>
      <w:rPr>
        <w:rFonts w:hint="eastAsia" w:ascii="宋体" w:hAnsi="宋体" w:eastAsia="宋体"/>
        <w:sz w:val="21"/>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14"/>
    <w:multiLevelType w:val="multilevel"/>
    <w:tmpl w:val="00000014"/>
    <w:lvl w:ilvl="0" w:tentative="0">
      <w:start w:val="1"/>
      <w:numFmt w:val="decimal"/>
      <w:pStyle w:val="7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D"/>
    <w:multiLevelType w:val="multilevel"/>
    <w:tmpl w:val="0000001D"/>
    <w:lvl w:ilvl="0" w:tentative="0">
      <w:start w:val="1"/>
      <w:numFmt w:val="bullet"/>
      <w:pStyle w:val="104"/>
      <w:lvlText w:val=""/>
      <w:lvlJc w:val="left"/>
      <w:pPr>
        <w:tabs>
          <w:tab w:val="left" w:pos="1140"/>
        </w:tabs>
        <w:ind w:left="1140" w:hanging="720"/>
      </w:pPr>
      <w:rPr>
        <w:rFonts w:hint="default" w:ascii="Wingdings" w:hAnsi="Wingdings"/>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7">
    <w:nsid w:val="1FCD4497"/>
    <w:multiLevelType w:val="multilevel"/>
    <w:tmpl w:val="1FCD4497"/>
    <w:lvl w:ilvl="0" w:tentative="0">
      <w:start w:val="1"/>
      <w:numFmt w:val="chineseCountingThousand"/>
      <w:lvlText w:val="%1、"/>
      <w:lvlJc w:val="left"/>
      <w:pPr>
        <w:ind w:left="420" w:hanging="420"/>
      </w:pPr>
      <w:rPr>
        <w:rFonts w:hint="eastAsia" w:ascii="宋体" w:hAnsi="宋体" w:eastAsia="宋体" w:cs="宋体"/>
        <w:b/>
        <w:bCs/>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27ED0F"/>
    <w:multiLevelType w:val="singleLevel"/>
    <w:tmpl w:val="3127ED0F"/>
    <w:lvl w:ilvl="0" w:tentative="0">
      <w:start w:val="1"/>
      <w:numFmt w:val="lowerLetter"/>
      <w:lvlText w:val="%1)"/>
      <w:lvlJc w:val="left"/>
      <w:pPr>
        <w:tabs>
          <w:tab w:val="left" w:pos="312"/>
        </w:tabs>
      </w:pPr>
    </w:lvl>
  </w:abstractNum>
  <w:abstractNum w:abstractNumId="9">
    <w:nsid w:val="5092FA28"/>
    <w:multiLevelType w:val="singleLevel"/>
    <w:tmpl w:val="5092FA28"/>
    <w:lvl w:ilvl="0" w:tentative="0">
      <w:start w:val="1"/>
      <w:numFmt w:val="decimal"/>
      <w:suff w:val="nothing"/>
      <w:lvlText w:val="%1、"/>
      <w:lvlJc w:val="left"/>
    </w:lvl>
  </w:abstractNum>
  <w:abstractNum w:abstractNumId="10">
    <w:nsid w:val="6749C818"/>
    <w:multiLevelType w:val="singleLevel"/>
    <w:tmpl w:val="6749C818"/>
    <w:lvl w:ilvl="0" w:tentative="0">
      <w:start w:val="1"/>
      <w:numFmt w:val="decimal"/>
      <w:suff w:val="nothing"/>
      <w:lvlText w:val="%1、"/>
      <w:lvlJc w:val="left"/>
    </w:lvl>
  </w:abstractNum>
  <w:num w:numId="1">
    <w:abstractNumId w:val="4"/>
  </w:num>
  <w:num w:numId="2">
    <w:abstractNumId w:val="5"/>
  </w:num>
  <w:num w:numId="3">
    <w:abstractNumId w:val="6"/>
  </w:num>
  <w:num w:numId="4">
    <w:abstractNumId w:val="7"/>
  </w:num>
  <w:num w:numId="5">
    <w:abstractNumId w:val="9"/>
  </w:num>
  <w:num w:numId="6">
    <w:abstractNumId w:val="8"/>
  </w:num>
  <w:num w:numId="7">
    <w:abstractNumId w:val="1"/>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k1ZjM0MDA1ODRiMjA1ZTdmNmEzMGU2ZTAzMmUifQ=="/>
    <w:docVar w:name="KSO_WPS_MARK_KEY" w:val="b097939e-a871-4527-8f70-067ace2d8377"/>
  </w:docVars>
  <w:rsids>
    <w:rsidRoot w:val="7C8974D7"/>
    <w:rsid w:val="00000F84"/>
    <w:rsid w:val="00003D98"/>
    <w:rsid w:val="000102EC"/>
    <w:rsid w:val="000125C2"/>
    <w:rsid w:val="000154E6"/>
    <w:rsid w:val="00016509"/>
    <w:rsid w:val="00017DF2"/>
    <w:rsid w:val="00025294"/>
    <w:rsid w:val="00026929"/>
    <w:rsid w:val="00036C42"/>
    <w:rsid w:val="00042CA4"/>
    <w:rsid w:val="00045A8A"/>
    <w:rsid w:val="00046BC0"/>
    <w:rsid w:val="00051A51"/>
    <w:rsid w:val="00051FB2"/>
    <w:rsid w:val="000578D7"/>
    <w:rsid w:val="0006462B"/>
    <w:rsid w:val="00064EA0"/>
    <w:rsid w:val="00066BB3"/>
    <w:rsid w:val="000774C4"/>
    <w:rsid w:val="00083E03"/>
    <w:rsid w:val="00085CD3"/>
    <w:rsid w:val="000862F9"/>
    <w:rsid w:val="0009262F"/>
    <w:rsid w:val="0009561C"/>
    <w:rsid w:val="00096BAB"/>
    <w:rsid w:val="0009711C"/>
    <w:rsid w:val="000972B5"/>
    <w:rsid w:val="000A3D94"/>
    <w:rsid w:val="000A4480"/>
    <w:rsid w:val="000A6D25"/>
    <w:rsid w:val="000A7624"/>
    <w:rsid w:val="000B1F47"/>
    <w:rsid w:val="000B1F97"/>
    <w:rsid w:val="000B2A96"/>
    <w:rsid w:val="000B622B"/>
    <w:rsid w:val="000B731E"/>
    <w:rsid w:val="000C799D"/>
    <w:rsid w:val="000D2611"/>
    <w:rsid w:val="000D547B"/>
    <w:rsid w:val="000D7CCA"/>
    <w:rsid w:val="000E1A97"/>
    <w:rsid w:val="000E60C7"/>
    <w:rsid w:val="000E770E"/>
    <w:rsid w:val="000F052A"/>
    <w:rsid w:val="000F216E"/>
    <w:rsid w:val="000F3251"/>
    <w:rsid w:val="000F7D18"/>
    <w:rsid w:val="001015D1"/>
    <w:rsid w:val="00105FDF"/>
    <w:rsid w:val="0010773A"/>
    <w:rsid w:val="001175B6"/>
    <w:rsid w:val="00120028"/>
    <w:rsid w:val="001222D7"/>
    <w:rsid w:val="00133469"/>
    <w:rsid w:val="0013734C"/>
    <w:rsid w:val="001378F3"/>
    <w:rsid w:val="0014554F"/>
    <w:rsid w:val="00150AD7"/>
    <w:rsid w:val="00153D0E"/>
    <w:rsid w:val="0015654A"/>
    <w:rsid w:val="0016088E"/>
    <w:rsid w:val="00160E91"/>
    <w:rsid w:val="00161BDC"/>
    <w:rsid w:val="00161E32"/>
    <w:rsid w:val="00162ED5"/>
    <w:rsid w:val="0016420A"/>
    <w:rsid w:val="00165556"/>
    <w:rsid w:val="00165CDD"/>
    <w:rsid w:val="001669BB"/>
    <w:rsid w:val="0017192C"/>
    <w:rsid w:val="00173E0C"/>
    <w:rsid w:val="00174295"/>
    <w:rsid w:val="00181287"/>
    <w:rsid w:val="0019035E"/>
    <w:rsid w:val="00195D68"/>
    <w:rsid w:val="0019626B"/>
    <w:rsid w:val="001A28D6"/>
    <w:rsid w:val="001A2C1A"/>
    <w:rsid w:val="001B018D"/>
    <w:rsid w:val="001B0FC4"/>
    <w:rsid w:val="001B25DF"/>
    <w:rsid w:val="001B5B24"/>
    <w:rsid w:val="001B6D33"/>
    <w:rsid w:val="001B6D8F"/>
    <w:rsid w:val="001C0BD2"/>
    <w:rsid w:val="001C0D78"/>
    <w:rsid w:val="001C2978"/>
    <w:rsid w:val="001C3114"/>
    <w:rsid w:val="001C4911"/>
    <w:rsid w:val="001D0412"/>
    <w:rsid w:val="001D46EC"/>
    <w:rsid w:val="001D5129"/>
    <w:rsid w:val="001D79AE"/>
    <w:rsid w:val="001E1770"/>
    <w:rsid w:val="001E6702"/>
    <w:rsid w:val="001E6C76"/>
    <w:rsid w:val="001F0351"/>
    <w:rsid w:val="001F2D33"/>
    <w:rsid w:val="001F2D52"/>
    <w:rsid w:val="001F5C44"/>
    <w:rsid w:val="002112F8"/>
    <w:rsid w:val="002121B2"/>
    <w:rsid w:val="00213E06"/>
    <w:rsid w:val="00214413"/>
    <w:rsid w:val="00214754"/>
    <w:rsid w:val="0021726A"/>
    <w:rsid w:val="002232AF"/>
    <w:rsid w:val="002270B1"/>
    <w:rsid w:val="00233101"/>
    <w:rsid w:val="00237C0D"/>
    <w:rsid w:val="00240DCB"/>
    <w:rsid w:val="0024219D"/>
    <w:rsid w:val="0024387E"/>
    <w:rsid w:val="00243D78"/>
    <w:rsid w:val="00246377"/>
    <w:rsid w:val="002519E5"/>
    <w:rsid w:val="00252109"/>
    <w:rsid w:val="00253061"/>
    <w:rsid w:val="00253254"/>
    <w:rsid w:val="0025568A"/>
    <w:rsid w:val="00260E0B"/>
    <w:rsid w:val="00263A17"/>
    <w:rsid w:val="0026743C"/>
    <w:rsid w:val="002678EC"/>
    <w:rsid w:val="0027101E"/>
    <w:rsid w:val="00274569"/>
    <w:rsid w:val="00285D11"/>
    <w:rsid w:val="00295842"/>
    <w:rsid w:val="00295B6F"/>
    <w:rsid w:val="002A5AC9"/>
    <w:rsid w:val="002A5D97"/>
    <w:rsid w:val="002A7DDC"/>
    <w:rsid w:val="002B0C17"/>
    <w:rsid w:val="002B0C5B"/>
    <w:rsid w:val="002B3166"/>
    <w:rsid w:val="002B3389"/>
    <w:rsid w:val="002B6EBC"/>
    <w:rsid w:val="002C3165"/>
    <w:rsid w:val="002D0371"/>
    <w:rsid w:val="002D0689"/>
    <w:rsid w:val="002D13E7"/>
    <w:rsid w:val="002D39F4"/>
    <w:rsid w:val="002D57EC"/>
    <w:rsid w:val="002D5F8A"/>
    <w:rsid w:val="002D6F27"/>
    <w:rsid w:val="002D7734"/>
    <w:rsid w:val="002E5831"/>
    <w:rsid w:val="002F2FD7"/>
    <w:rsid w:val="002F37D8"/>
    <w:rsid w:val="002F3F61"/>
    <w:rsid w:val="002F5A23"/>
    <w:rsid w:val="002F5CE5"/>
    <w:rsid w:val="00300CE2"/>
    <w:rsid w:val="00304EA5"/>
    <w:rsid w:val="0031125C"/>
    <w:rsid w:val="00313802"/>
    <w:rsid w:val="00313B0F"/>
    <w:rsid w:val="00314442"/>
    <w:rsid w:val="00314ADD"/>
    <w:rsid w:val="003152FB"/>
    <w:rsid w:val="003204BE"/>
    <w:rsid w:val="00331C4D"/>
    <w:rsid w:val="00342B6B"/>
    <w:rsid w:val="003431DC"/>
    <w:rsid w:val="00345BAB"/>
    <w:rsid w:val="00347E25"/>
    <w:rsid w:val="00350A9F"/>
    <w:rsid w:val="00354C6D"/>
    <w:rsid w:val="00360C8F"/>
    <w:rsid w:val="00372744"/>
    <w:rsid w:val="00375EF4"/>
    <w:rsid w:val="0037629C"/>
    <w:rsid w:val="003767CA"/>
    <w:rsid w:val="0037746F"/>
    <w:rsid w:val="0039215B"/>
    <w:rsid w:val="003A4247"/>
    <w:rsid w:val="003A76FA"/>
    <w:rsid w:val="003A78C1"/>
    <w:rsid w:val="003B05C6"/>
    <w:rsid w:val="003B2179"/>
    <w:rsid w:val="003C12CD"/>
    <w:rsid w:val="003C1DF7"/>
    <w:rsid w:val="003C53D7"/>
    <w:rsid w:val="003D33AF"/>
    <w:rsid w:val="003E36E2"/>
    <w:rsid w:val="003E648B"/>
    <w:rsid w:val="003E715C"/>
    <w:rsid w:val="003E7FF6"/>
    <w:rsid w:val="003F06BF"/>
    <w:rsid w:val="003F3C1B"/>
    <w:rsid w:val="003F66FE"/>
    <w:rsid w:val="00401A83"/>
    <w:rsid w:val="00403598"/>
    <w:rsid w:val="00405B79"/>
    <w:rsid w:val="00406641"/>
    <w:rsid w:val="004138F5"/>
    <w:rsid w:val="00417C06"/>
    <w:rsid w:val="0042020B"/>
    <w:rsid w:val="00425660"/>
    <w:rsid w:val="00425E01"/>
    <w:rsid w:val="0043116E"/>
    <w:rsid w:val="00436BF7"/>
    <w:rsid w:val="00437AA9"/>
    <w:rsid w:val="004521AB"/>
    <w:rsid w:val="00453E21"/>
    <w:rsid w:val="00454A8C"/>
    <w:rsid w:val="004634DC"/>
    <w:rsid w:val="004724A7"/>
    <w:rsid w:val="00472C26"/>
    <w:rsid w:val="0047386C"/>
    <w:rsid w:val="004810C1"/>
    <w:rsid w:val="004810FA"/>
    <w:rsid w:val="004852B1"/>
    <w:rsid w:val="00486590"/>
    <w:rsid w:val="00496EEE"/>
    <w:rsid w:val="004A00FB"/>
    <w:rsid w:val="004A3DEE"/>
    <w:rsid w:val="004A65D4"/>
    <w:rsid w:val="004A7EC0"/>
    <w:rsid w:val="004B292E"/>
    <w:rsid w:val="004B582D"/>
    <w:rsid w:val="004C5017"/>
    <w:rsid w:val="004D3FED"/>
    <w:rsid w:val="004D4008"/>
    <w:rsid w:val="004D545C"/>
    <w:rsid w:val="004E6F1F"/>
    <w:rsid w:val="004F3C43"/>
    <w:rsid w:val="004F433F"/>
    <w:rsid w:val="004F4AE8"/>
    <w:rsid w:val="00500606"/>
    <w:rsid w:val="00501DF4"/>
    <w:rsid w:val="00506F72"/>
    <w:rsid w:val="0051179A"/>
    <w:rsid w:val="005126BD"/>
    <w:rsid w:val="00522436"/>
    <w:rsid w:val="00524424"/>
    <w:rsid w:val="005268E1"/>
    <w:rsid w:val="00526B3A"/>
    <w:rsid w:val="00527C4F"/>
    <w:rsid w:val="00533462"/>
    <w:rsid w:val="00543496"/>
    <w:rsid w:val="00545109"/>
    <w:rsid w:val="00547473"/>
    <w:rsid w:val="00551975"/>
    <w:rsid w:val="00555003"/>
    <w:rsid w:val="00555A85"/>
    <w:rsid w:val="005601E0"/>
    <w:rsid w:val="00567D72"/>
    <w:rsid w:val="00570BB6"/>
    <w:rsid w:val="00572AE4"/>
    <w:rsid w:val="0057367B"/>
    <w:rsid w:val="00584A0C"/>
    <w:rsid w:val="00584E4F"/>
    <w:rsid w:val="00590638"/>
    <w:rsid w:val="005942F8"/>
    <w:rsid w:val="005963B7"/>
    <w:rsid w:val="005A0D20"/>
    <w:rsid w:val="005A6875"/>
    <w:rsid w:val="005B2355"/>
    <w:rsid w:val="005B3FA6"/>
    <w:rsid w:val="005B697E"/>
    <w:rsid w:val="005C06F2"/>
    <w:rsid w:val="005C0884"/>
    <w:rsid w:val="005C45AB"/>
    <w:rsid w:val="005C51B7"/>
    <w:rsid w:val="005C61A6"/>
    <w:rsid w:val="005C63F7"/>
    <w:rsid w:val="005C6625"/>
    <w:rsid w:val="005D192E"/>
    <w:rsid w:val="005D317F"/>
    <w:rsid w:val="005D69CC"/>
    <w:rsid w:val="005E3C72"/>
    <w:rsid w:val="005E615D"/>
    <w:rsid w:val="005F0CE6"/>
    <w:rsid w:val="005F17D5"/>
    <w:rsid w:val="005F4E7E"/>
    <w:rsid w:val="005F6C3A"/>
    <w:rsid w:val="00600141"/>
    <w:rsid w:val="006100A4"/>
    <w:rsid w:val="00614927"/>
    <w:rsid w:val="00623964"/>
    <w:rsid w:val="00640490"/>
    <w:rsid w:val="00647DE8"/>
    <w:rsid w:val="006514FC"/>
    <w:rsid w:val="00653AC2"/>
    <w:rsid w:val="00657F63"/>
    <w:rsid w:val="0066114E"/>
    <w:rsid w:val="0066599C"/>
    <w:rsid w:val="00666874"/>
    <w:rsid w:val="006734F1"/>
    <w:rsid w:val="0067361C"/>
    <w:rsid w:val="00676148"/>
    <w:rsid w:val="006815DF"/>
    <w:rsid w:val="006848F7"/>
    <w:rsid w:val="0068710E"/>
    <w:rsid w:val="00690859"/>
    <w:rsid w:val="006913C0"/>
    <w:rsid w:val="00693BAB"/>
    <w:rsid w:val="0069442C"/>
    <w:rsid w:val="00694E1D"/>
    <w:rsid w:val="006959BD"/>
    <w:rsid w:val="00697F78"/>
    <w:rsid w:val="006A0603"/>
    <w:rsid w:val="006A4DA6"/>
    <w:rsid w:val="006A6F66"/>
    <w:rsid w:val="006B249E"/>
    <w:rsid w:val="006B4A27"/>
    <w:rsid w:val="006C06F6"/>
    <w:rsid w:val="006C12FB"/>
    <w:rsid w:val="006C1598"/>
    <w:rsid w:val="006C7DE1"/>
    <w:rsid w:val="006E3CA6"/>
    <w:rsid w:val="006E3E2F"/>
    <w:rsid w:val="006E5C43"/>
    <w:rsid w:val="006E7E62"/>
    <w:rsid w:val="006F51FE"/>
    <w:rsid w:val="006F7574"/>
    <w:rsid w:val="00700F50"/>
    <w:rsid w:val="007064EB"/>
    <w:rsid w:val="0070659A"/>
    <w:rsid w:val="00712422"/>
    <w:rsid w:val="00712D2F"/>
    <w:rsid w:val="00717F34"/>
    <w:rsid w:val="00724703"/>
    <w:rsid w:val="00731F9B"/>
    <w:rsid w:val="0073635F"/>
    <w:rsid w:val="00737339"/>
    <w:rsid w:val="00740AEE"/>
    <w:rsid w:val="00743095"/>
    <w:rsid w:val="00744F52"/>
    <w:rsid w:val="00746315"/>
    <w:rsid w:val="0074694C"/>
    <w:rsid w:val="00750A06"/>
    <w:rsid w:val="00756678"/>
    <w:rsid w:val="007575EF"/>
    <w:rsid w:val="00764963"/>
    <w:rsid w:val="007678D8"/>
    <w:rsid w:val="00771425"/>
    <w:rsid w:val="0077409F"/>
    <w:rsid w:val="0078010C"/>
    <w:rsid w:val="00786ECD"/>
    <w:rsid w:val="00793D5E"/>
    <w:rsid w:val="00794754"/>
    <w:rsid w:val="007A246B"/>
    <w:rsid w:val="007A4150"/>
    <w:rsid w:val="007A64F6"/>
    <w:rsid w:val="007B24F5"/>
    <w:rsid w:val="007B6192"/>
    <w:rsid w:val="007B6D5B"/>
    <w:rsid w:val="007B6F24"/>
    <w:rsid w:val="007C21B0"/>
    <w:rsid w:val="007D4361"/>
    <w:rsid w:val="007D4D2C"/>
    <w:rsid w:val="007E082D"/>
    <w:rsid w:val="007E169D"/>
    <w:rsid w:val="007F0E9E"/>
    <w:rsid w:val="007F2456"/>
    <w:rsid w:val="007F58F0"/>
    <w:rsid w:val="008027A2"/>
    <w:rsid w:val="00804114"/>
    <w:rsid w:val="00804EE7"/>
    <w:rsid w:val="00805EA5"/>
    <w:rsid w:val="00811EA2"/>
    <w:rsid w:val="008122C6"/>
    <w:rsid w:val="0081480E"/>
    <w:rsid w:val="00814EC3"/>
    <w:rsid w:val="00815639"/>
    <w:rsid w:val="0081789A"/>
    <w:rsid w:val="00820533"/>
    <w:rsid w:val="008233F8"/>
    <w:rsid w:val="008234C2"/>
    <w:rsid w:val="00825958"/>
    <w:rsid w:val="00826698"/>
    <w:rsid w:val="00826ADB"/>
    <w:rsid w:val="0083081A"/>
    <w:rsid w:val="008326A5"/>
    <w:rsid w:val="00832F71"/>
    <w:rsid w:val="00836B44"/>
    <w:rsid w:val="00840706"/>
    <w:rsid w:val="00841042"/>
    <w:rsid w:val="00842339"/>
    <w:rsid w:val="008441BD"/>
    <w:rsid w:val="008445B2"/>
    <w:rsid w:val="008451E2"/>
    <w:rsid w:val="00853C4E"/>
    <w:rsid w:val="00860452"/>
    <w:rsid w:val="0087159A"/>
    <w:rsid w:val="008715EE"/>
    <w:rsid w:val="008811DC"/>
    <w:rsid w:val="00882005"/>
    <w:rsid w:val="00882EA4"/>
    <w:rsid w:val="00884831"/>
    <w:rsid w:val="008858EB"/>
    <w:rsid w:val="008867C0"/>
    <w:rsid w:val="0088721C"/>
    <w:rsid w:val="00890D88"/>
    <w:rsid w:val="008A436A"/>
    <w:rsid w:val="008A5F22"/>
    <w:rsid w:val="008B7C4D"/>
    <w:rsid w:val="008C064E"/>
    <w:rsid w:val="008C0F98"/>
    <w:rsid w:val="008C5CAE"/>
    <w:rsid w:val="008C7CD0"/>
    <w:rsid w:val="008D0778"/>
    <w:rsid w:val="008D49C1"/>
    <w:rsid w:val="008D702C"/>
    <w:rsid w:val="008E1283"/>
    <w:rsid w:val="008F2FE6"/>
    <w:rsid w:val="008F3F29"/>
    <w:rsid w:val="008F4DA8"/>
    <w:rsid w:val="00905B35"/>
    <w:rsid w:val="00906CB6"/>
    <w:rsid w:val="00913FC5"/>
    <w:rsid w:val="00916AFD"/>
    <w:rsid w:val="009202B4"/>
    <w:rsid w:val="009208F9"/>
    <w:rsid w:val="00923EF9"/>
    <w:rsid w:val="00925040"/>
    <w:rsid w:val="00931B9C"/>
    <w:rsid w:val="009328F8"/>
    <w:rsid w:val="00933DD6"/>
    <w:rsid w:val="009416BF"/>
    <w:rsid w:val="00943371"/>
    <w:rsid w:val="009517AD"/>
    <w:rsid w:val="00952067"/>
    <w:rsid w:val="00956D07"/>
    <w:rsid w:val="00962723"/>
    <w:rsid w:val="009635C0"/>
    <w:rsid w:val="00966E5F"/>
    <w:rsid w:val="00966EF1"/>
    <w:rsid w:val="009802D5"/>
    <w:rsid w:val="00980D55"/>
    <w:rsid w:val="009855BD"/>
    <w:rsid w:val="00986383"/>
    <w:rsid w:val="0098676F"/>
    <w:rsid w:val="00986DF5"/>
    <w:rsid w:val="00990D4A"/>
    <w:rsid w:val="009950AC"/>
    <w:rsid w:val="009A1187"/>
    <w:rsid w:val="009A1683"/>
    <w:rsid w:val="009A2A91"/>
    <w:rsid w:val="009A35EC"/>
    <w:rsid w:val="009A3F15"/>
    <w:rsid w:val="009B1710"/>
    <w:rsid w:val="009B231E"/>
    <w:rsid w:val="009B3E39"/>
    <w:rsid w:val="009B50F4"/>
    <w:rsid w:val="009C1038"/>
    <w:rsid w:val="009C5B64"/>
    <w:rsid w:val="009D161D"/>
    <w:rsid w:val="009D169C"/>
    <w:rsid w:val="009D2CD1"/>
    <w:rsid w:val="009D7E29"/>
    <w:rsid w:val="009E2338"/>
    <w:rsid w:val="009E4E8C"/>
    <w:rsid w:val="009E5802"/>
    <w:rsid w:val="009E6CE3"/>
    <w:rsid w:val="009F0048"/>
    <w:rsid w:val="009F7FC6"/>
    <w:rsid w:val="00A032BD"/>
    <w:rsid w:val="00A065F8"/>
    <w:rsid w:val="00A10C2C"/>
    <w:rsid w:val="00A10EF0"/>
    <w:rsid w:val="00A114D5"/>
    <w:rsid w:val="00A11CEC"/>
    <w:rsid w:val="00A14B8C"/>
    <w:rsid w:val="00A21BF9"/>
    <w:rsid w:val="00A21E7B"/>
    <w:rsid w:val="00A24D5D"/>
    <w:rsid w:val="00A258E0"/>
    <w:rsid w:val="00A27063"/>
    <w:rsid w:val="00A272E4"/>
    <w:rsid w:val="00A3602A"/>
    <w:rsid w:val="00A36546"/>
    <w:rsid w:val="00A46940"/>
    <w:rsid w:val="00A5221C"/>
    <w:rsid w:val="00A53537"/>
    <w:rsid w:val="00A61232"/>
    <w:rsid w:val="00A629EA"/>
    <w:rsid w:val="00A639E6"/>
    <w:rsid w:val="00A65C7A"/>
    <w:rsid w:val="00A7141D"/>
    <w:rsid w:val="00A71F98"/>
    <w:rsid w:val="00A73C1F"/>
    <w:rsid w:val="00A74CC7"/>
    <w:rsid w:val="00A76EEB"/>
    <w:rsid w:val="00A7709D"/>
    <w:rsid w:val="00A820C9"/>
    <w:rsid w:val="00A84617"/>
    <w:rsid w:val="00A84759"/>
    <w:rsid w:val="00A85DAB"/>
    <w:rsid w:val="00A90377"/>
    <w:rsid w:val="00A9076E"/>
    <w:rsid w:val="00A91D02"/>
    <w:rsid w:val="00A92DFE"/>
    <w:rsid w:val="00A931A7"/>
    <w:rsid w:val="00A95F06"/>
    <w:rsid w:val="00AA14DA"/>
    <w:rsid w:val="00AA1EF5"/>
    <w:rsid w:val="00AA2333"/>
    <w:rsid w:val="00AA49EC"/>
    <w:rsid w:val="00AB7ADC"/>
    <w:rsid w:val="00AC045F"/>
    <w:rsid w:val="00AC0BA6"/>
    <w:rsid w:val="00AC1209"/>
    <w:rsid w:val="00AC4422"/>
    <w:rsid w:val="00AC48CE"/>
    <w:rsid w:val="00AC7D5A"/>
    <w:rsid w:val="00AD0810"/>
    <w:rsid w:val="00AD75E1"/>
    <w:rsid w:val="00AE2BE1"/>
    <w:rsid w:val="00AE5BCB"/>
    <w:rsid w:val="00AF2C44"/>
    <w:rsid w:val="00AF6376"/>
    <w:rsid w:val="00AF77FD"/>
    <w:rsid w:val="00B03665"/>
    <w:rsid w:val="00B0381F"/>
    <w:rsid w:val="00B04279"/>
    <w:rsid w:val="00B04D5E"/>
    <w:rsid w:val="00B1337A"/>
    <w:rsid w:val="00B2683F"/>
    <w:rsid w:val="00B27F3C"/>
    <w:rsid w:val="00B31099"/>
    <w:rsid w:val="00B3532D"/>
    <w:rsid w:val="00B37CC4"/>
    <w:rsid w:val="00B40AA6"/>
    <w:rsid w:val="00B43AA7"/>
    <w:rsid w:val="00B46034"/>
    <w:rsid w:val="00B51263"/>
    <w:rsid w:val="00B55067"/>
    <w:rsid w:val="00B5779A"/>
    <w:rsid w:val="00B66555"/>
    <w:rsid w:val="00B719CC"/>
    <w:rsid w:val="00B7577F"/>
    <w:rsid w:val="00B7623C"/>
    <w:rsid w:val="00B7641A"/>
    <w:rsid w:val="00B7732B"/>
    <w:rsid w:val="00B8146F"/>
    <w:rsid w:val="00B814F7"/>
    <w:rsid w:val="00B83D5C"/>
    <w:rsid w:val="00B9022A"/>
    <w:rsid w:val="00B9120D"/>
    <w:rsid w:val="00B953F3"/>
    <w:rsid w:val="00B9771F"/>
    <w:rsid w:val="00B97976"/>
    <w:rsid w:val="00BA032C"/>
    <w:rsid w:val="00BA0B0E"/>
    <w:rsid w:val="00BA15A8"/>
    <w:rsid w:val="00BA279B"/>
    <w:rsid w:val="00BA5DA7"/>
    <w:rsid w:val="00BA7CEE"/>
    <w:rsid w:val="00BB1263"/>
    <w:rsid w:val="00BB295B"/>
    <w:rsid w:val="00BB3F87"/>
    <w:rsid w:val="00BB4079"/>
    <w:rsid w:val="00BC225F"/>
    <w:rsid w:val="00BC3BEC"/>
    <w:rsid w:val="00BD2229"/>
    <w:rsid w:val="00BD3884"/>
    <w:rsid w:val="00BD64E9"/>
    <w:rsid w:val="00BE2560"/>
    <w:rsid w:val="00BF118C"/>
    <w:rsid w:val="00BF3541"/>
    <w:rsid w:val="00C00AD4"/>
    <w:rsid w:val="00C053AE"/>
    <w:rsid w:val="00C053F7"/>
    <w:rsid w:val="00C07F1D"/>
    <w:rsid w:val="00C107F5"/>
    <w:rsid w:val="00C14320"/>
    <w:rsid w:val="00C16C8A"/>
    <w:rsid w:val="00C21529"/>
    <w:rsid w:val="00C2322C"/>
    <w:rsid w:val="00C25454"/>
    <w:rsid w:val="00C30A76"/>
    <w:rsid w:val="00C370D3"/>
    <w:rsid w:val="00C47C1B"/>
    <w:rsid w:val="00C47E35"/>
    <w:rsid w:val="00C52FF1"/>
    <w:rsid w:val="00C56EDE"/>
    <w:rsid w:val="00C57023"/>
    <w:rsid w:val="00C61381"/>
    <w:rsid w:val="00C62270"/>
    <w:rsid w:val="00C66B11"/>
    <w:rsid w:val="00C70114"/>
    <w:rsid w:val="00C709F8"/>
    <w:rsid w:val="00C724F9"/>
    <w:rsid w:val="00C72550"/>
    <w:rsid w:val="00C758FF"/>
    <w:rsid w:val="00C7666C"/>
    <w:rsid w:val="00C80EC2"/>
    <w:rsid w:val="00C8702A"/>
    <w:rsid w:val="00C90A5B"/>
    <w:rsid w:val="00C94EBE"/>
    <w:rsid w:val="00CA0EEF"/>
    <w:rsid w:val="00CA13CC"/>
    <w:rsid w:val="00CA1748"/>
    <w:rsid w:val="00CA275E"/>
    <w:rsid w:val="00CA337D"/>
    <w:rsid w:val="00CA6C13"/>
    <w:rsid w:val="00CA7126"/>
    <w:rsid w:val="00CB1714"/>
    <w:rsid w:val="00CB4F42"/>
    <w:rsid w:val="00CB5A7A"/>
    <w:rsid w:val="00CB7083"/>
    <w:rsid w:val="00CC0925"/>
    <w:rsid w:val="00CC0CDA"/>
    <w:rsid w:val="00CC3435"/>
    <w:rsid w:val="00CC4ACF"/>
    <w:rsid w:val="00CC66A1"/>
    <w:rsid w:val="00CC7D2C"/>
    <w:rsid w:val="00CD4B31"/>
    <w:rsid w:val="00CE27A3"/>
    <w:rsid w:val="00CE2A80"/>
    <w:rsid w:val="00CE4EF6"/>
    <w:rsid w:val="00CE523A"/>
    <w:rsid w:val="00CE799B"/>
    <w:rsid w:val="00CF2E52"/>
    <w:rsid w:val="00CF5B7C"/>
    <w:rsid w:val="00D0005F"/>
    <w:rsid w:val="00D009B5"/>
    <w:rsid w:val="00D00B21"/>
    <w:rsid w:val="00D05DF1"/>
    <w:rsid w:val="00D10FC5"/>
    <w:rsid w:val="00D122EB"/>
    <w:rsid w:val="00D164CE"/>
    <w:rsid w:val="00D23EB6"/>
    <w:rsid w:val="00D31EFB"/>
    <w:rsid w:val="00D428A6"/>
    <w:rsid w:val="00D4589D"/>
    <w:rsid w:val="00D468CC"/>
    <w:rsid w:val="00D47246"/>
    <w:rsid w:val="00D50B72"/>
    <w:rsid w:val="00D51437"/>
    <w:rsid w:val="00D5239A"/>
    <w:rsid w:val="00D56567"/>
    <w:rsid w:val="00D61A74"/>
    <w:rsid w:val="00D62CD5"/>
    <w:rsid w:val="00D6388E"/>
    <w:rsid w:val="00D67E81"/>
    <w:rsid w:val="00D705A5"/>
    <w:rsid w:val="00D71D45"/>
    <w:rsid w:val="00D7511C"/>
    <w:rsid w:val="00D7540C"/>
    <w:rsid w:val="00D7557E"/>
    <w:rsid w:val="00D82297"/>
    <w:rsid w:val="00D84D50"/>
    <w:rsid w:val="00D870F1"/>
    <w:rsid w:val="00D9139D"/>
    <w:rsid w:val="00D92C7E"/>
    <w:rsid w:val="00D9445C"/>
    <w:rsid w:val="00D97BE1"/>
    <w:rsid w:val="00DA5DB3"/>
    <w:rsid w:val="00DA74AA"/>
    <w:rsid w:val="00DB0EAC"/>
    <w:rsid w:val="00DB70B3"/>
    <w:rsid w:val="00DC3FB3"/>
    <w:rsid w:val="00DE080F"/>
    <w:rsid w:val="00DE2804"/>
    <w:rsid w:val="00DE2F4D"/>
    <w:rsid w:val="00DE2FD4"/>
    <w:rsid w:val="00DE383E"/>
    <w:rsid w:val="00DE722B"/>
    <w:rsid w:val="00DF18BA"/>
    <w:rsid w:val="00E00933"/>
    <w:rsid w:val="00E047AC"/>
    <w:rsid w:val="00E170A8"/>
    <w:rsid w:val="00E172BE"/>
    <w:rsid w:val="00E20DEC"/>
    <w:rsid w:val="00E2378C"/>
    <w:rsid w:val="00E24048"/>
    <w:rsid w:val="00E2718C"/>
    <w:rsid w:val="00E27394"/>
    <w:rsid w:val="00E27DB1"/>
    <w:rsid w:val="00E316E0"/>
    <w:rsid w:val="00E32E1E"/>
    <w:rsid w:val="00E34791"/>
    <w:rsid w:val="00E35980"/>
    <w:rsid w:val="00E44291"/>
    <w:rsid w:val="00E44A6C"/>
    <w:rsid w:val="00E531E9"/>
    <w:rsid w:val="00E607E4"/>
    <w:rsid w:val="00E6124C"/>
    <w:rsid w:val="00E6154C"/>
    <w:rsid w:val="00E70C83"/>
    <w:rsid w:val="00E73EC1"/>
    <w:rsid w:val="00E7400D"/>
    <w:rsid w:val="00E74D92"/>
    <w:rsid w:val="00E75BC7"/>
    <w:rsid w:val="00E819D1"/>
    <w:rsid w:val="00E83032"/>
    <w:rsid w:val="00E84671"/>
    <w:rsid w:val="00E86073"/>
    <w:rsid w:val="00E91026"/>
    <w:rsid w:val="00E914C1"/>
    <w:rsid w:val="00EA1F48"/>
    <w:rsid w:val="00EA2E74"/>
    <w:rsid w:val="00EB2E00"/>
    <w:rsid w:val="00EB3786"/>
    <w:rsid w:val="00EB5E4A"/>
    <w:rsid w:val="00EB75F3"/>
    <w:rsid w:val="00EC3018"/>
    <w:rsid w:val="00EC40BF"/>
    <w:rsid w:val="00EC4100"/>
    <w:rsid w:val="00EC4368"/>
    <w:rsid w:val="00EC62B5"/>
    <w:rsid w:val="00ED0449"/>
    <w:rsid w:val="00ED2752"/>
    <w:rsid w:val="00ED4F69"/>
    <w:rsid w:val="00EE3D00"/>
    <w:rsid w:val="00EE4219"/>
    <w:rsid w:val="00EE4F03"/>
    <w:rsid w:val="00EE795A"/>
    <w:rsid w:val="00EF7126"/>
    <w:rsid w:val="00F008E7"/>
    <w:rsid w:val="00F00FB7"/>
    <w:rsid w:val="00F00FDF"/>
    <w:rsid w:val="00F01032"/>
    <w:rsid w:val="00F03E4A"/>
    <w:rsid w:val="00F075A0"/>
    <w:rsid w:val="00F1153B"/>
    <w:rsid w:val="00F15176"/>
    <w:rsid w:val="00F24D3E"/>
    <w:rsid w:val="00F25524"/>
    <w:rsid w:val="00F25D48"/>
    <w:rsid w:val="00F27E17"/>
    <w:rsid w:val="00F35E37"/>
    <w:rsid w:val="00F37387"/>
    <w:rsid w:val="00F379B4"/>
    <w:rsid w:val="00F42038"/>
    <w:rsid w:val="00F43863"/>
    <w:rsid w:val="00F43F34"/>
    <w:rsid w:val="00F4517F"/>
    <w:rsid w:val="00F51647"/>
    <w:rsid w:val="00F51BDE"/>
    <w:rsid w:val="00F51C87"/>
    <w:rsid w:val="00F540F9"/>
    <w:rsid w:val="00F548B3"/>
    <w:rsid w:val="00F5691D"/>
    <w:rsid w:val="00F57E56"/>
    <w:rsid w:val="00F57E98"/>
    <w:rsid w:val="00F61FD6"/>
    <w:rsid w:val="00F64A31"/>
    <w:rsid w:val="00F7338D"/>
    <w:rsid w:val="00F739F8"/>
    <w:rsid w:val="00F752F6"/>
    <w:rsid w:val="00F76397"/>
    <w:rsid w:val="00F76AD0"/>
    <w:rsid w:val="00F77329"/>
    <w:rsid w:val="00F81684"/>
    <w:rsid w:val="00F8405B"/>
    <w:rsid w:val="00F84CEB"/>
    <w:rsid w:val="00F866B6"/>
    <w:rsid w:val="00F91801"/>
    <w:rsid w:val="00F92B1E"/>
    <w:rsid w:val="00F93489"/>
    <w:rsid w:val="00F94932"/>
    <w:rsid w:val="00FA1C73"/>
    <w:rsid w:val="00FA2968"/>
    <w:rsid w:val="00FA2DF7"/>
    <w:rsid w:val="00FA41E7"/>
    <w:rsid w:val="00FA464D"/>
    <w:rsid w:val="00FB2638"/>
    <w:rsid w:val="00FB63E6"/>
    <w:rsid w:val="00FC3993"/>
    <w:rsid w:val="00FC7AAF"/>
    <w:rsid w:val="00FD0855"/>
    <w:rsid w:val="00FD092E"/>
    <w:rsid w:val="00FD1F69"/>
    <w:rsid w:val="00FD5B9E"/>
    <w:rsid w:val="00FD6752"/>
    <w:rsid w:val="00FD71DC"/>
    <w:rsid w:val="00FE206A"/>
    <w:rsid w:val="00FE4CF8"/>
    <w:rsid w:val="00FE7FB8"/>
    <w:rsid w:val="00FF00CB"/>
    <w:rsid w:val="00FF2255"/>
    <w:rsid w:val="00FF33A8"/>
    <w:rsid w:val="00FF4D1D"/>
    <w:rsid w:val="00FF53CA"/>
    <w:rsid w:val="00FF63BE"/>
    <w:rsid w:val="00FF6BE5"/>
    <w:rsid w:val="015E3161"/>
    <w:rsid w:val="020E3E06"/>
    <w:rsid w:val="028E4F47"/>
    <w:rsid w:val="02A36ABF"/>
    <w:rsid w:val="02B80282"/>
    <w:rsid w:val="02BA1A1C"/>
    <w:rsid w:val="031F44CE"/>
    <w:rsid w:val="035E5F85"/>
    <w:rsid w:val="05247796"/>
    <w:rsid w:val="05D45367"/>
    <w:rsid w:val="062F3179"/>
    <w:rsid w:val="06406684"/>
    <w:rsid w:val="06E17CDB"/>
    <w:rsid w:val="06F36187"/>
    <w:rsid w:val="073C4107"/>
    <w:rsid w:val="077706A0"/>
    <w:rsid w:val="07B05960"/>
    <w:rsid w:val="080E58B0"/>
    <w:rsid w:val="08194BD8"/>
    <w:rsid w:val="0A05044D"/>
    <w:rsid w:val="0A9C488F"/>
    <w:rsid w:val="0BD7457F"/>
    <w:rsid w:val="0C087B18"/>
    <w:rsid w:val="0D1F05F5"/>
    <w:rsid w:val="0D286D68"/>
    <w:rsid w:val="0D821A68"/>
    <w:rsid w:val="0E2B4ADB"/>
    <w:rsid w:val="0F1E2EC9"/>
    <w:rsid w:val="0F4F5A5E"/>
    <w:rsid w:val="0FE73815"/>
    <w:rsid w:val="0FF92229"/>
    <w:rsid w:val="10675CA1"/>
    <w:rsid w:val="110036DA"/>
    <w:rsid w:val="11CA6134"/>
    <w:rsid w:val="128066F3"/>
    <w:rsid w:val="12BA465F"/>
    <w:rsid w:val="137F2DB6"/>
    <w:rsid w:val="13FF7A53"/>
    <w:rsid w:val="146D661C"/>
    <w:rsid w:val="14BE0241"/>
    <w:rsid w:val="14CE168B"/>
    <w:rsid w:val="14EB7FD7"/>
    <w:rsid w:val="163161BA"/>
    <w:rsid w:val="165E3157"/>
    <w:rsid w:val="16A86D81"/>
    <w:rsid w:val="173B5023"/>
    <w:rsid w:val="17C62F4C"/>
    <w:rsid w:val="194E44F5"/>
    <w:rsid w:val="19C239FC"/>
    <w:rsid w:val="19EC56FF"/>
    <w:rsid w:val="1A1C3315"/>
    <w:rsid w:val="1BBE6445"/>
    <w:rsid w:val="1C444E59"/>
    <w:rsid w:val="1D0E1A86"/>
    <w:rsid w:val="1E3E04E2"/>
    <w:rsid w:val="1E8D3987"/>
    <w:rsid w:val="1ED116F2"/>
    <w:rsid w:val="20230F6D"/>
    <w:rsid w:val="203247BC"/>
    <w:rsid w:val="217604C1"/>
    <w:rsid w:val="23104D4D"/>
    <w:rsid w:val="23596DAD"/>
    <w:rsid w:val="23C81C42"/>
    <w:rsid w:val="24AF2C31"/>
    <w:rsid w:val="250A26FB"/>
    <w:rsid w:val="25A22934"/>
    <w:rsid w:val="264364D1"/>
    <w:rsid w:val="26445799"/>
    <w:rsid w:val="26EF1150"/>
    <w:rsid w:val="27392E24"/>
    <w:rsid w:val="27936189"/>
    <w:rsid w:val="2856566D"/>
    <w:rsid w:val="295935BD"/>
    <w:rsid w:val="297F058E"/>
    <w:rsid w:val="29B81C23"/>
    <w:rsid w:val="29C9144C"/>
    <w:rsid w:val="2A4E636C"/>
    <w:rsid w:val="2A636507"/>
    <w:rsid w:val="2A843F42"/>
    <w:rsid w:val="2B0E7265"/>
    <w:rsid w:val="2B3F7D0C"/>
    <w:rsid w:val="2C396FE8"/>
    <w:rsid w:val="2C7A0919"/>
    <w:rsid w:val="2CBC077F"/>
    <w:rsid w:val="2E100C6A"/>
    <w:rsid w:val="2E344345"/>
    <w:rsid w:val="2E3A375B"/>
    <w:rsid w:val="2E694C2A"/>
    <w:rsid w:val="2E892868"/>
    <w:rsid w:val="2F4162CA"/>
    <w:rsid w:val="316C5FFD"/>
    <w:rsid w:val="318D6246"/>
    <w:rsid w:val="32AB17DF"/>
    <w:rsid w:val="3311414E"/>
    <w:rsid w:val="331D184C"/>
    <w:rsid w:val="33753436"/>
    <w:rsid w:val="33D509D3"/>
    <w:rsid w:val="35B62879"/>
    <w:rsid w:val="360D3DFA"/>
    <w:rsid w:val="36920DD7"/>
    <w:rsid w:val="36F62AE0"/>
    <w:rsid w:val="377F3F15"/>
    <w:rsid w:val="37A50FEB"/>
    <w:rsid w:val="37B207B5"/>
    <w:rsid w:val="37C12F16"/>
    <w:rsid w:val="37F1178B"/>
    <w:rsid w:val="38167731"/>
    <w:rsid w:val="38753484"/>
    <w:rsid w:val="39423DBA"/>
    <w:rsid w:val="39627FB8"/>
    <w:rsid w:val="39667BF6"/>
    <w:rsid w:val="39CB50ED"/>
    <w:rsid w:val="3A3312A8"/>
    <w:rsid w:val="3A922B1F"/>
    <w:rsid w:val="3AE33CE2"/>
    <w:rsid w:val="3AEE244B"/>
    <w:rsid w:val="3B9C73B1"/>
    <w:rsid w:val="3BF666F9"/>
    <w:rsid w:val="3C020661"/>
    <w:rsid w:val="3C067395"/>
    <w:rsid w:val="3D0F3D1E"/>
    <w:rsid w:val="3DE672A5"/>
    <w:rsid w:val="3DE67605"/>
    <w:rsid w:val="3EE40E0F"/>
    <w:rsid w:val="3F80208D"/>
    <w:rsid w:val="400412BD"/>
    <w:rsid w:val="401F09B1"/>
    <w:rsid w:val="40F07398"/>
    <w:rsid w:val="41557FD3"/>
    <w:rsid w:val="417F72A0"/>
    <w:rsid w:val="42242754"/>
    <w:rsid w:val="42B20202"/>
    <w:rsid w:val="42F04297"/>
    <w:rsid w:val="435272F0"/>
    <w:rsid w:val="44310DA7"/>
    <w:rsid w:val="446D1852"/>
    <w:rsid w:val="446F3881"/>
    <w:rsid w:val="447A1CE6"/>
    <w:rsid w:val="44986AFC"/>
    <w:rsid w:val="44AD0C81"/>
    <w:rsid w:val="457A7D53"/>
    <w:rsid w:val="45F00139"/>
    <w:rsid w:val="466074D4"/>
    <w:rsid w:val="46787FAE"/>
    <w:rsid w:val="47022B91"/>
    <w:rsid w:val="48592A3D"/>
    <w:rsid w:val="48E06F25"/>
    <w:rsid w:val="493F6097"/>
    <w:rsid w:val="497C0DCB"/>
    <w:rsid w:val="499F2B63"/>
    <w:rsid w:val="49B36559"/>
    <w:rsid w:val="49C246BC"/>
    <w:rsid w:val="49EF440A"/>
    <w:rsid w:val="4B4B5C01"/>
    <w:rsid w:val="4BFE1146"/>
    <w:rsid w:val="4C1A4433"/>
    <w:rsid w:val="4D41506A"/>
    <w:rsid w:val="4D524341"/>
    <w:rsid w:val="4DE560B8"/>
    <w:rsid w:val="4EA36C51"/>
    <w:rsid w:val="4EA779C3"/>
    <w:rsid w:val="4F0E1155"/>
    <w:rsid w:val="4F751AAD"/>
    <w:rsid w:val="4F815C1D"/>
    <w:rsid w:val="4F9111A0"/>
    <w:rsid w:val="4FB642C6"/>
    <w:rsid w:val="4FF65728"/>
    <w:rsid w:val="4FFF9B83"/>
    <w:rsid w:val="513E5AF2"/>
    <w:rsid w:val="51700CD7"/>
    <w:rsid w:val="517B6514"/>
    <w:rsid w:val="51AE7E54"/>
    <w:rsid w:val="51B64EEE"/>
    <w:rsid w:val="51D05F4E"/>
    <w:rsid w:val="5215611C"/>
    <w:rsid w:val="52156480"/>
    <w:rsid w:val="528E5A38"/>
    <w:rsid w:val="52BD10D1"/>
    <w:rsid w:val="52C97AC2"/>
    <w:rsid w:val="53251249"/>
    <w:rsid w:val="532E49E2"/>
    <w:rsid w:val="53397B84"/>
    <w:rsid w:val="5381069B"/>
    <w:rsid w:val="539D0113"/>
    <w:rsid w:val="53A539AD"/>
    <w:rsid w:val="53BC725F"/>
    <w:rsid w:val="54044563"/>
    <w:rsid w:val="54222D64"/>
    <w:rsid w:val="54A73905"/>
    <w:rsid w:val="55590C89"/>
    <w:rsid w:val="55B2342F"/>
    <w:rsid w:val="55B75865"/>
    <w:rsid w:val="56556957"/>
    <w:rsid w:val="56FB3ACE"/>
    <w:rsid w:val="57AF4A33"/>
    <w:rsid w:val="583D3FCC"/>
    <w:rsid w:val="597F32C9"/>
    <w:rsid w:val="59E715D7"/>
    <w:rsid w:val="5B491F2D"/>
    <w:rsid w:val="5CAD349C"/>
    <w:rsid w:val="5D0134C1"/>
    <w:rsid w:val="5D7506F5"/>
    <w:rsid w:val="5DC316A5"/>
    <w:rsid w:val="5DED673A"/>
    <w:rsid w:val="5E543C59"/>
    <w:rsid w:val="5E5C6509"/>
    <w:rsid w:val="5EBF61FE"/>
    <w:rsid w:val="5FB82306"/>
    <w:rsid w:val="5FEB468E"/>
    <w:rsid w:val="5FEE4FE9"/>
    <w:rsid w:val="609833CE"/>
    <w:rsid w:val="6106379C"/>
    <w:rsid w:val="61664251"/>
    <w:rsid w:val="619C02DD"/>
    <w:rsid w:val="62201B37"/>
    <w:rsid w:val="62775FD3"/>
    <w:rsid w:val="628C38CE"/>
    <w:rsid w:val="62C70D09"/>
    <w:rsid w:val="62EB0991"/>
    <w:rsid w:val="63D52F45"/>
    <w:rsid w:val="64065861"/>
    <w:rsid w:val="64300B94"/>
    <w:rsid w:val="66EF4233"/>
    <w:rsid w:val="66F57567"/>
    <w:rsid w:val="675A398D"/>
    <w:rsid w:val="67DF08A2"/>
    <w:rsid w:val="6824715C"/>
    <w:rsid w:val="68906E9A"/>
    <w:rsid w:val="68BA5B0A"/>
    <w:rsid w:val="68BC5088"/>
    <w:rsid w:val="68F76FC3"/>
    <w:rsid w:val="698D01CC"/>
    <w:rsid w:val="699D210A"/>
    <w:rsid w:val="69CA10DE"/>
    <w:rsid w:val="69E01F40"/>
    <w:rsid w:val="6A0E1F92"/>
    <w:rsid w:val="6BB74A84"/>
    <w:rsid w:val="6BF80185"/>
    <w:rsid w:val="6C8C6433"/>
    <w:rsid w:val="6D3062A0"/>
    <w:rsid w:val="6E6B24EC"/>
    <w:rsid w:val="6E865901"/>
    <w:rsid w:val="6E9F0D84"/>
    <w:rsid w:val="6FF741AE"/>
    <w:rsid w:val="6FF74B04"/>
    <w:rsid w:val="701A0D4E"/>
    <w:rsid w:val="703A72E1"/>
    <w:rsid w:val="70FE0F49"/>
    <w:rsid w:val="71207833"/>
    <w:rsid w:val="73972C93"/>
    <w:rsid w:val="741F1C9D"/>
    <w:rsid w:val="74365CEE"/>
    <w:rsid w:val="7452064E"/>
    <w:rsid w:val="74532949"/>
    <w:rsid w:val="749F55F3"/>
    <w:rsid w:val="757FC907"/>
    <w:rsid w:val="75AA589C"/>
    <w:rsid w:val="75BA5E27"/>
    <w:rsid w:val="75BF640A"/>
    <w:rsid w:val="75CA6844"/>
    <w:rsid w:val="75DC4673"/>
    <w:rsid w:val="76163322"/>
    <w:rsid w:val="76DD6B7F"/>
    <w:rsid w:val="77212F9C"/>
    <w:rsid w:val="773B361B"/>
    <w:rsid w:val="773D55E5"/>
    <w:rsid w:val="77698BF7"/>
    <w:rsid w:val="779F39DF"/>
    <w:rsid w:val="77BFDA49"/>
    <w:rsid w:val="77DD2F07"/>
    <w:rsid w:val="78383202"/>
    <w:rsid w:val="78B611AB"/>
    <w:rsid w:val="79D80D0F"/>
    <w:rsid w:val="7A753502"/>
    <w:rsid w:val="7ACA7190"/>
    <w:rsid w:val="7B105C0C"/>
    <w:rsid w:val="7B5567CC"/>
    <w:rsid w:val="7B65A45C"/>
    <w:rsid w:val="7BA33747"/>
    <w:rsid w:val="7BF5ACD2"/>
    <w:rsid w:val="7BF7E320"/>
    <w:rsid w:val="7C3F4F66"/>
    <w:rsid w:val="7C845CEE"/>
    <w:rsid w:val="7C8974D7"/>
    <w:rsid w:val="7C9451AE"/>
    <w:rsid w:val="7CF25B6C"/>
    <w:rsid w:val="7D347733"/>
    <w:rsid w:val="7D5D18DC"/>
    <w:rsid w:val="7D747887"/>
    <w:rsid w:val="7DDF7DD6"/>
    <w:rsid w:val="7EAC569A"/>
    <w:rsid w:val="7ED75FE8"/>
    <w:rsid w:val="7EFF7AD1"/>
    <w:rsid w:val="7F4ED2E9"/>
    <w:rsid w:val="7F51408F"/>
    <w:rsid w:val="7F59B728"/>
    <w:rsid w:val="7F6C4CBA"/>
    <w:rsid w:val="7FC545ED"/>
    <w:rsid w:val="96DBDCFB"/>
    <w:rsid w:val="AAFF3186"/>
    <w:rsid w:val="B5F756B7"/>
    <w:rsid w:val="B6E75B9B"/>
    <w:rsid w:val="B8DF7AAE"/>
    <w:rsid w:val="BAE8130D"/>
    <w:rsid w:val="BBD8D176"/>
    <w:rsid w:val="BED15D07"/>
    <w:rsid w:val="BEFDA1A5"/>
    <w:rsid w:val="BF72D097"/>
    <w:rsid w:val="D5B936FE"/>
    <w:rsid w:val="D7F75153"/>
    <w:rsid w:val="D89E67B9"/>
    <w:rsid w:val="D9CEBC69"/>
    <w:rsid w:val="DBF75D65"/>
    <w:rsid w:val="DCBDEE55"/>
    <w:rsid w:val="DE7EBE23"/>
    <w:rsid w:val="DFDBA4BC"/>
    <w:rsid w:val="E4FD0B34"/>
    <w:rsid w:val="E7EB97FD"/>
    <w:rsid w:val="EDDB47D9"/>
    <w:rsid w:val="EDFEC57E"/>
    <w:rsid w:val="EE739D7D"/>
    <w:rsid w:val="EEBFBDA3"/>
    <w:rsid w:val="EF1E9A27"/>
    <w:rsid w:val="EF7BDA85"/>
    <w:rsid w:val="EFDFBEA6"/>
    <w:rsid w:val="F25F0724"/>
    <w:rsid w:val="F3FF70E5"/>
    <w:rsid w:val="F5D9B781"/>
    <w:rsid w:val="F6EDFB46"/>
    <w:rsid w:val="F7FF9D82"/>
    <w:rsid w:val="FB8D23DC"/>
    <w:rsid w:val="FBF77510"/>
    <w:rsid w:val="FD6F4235"/>
    <w:rsid w:val="FDFF9754"/>
    <w:rsid w:val="FDFFBF60"/>
    <w:rsid w:val="FEFE0C3C"/>
    <w:rsid w:val="FF69FA5B"/>
    <w:rsid w:val="FFE7D31A"/>
    <w:rsid w:val="FFE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3">
    <w:name w:val="heading 1"/>
    <w:basedOn w:val="1"/>
    <w:next w:val="1"/>
    <w:link w:val="37"/>
    <w:autoRedefine/>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link w:val="38"/>
    <w:autoRedefine/>
    <w:qFormat/>
    <w:uiPriority w:val="0"/>
    <w:pPr>
      <w:keepNext/>
      <w:keepLines/>
      <w:spacing w:before="260" w:after="260" w:line="416" w:lineRule="atLeast"/>
      <w:ind w:left="2694"/>
      <w:outlineLvl w:val="1"/>
    </w:pPr>
    <w:rPr>
      <w:rFonts w:ascii="Arial" w:hAnsi="Arial" w:eastAsia="黑体"/>
      <w:b/>
      <w:bCs/>
      <w:sz w:val="32"/>
      <w:szCs w:val="32"/>
    </w:rPr>
  </w:style>
  <w:style w:type="paragraph" w:styleId="5">
    <w:name w:val="heading 3"/>
    <w:basedOn w:val="1"/>
    <w:next w:val="1"/>
    <w:link w:val="39"/>
    <w:autoRedefine/>
    <w:qFormat/>
    <w:uiPriority w:val="0"/>
    <w:pPr>
      <w:keepNext/>
      <w:keepLines/>
      <w:tabs>
        <w:tab w:val="left" w:pos="1260"/>
      </w:tabs>
      <w:spacing w:before="260" w:after="260" w:line="416" w:lineRule="atLeast"/>
      <w:ind w:left="1260" w:hanging="420"/>
      <w:outlineLvl w:val="2"/>
    </w:pPr>
    <w:rPr>
      <w:b/>
      <w:sz w:val="32"/>
    </w:rPr>
  </w:style>
  <w:style w:type="paragraph" w:styleId="6">
    <w:name w:val="heading 4"/>
    <w:basedOn w:val="1"/>
    <w:next w:val="1"/>
    <w:link w:val="40"/>
    <w:autoRedefine/>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0"/>
    <w:pPr>
      <w:spacing w:line="360" w:lineRule="auto"/>
      <w:ind w:firstLine="420" w:firstLineChars="200"/>
    </w:pPr>
    <w:rPr>
      <w:sz w:val="21"/>
    </w:rPr>
  </w:style>
  <w:style w:type="paragraph" w:styleId="7">
    <w:name w:val="Document Map"/>
    <w:basedOn w:val="1"/>
    <w:link w:val="41"/>
    <w:autoRedefine/>
    <w:qFormat/>
    <w:uiPriority w:val="0"/>
    <w:pPr>
      <w:shd w:val="clear" w:color="auto" w:fill="000080"/>
      <w:adjustRightInd/>
      <w:spacing w:line="240" w:lineRule="auto"/>
      <w:ind w:firstLine="200" w:firstLineChars="200"/>
      <w:jc w:val="both"/>
      <w:textAlignment w:val="auto"/>
    </w:pPr>
    <w:rPr>
      <w:kern w:val="2"/>
      <w:sz w:val="21"/>
      <w:szCs w:val="20"/>
    </w:rPr>
  </w:style>
  <w:style w:type="paragraph" w:styleId="8">
    <w:name w:val="annotation text"/>
    <w:basedOn w:val="1"/>
    <w:link w:val="42"/>
    <w:autoRedefine/>
    <w:qFormat/>
    <w:uiPriority w:val="99"/>
  </w:style>
  <w:style w:type="paragraph" w:styleId="9">
    <w:name w:val="Body Text"/>
    <w:basedOn w:val="1"/>
    <w:next w:val="1"/>
    <w:link w:val="43"/>
    <w:autoRedefine/>
    <w:qFormat/>
    <w:uiPriority w:val="0"/>
    <w:pPr>
      <w:spacing w:line="360" w:lineRule="auto"/>
      <w:ind w:firstLine="200" w:firstLineChars="200"/>
    </w:pPr>
  </w:style>
  <w:style w:type="paragraph" w:styleId="10">
    <w:name w:val="Body Text Indent"/>
    <w:basedOn w:val="1"/>
    <w:next w:val="11"/>
    <w:link w:val="44"/>
    <w:autoRedefine/>
    <w:qFormat/>
    <w:uiPriority w:val="0"/>
    <w:pPr>
      <w:adjustRightInd/>
      <w:spacing w:line="240" w:lineRule="auto"/>
      <w:ind w:firstLine="425" w:firstLineChars="200"/>
      <w:jc w:val="both"/>
      <w:textAlignment w:val="auto"/>
    </w:pPr>
    <w:rPr>
      <w:rFonts w:ascii="楷体_GB2312" w:eastAsia="楷体_GB2312"/>
      <w:kern w:val="2"/>
      <w:sz w:val="21"/>
      <w:szCs w:val="20"/>
    </w:rPr>
  </w:style>
  <w:style w:type="paragraph" w:styleId="11">
    <w:name w:val="envelope return"/>
    <w:basedOn w:val="1"/>
    <w:autoRedefine/>
    <w:qFormat/>
    <w:uiPriority w:val="0"/>
    <w:pPr>
      <w:tabs>
        <w:tab w:val="left" w:pos="1332"/>
      </w:tabs>
    </w:pPr>
    <w:rPr>
      <w:rFonts w:ascii="Calibri" w:hAnsi="Calibri"/>
    </w:rPr>
  </w:style>
  <w:style w:type="paragraph" w:styleId="12">
    <w:name w:val="toc 3"/>
    <w:basedOn w:val="1"/>
    <w:next w:val="1"/>
    <w:autoRedefine/>
    <w:qFormat/>
    <w:uiPriority w:val="0"/>
    <w:pPr>
      <w:adjustRightInd/>
      <w:spacing w:line="240" w:lineRule="auto"/>
      <w:ind w:left="840" w:leftChars="400" w:firstLine="200" w:firstLineChars="200"/>
      <w:jc w:val="both"/>
      <w:textAlignment w:val="auto"/>
    </w:pPr>
    <w:rPr>
      <w:kern w:val="2"/>
      <w:sz w:val="21"/>
      <w:szCs w:val="20"/>
    </w:rPr>
  </w:style>
  <w:style w:type="paragraph" w:styleId="13">
    <w:name w:val="Plain Text"/>
    <w:basedOn w:val="1"/>
    <w:link w:val="45"/>
    <w:autoRedefine/>
    <w:qFormat/>
    <w:uiPriority w:val="0"/>
    <w:pPr>
      <w:adjustRightInd/>
      <w:spacing w:line="240" w:lineRule="auto"/>
      <w:jc w:val="both"/>
      <w:textAlignment w:val="auto"/>
    </w:pPr>
    <w:rPr>
      <w:rFonts w:ascii="宋体" w:hAnsi="Courier New"/>
      <w:kern w:val="2"/>
      <w:sz w:val="21"/>
      <w:szCs w:val="21"/>
    </w:rPr>
  </w:style>
  <w:style w:type="paragraph" w:styleId="14">
    <w:name w:val="Date"/>
    <w:basedOn w:val="1"/>
    <w:next w:val="1"/>
    <w:link w:val="46"/>
    <w:autoRedefine/>
    <w:qFormat/>
    <w:uiPriority w:val="0"/>
    <w:pPr>
      <w:adjustRightInd/>
      <w:spacing w:line="240" w:lineRule="auto"/>
      <w:ind w:left="100" w:leftChars="2500" w:firstLine="200" w:firstLineChars="200"/>
      <w:jc w:val="both"/>
      <w:textAlignment w:val="auto"/>
    </w:pPr>
    <w:rPr>
      <w:kern w:val="2"/>
      <w:sz w:val="21"/>
      <w:szCs w:val="20"/>
    </w:rPr>
  </w:style>
  <w:style w:type="paragraph" w:styleId="15">
    <w:name w:val="Body Text Indent 2"/>
    <w:basedOn w:val="1"/>
    <w:autoRedefine/>
    <w:qFormat/>
    <w:uiPriority w:val="0"/>
    <w:pPr>
      <w:spacing w:after="120" w:line="480" w:lineRule="auto"/>
      <w:ind w:left="420" w:leftChars="200"/>
    </w:pPr>
  </w:style>
  <w:style w:type="paragraph" w:styleId="16">
    <w:name w:val="Balloon Text"/>
    <w:basedOn w:val="1"/>
    <w:link w:val="47"/>
    <w:autoRedefine/>
    <w:qFormat/>
    <w:uiPriority w:val="0"/>
    <w:rPr>
      <w:sz w:val="18"/>
      <w:szCs w:val="18"/>
    </w:rPr>
  </w:style>
  <w:style w:type="paragraph" w:styleId="17">
    <w:name w:val="footer"/>
    <w:basedOn w:val="1"/>
    <w:link w:val="48"/>
    <w:autoRedefine/>
    <w:qFormat/>
    <w:uiPriority w:val="99"/>
    <w:pPr>
      <w:tabs>
        <w:tab w:val="center" w:pos="4153"/>
        <w:tab w:val="right" w:pos="8306"/>
      </w:tabs>
      <w:spacing w:line="240" w:lineRule="atLeast"/>
    </w:pPr>
    <w:rPr>
      <w:sz w:val="18"/>
    </w:rPr>
  </w:style>
  <w:style w:type="paragraph" w:styleId="18">
    <w:name w:val="header"/>
    <w:basedOn w:val="1"/>
    <w:link w:val="49"/>
    <w:autoRedefine/>
    <w:qFormat/>
    <w:uiPriority w:val="0"/>
    <w:pPr>
      <w:pBdr>
        <w:bottom w:val="single" w:color="auto" w:sz="6" w:space="1"/>
      </w:pBdr>
      <w:tabs>
        <w:tab w:val="center" w:pos="4153"/>
        <w:tab w:val="right" w:pos="8306"/>
      </w:tabs>
      <w:spacing w:line="240" w:lineRule="atLeast"/>
      <w:jc w:val="center"/>
    </w:pPr>
    <w:rPr>
      <w:sz w:val="18"/>
    </w:rPr>
  </w:style>
  <w:style w:type="paragraph" w:styleId="19">
    <w:name w:val="toc 1"/>
    <w:basedOn w:val="1"/>
    <w:next w:val="1"/>
    <w:autoRedefine/>
    <w:qFormat/>
    <w:uiPriority w:val="39"/>
  </w:style>
  <w:style w:type="paragraph" w:styleId="20">
    <w:name w:val="index heading"/>
    <w:basedOn w:val="1"/>
    <w:next w:val="21"/>
    <w:autoRedefine/>
    <w:qFormat/>
    <w:uiPriority w:val="0"/>
    <w:pPr>
      <w:autoSpaceDE w:val="0"/>
      <w:autoSpaceDN w:val="0"/>
      <w:spacing w:line="360" w:lineRule="auto"/>
      <w:ind w:firstLine="200" w:firstLineChars="200"/>
      <w:jc w:val="both"/>
      <w:textAlignment w:val="auto"/>
    </w:pPr>
    <w:rPr>
      <w:rFonts w:ascii="宋体"/>
      <w:kern w:val="2"/>
      <w:sz w:val="28"/>
      <w:szCs w:val="20"/>
    </w:rPr>
  </w:style>
  <w:style w:type="paragraph" w:styleId="21">
    <w:name w:val="index 1"/>
    <w:basedOn w:val="1"/>
    <w:next w:val="1"/>
    <w:autoRedefine/>
    <w:qFormat/>
    <w:uiPriority w:val="0"/>
  </w:style>
  <w:style w:type="paragraph" w:styleId="22">
    <w:name w:val="Body Text Indent 3"/>
    <w:basedOn w:val="1"/>
    <w:link w:val="50"/>
    <w:autoRedefine/>
    <w:qFormat/>
    <w:uiPriority w:val="0"/>
    <w:pPr>
      <w:adjustRightInd/>
      <w:spacing w:line="240" w:lineRule="auto"/>
      <w:ind w:firstLine="420" w:firstLineChars="200"/>
      <w:jc w:val="both"/>
      <w:textAlignment w:val="auto"/>
    </w:pPr>
    <w:rPr>
      <w:rFonts w:ascii="楷体_GB2312" w:eastAsia="楷体_GB2312"/>
      <w:kern w:val="2"/>
      <w:sz w:val="21"/>
      <w:szCs w:val="20"/>
    </w:rPr>
  </w:style>
  <w:style w:type="paragraph" w:styleId="23">
    <w:name w:val="toc 2"/>
    <w:basedOn w:val="1"/>
    <w:next w:val="1"/>
    <w:autoRedefine/>
    <w:qFormat/>
    <w:uiPriority w:val="0"/>
    <w:pPr>
      <w:tabs>
        <w:tab w:val="right" w:leader="dot" w:pos="9981"/>
      </w:tabs>
      <w:adjustRightInd/>
      <w:spacing w:line="240" w:lineRule="auto"/>
      <w:ind w:left="420" w:leftChars="200" w:firstLine="200" w:firstLineChars="200"/>
      <w:jc w:val="both"/>
      <w:textAlignment w:val="auto"/>
    </w:pPr>
    <w:rPr>
      <w:kern w:val="2"/>
      <w:sz w:val="21"/>
      <w:szCs w:val="24"/>
    </w:rPr>
  </w:style>
  <w:style w:type="paragraph" w:styleId="24">
    <w:name w:val="Body Text 2"/>
    <w:basedOn w:val="1"/>
    <w:link w:val="51"/>
    <w:autoRedefine/>
    <w:qFormat/>
    <w:uiPriority w:val="0"/>
    <w:pPr>
      <w:widowControl/>
      <w:adjustRightInd/>
      <w:spacing w:line="240" w:lineRule="auto"/>
      <w:ind w:firstLine="200" w:firstLineChars="200"/>
      <w:textAlignment w:val="auto"/>
    </w:pPr>
    <w:rPr>
      <w:sz w:val="21"/>
      <w:szCs w:val="20"/>
    </w:rPr>
  </w:style>
  <w:style w:type="paragraph" w:styleId="25">
    <w:name w:val="Normal (Web)"/>
    <w:basedOn w:val="1"/>
    <w:autoRedefine/>
    <w:unhideWhenUsed/>
    <w:qFormat/>
    <w:uiPriority w:val="99"/>
    <w:pPr>
      <w:adjustRightInd/>
      <w:spacing w:before="100" w:beforeAutospacing="1" w:after="100" w:afterAutospacing="1" w:line="240" w:lineRule="auto"/>
      <w:textAlignment w:val="auto"/>
    </w:pPr>
    <w:rPr>
      <w:szCs w:val="20"/>
    </w:rPr>
  </w:style>
  <w:style w:type="paragraph" w:styleId="26">
    <w:name w:val="Title"/>
    <w:basedOn w:val="1"/>
    <w:next w:val="1"/>
    <w:link w:val="52"/>
    <w:autoRedefine/>
    <w:qFormat/>
    <w:uiPriority w:val="0"/>
    <w:pPr>
      <w:adjustRightInd/>
      <w:spacing w:before="240" w:after="60" w:line="240" w:lineRule="auto"/>
      <w:ind w:firstLine="200" w:firstLineChars="200"/>
      <w:jc w:val="center"/>
      <w:textAlignment w:val="auto"/>
      <w:outlineLvl w:val="0"/>
    </w:pPr>
    <w:rPr>
      <w:rFonts w:ascii="Cambria" w:hAnsi="Cambria"/>
      <w:b/>
      <w:bCs/>
      <w:sz w:val="32"/>
      <w:szCs w:val="32"/>
    </w:rPr>
  </w:style>
  <w:style w:type="paragraph" w:styleId="27">
    <w:name w:val="annotation subject"/>
    <w:basedOn w:val="8"/>
    <w:next w:val="8"/>
    <w:link w:val="53"/>
    <w:autoRedefine/>
    <w:qFormat/>
    <w:uiPriority w:val="0"/>
    <w:pPr>
      <w:adjustRightInd/>
      <w:spacing w:line="240" w:lineRule="auto"/>
      <w:ind w:firstLine="200" w:firstLineChars="200"/>
      <w:textAlignment w:val="auto"/>
    </w:pPr>
    <w:rPr>
      <w:rFonts w:eastAsia="MingLiUfalt"/>
      <w:sz w:val="21"/>
      <w:lang w:eastAsia="zh-TW"/>
    </w:rPr>
  </w:style>
  <w:style w:type="paragraph" w:styleId="28">
    <w:name w:val="Body Text First Indent"/>
    <w:basedOn w:val="9"/>
    <w:autoRedefine/>
    <w:qFormat/>
    <w:uiPriority w:val="0"/>
    <w:pPr>
      <w:tabs>
        <w:tab w:val="left" w:pos="567"/>
      </w:tabs>
      <w:spacing w:after="120"/>
      <w:ind w:firstLine="420" w:firstLineChars="100"/>
    </w:pPr>
    <w:rPr>
      <w:rFonts w:ascii="Calibri" w:hAnsi="Calibri"/>
      <w:sz w:val="21"/>
    </w:rPr>
  </w:style>
  <w:style w:type="paragraph" w:styleId="29">
    <w:name w:val="Body Text First Indent 2"/>
    <w:basedOn w:val="10"/>
    <w:link w:val="54"/>
    <w:autoRedefine/>
    <w:qFormat/>
    <w:uiPriority w:val="0"/>
    <w:pPr>
      <w:adjustRightInd w:val="0"/>
      <w:spacing w:after="120" w:line="360" w:lineRule="atLeast"/>
      <w:ind w:left="420" w:leftChars="200" w:firstLine="420"/>
      <w:jc w:val="left"/>
      <w:textAlignment w:val="baseline"/>
    </w:pPr>
    <w:rPr>
      <w:sz w:val="24"/>
      <w:szCs w:val="22"/>
    </w:r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age number"/>
    <w:autoRedefine/>
    <w:qFormat/>
    <w:uiPriority w:val="0"/>
  </w:style>
  <w:style w:type="character" w:styleId="34">
    <w:name w:val="FollowedHyperlink"/>
    <w:autoRedefine/>
    <w:qFormat/>
    <w:uiPriority w:val="0"/>
    <w:rPr>
      <w:color w:val="800080"/>
      <w:u w:val="single"/>
    </w:rPr>
  </w:style>
  <w:style w:type="character" w:styleId="35">
    <w:name w:val="Hyperlink"/>
    <w:autoRedefine/>
    <w:unhideWhenUsed/>
    <w:qFormat/>
    <w:uiPriority w:val="99"/>
    <w:rPr>
      <w:color w:val="0000FF"/>
      <w:u w:val="single"/>
    </w:rPr>
  </w:style>
  <w:style w:type="character" w:styleId="36">
    <w:name w:val="annotation reference"/>
    <w:autoRedefine/>
    <w:qFormat/>
    <w:uiPriority w:val="99"/>
    <w:rPr>
      <w:sz w:val="21"/>
    </w:rPr>
  </w:style>
  <w:style w:type="character" w:customStyle="1" w:styleId="37">
    <w:name w:val="标题 1 Char1"/>
    <w:link w:val="3"/>
    <w:autoRedefine/>
    <w:qFormat/>
    <w:uiPriority w:val="0"/>
    <w:rPr>
      <w:b/>
      <w:bCs/>
      <w:kern w:val="44"/>
      <w:sz w:val="44"/>
      <w:szCs w:val="44"/>
    </w:rPr>
  </w:style>
  <w:style w:type="character" w:customStyle="1" w:styleId="38">
    <w:name w:val="标题 2 Char"/>
    <w:link w:val="4"/>
    <w:autoRedefine/>
    <w:qFormat/>
    <w:uiPriority w:val="0"/>
    <w:rPr>
      <w:rFonts w:ascii="Arial" w:hAnsi="Arial" w:eastAsia="黑体"/>
      <w:b/>
      <w:bCs/>
      <w:sz w:val="32"/>
      <w:szCs w:val="32"/>
    </w:rPr>
  </w:style>
  <w:style w:type="character" w:customStyle="1" w:styleId="39">
    <w:name w:val="标题 3 Char1"/>
    <w:link w:val="5"/>
    <w:autoRedefine/>
    <w:qFormat/>
    <w:uiPriority w:val="0"/>
    <w:rPr>
      <w:b/>
      <w:sz w:val="32"/>
      <w:szCs w:val="22"/>
    </w:rPr>
  </w:style>
  <w:style w:type="character" w:customStyle="1" w:styleId="40">
    <w:name w:val="标题 4 Char1"/>
    <w:link w:val="6"/>
    <w:autoRedefine/>
    <w:qFormat/>
    <w:uiPriority w:val="0"/>
    <w:rPr>
      <w:rFonts w:ascii="Arial" w:hAnsi="Arial" w:eastAsia="黑体"/>
      <w:b/>
      <w:bCs/>
      <w:sz w:val="28"/>
      <w:szCs w:val="28"/>
    </w:rPr>
  </w:style>
  <w:style w:type="character" w:customStyle="1" w:styleId="41">
    <w:name w:val="文档结构图 Char"/>
    <w:link w:val="7"/>
    <w:autoRedefine/>
    <w:qFormat/>
    <w:uiPriority w:val="0"/>
    <w:rPr>
      <w:rFonts w:ascii="Times New Roman" w:hAnsi="Times New Roman"/>
      <w:kern w:val="2"/>
      <w:sz w:val="21"/>
      <w:shd w:val="clear" w:color="auto" w:fill="000080"/>
    </w:rPr>
  </w:style>
  <w:style w:type="character" w:customStyle="1" w:styleId="42">
    <w:name w:val="批注文字 Char"/>
    <w:link w:val="8"/>
    <w:autoRedefine/>
    <w:qFormat/>
    <w:uiPriority w:val="99"/>
    <w:rPr>
      <w:sz w:val="24"/>
      <w:szCs w:val="22"/>
    </w:rPr>
  </w:style>
  <w:style w:type="character" w:customStyle="1" w:styleId="43">
    <w:name w:val="正文文本 Char"/>
    <w:link w:val="9"/>
    <w:autoRedefine/>
    <w:qFormat/>
    <w:uiPriority w:val="0"/>
    <w:rPr>
      <w:sz w:val="24"/>
      <w:szCs w:val="22"/>
    </w:rPr>
  </w:style>
  <w:style w:type="character" w:customStyle="1" w:styleId="44">
    <w:name w:val="正文文本缩进 Char"/>
    <w:link w:val="10"/>
    <w:autoRedefine/>
    <w:qFormat/>
    <w:uiPriority w:val="0"/>
    <w:rPr>
      <w:rFonts w:ascii="楷体_GB2312" w:hAnsi="Times New Roman" w:eastAsia="楷体_GB2312"/>
      <w:kern w:val="2"/>
      <w:sz w:val="21"/>
    </w:rPr>
  </w:style>
  <w:style w:type="character" w:customStyle="1" w:styleId="45">
    <w:name w:val="纯文本 Char"/>
    <w:link w:val="13"/>
    <w:autoRedefine/>
    <w:qFormat/>
    <w:uiPriority w:val="0"/>
    <w:rPr>
      <w:rFonts w:ascii="宋体" w:hAnsi="Courier New" w:eastAsia="宋体"/>
      <w:kern w:val="2"/>
      <w:sz w:val="21"/>
      <w:szCs w:val="21"/>
      <w:lang w:val="en-US" w:eastAsia="zh-CN" w:bidi="ar-SA"/>
    </w:rPr>
  </w:style>
  <w:style w:type="character" w:customStyle="1" w:styleId="46">
    <w:name w:val="日期 Char"/>
    <w:link w:val="14"/>
    <w:autoRedefine/>
    <w:qFormat/>
    <w:uiPriority w:val="0"/>
    <w:rPr>
      <w:rFonts w:ascii="Times New Roman" w:hAnsi="Times New Roman"/>
      <w:kern w:val="2"/>
      <w:sz w:val="21"/>
    </w:rPr>
  </w:style>
  <w:style w:type="character" w:customStyle="1" w:styleId="47">
    <w:name w:val="批注框文本 Char"/>
    <w:link w:val="16"/>
    <w:autoRedefine/>
    <w:qFormat/>
    <w:locked/>
    <w:uiPriority w:val="0"/>
    <w:rPr>
      <w:sz w:val="18"/>
      <w:szCs w:val="18"/>
    </w:rPr>
  </w:style>
  <w:style w:type="character" w:customStyle="1" w:styleId="48">
    <w:name w:val="页脚 Char"/>
    <w:link w:val="17"/>
    <w:autoRedefine/>
    <w:qFormat/>
    <w:uiPriority w:val="99"/>
    <w:rPr>
      <w:sz w:val="18"/>
      <w:szCs w:val="22"/>
    </w:rPr>
  </w:style>
  <w:style w:type="character" w:customStyle="1" w:styleId="49">
    <w:name w:val="页眉 Char"/>
    <w:link w:val="18"/>
    <w:autoRedefine/>
    <w:qFormat/>
    <w:uiPriority w:val="0"/>
    <w:rPr>
      <w:sz w:val="18"/>
      <w:szCs w:val="22"/>
    </w:rPr>
  </w:style>
  <w:style w:type="character" w:customStyle="1" w:styleId="50">
    <w:name w:val="正文文本缩进 3 Char"/>
    <w:link w:val="22"/>
    <w:autoRedefine/>
    <w:qFormat/>
    <w:uiPriority w:val="0"/>
    <w:rPr>
      <w:rFonts w:ascii="楷体_GB2312" w:hAnsi="Times New Roman" w:eastAsia="楷体_GB2312"/>
      <w:kern w:val="2"/>
      <w:sz w:val="21"/>
    </w:rPr>
  </w:style>
  <w:style w:type="character" w:customStyle="1" w:styleId="51">
    <w:name w:val="正文文本 2 Char"/>
    <w:link w:val="24"/>
    <w:autoRedefine/>
    <w:qFormat/>
    <w:uiPriority w:val="0"/>
    <w:rPr>
      <w:rFonts w:ascii="Times New Roman" w:hAnsi="Times New Roman"/>
      <w:sz w:val="21"/>
    </w:rPr>
  </w:style>
  <w:style w:type="character" w:customStyle="1" w:styleId="52">
    <w:name w:val="标题 Char"/>
    <w:link w:val="26"/>
    <w:autoRedefine/>
    <w:qFormat/>
    <w:uiPriority w:val="0"/>
    <w:rPr>
      <w:rFonts w:ascii="Cambria" w:hAnsi="Cambria"/>
      <w:b/>
      <w:bCs/>
      <w:sz w:val="32"/>
      <w:szCs w:val="32"/>
    </w:rPr>
  </w:style>
  <w:style w:type="character" w:customStyle="1" w:styleId="53">
    <w:name w:val="批注主题 Char"/>
    <w:link w:val="27"/>
    <w:autoRedefine/>
    <w:qFormat/>
    <w:uiPriority w:val="0"/>
    <w:rPr>
      <w:rFonts w:ascii="Times New Roman" w:hAnsi="Times New Roman" w:eastAsia="MingLiUfalt"/>
      <w:sz w:val="21"/>
      <w:szCs w:val="22"/>
      <w:lang w:eastAsia="zh-TW"/>
    </w:rPr>
  </w:style>
  <w:style w:type="character" w:customStyle="1" w:styleId="54">
    <w:name w:val="正文首行缩进 2 Char"/>
    <w:link w:val="29"/>
    <w:autoRedefine/>
    <w:qFormat/>
    <w:uiPriority w:val="0"/>
    <w:rPr>
      <w:rFonts w:ascii="楷体_GB2312" w:hAnsi="Times New Roman" w:eastAsia="楷体_GB2312"/>
      <w:kern w:val="2"/>
      <w:sz w:val="24"/>
      <w:szCs w:val="22"/>
    </w:rPr>
  </w:style>
  <w:style w:type="character" w:customStyle="1" w:styleId="55">
    <w:name w:val="标题 Char1"/>
    <w:autoRedefine/>
    <w:qFormat/>
    <w:locked/>
    <w:uiPriority w:val="0"/>
    <w:rPr>
      <w:rFonts w:ascii="Cambria" w:hAnsi="Cambria" w:eastAsia="宋体" w:cs="Times New Roman"/>
      <w:b/>
      <w:bCs/>
      <w:sz w:val="32"/>
      <w:szCs w:val="32"/>
    </w:rPr>
  </w:style>
  <w:style w:type="character" w:customStyle="1" w:styleId="56">
    <w:name w:val="页眉 Char1"/>
    <w:autoRedefine/>
    <w:qFormat/>
    <w:locked/>
    <w:uiPriority w:val="0"/>
    <w:rPr>
      <w:kern w:val="2"/>
      <w:sz w:val="18"/>
      <w:szCs w:val="18"/>
    </w:rPr>
  </w:style>
  <w:style w:type="character" w:customStyle="1" w:styleId="57">
    <w:name w:val="font31"/>
    <w:autoRedefine/>
    <w:qFormat/>
    <w:uiPriority w:val="0"/>
    <w:rPr>
      <w:rFonts w:hint="eastAsia" w:ascii="宋体" w:hAnsi="宋体" w:eastAsia="宋体" w:cs="宋体"/>
      <w:color w:val="000000"/>
      <w:sz w:val="18"/>
      <w:szCs w:val="18"/>
      <w:u w:val="none"/>
    </w:rPr>
  </w:style>
  <w:style w:type="character" w:customStyle="1" w:styleId="58">
    <w:name w:val="标题 4 Char"/>
    <w:autoRedefine/>
    <w:qFormat/>
    <w:locked/>
    <w:uiPriority w:val="0"/>
    <w:rPr>
      <w:rFonts w:ascii="Arial" w:hAnsi="Arial" w:eastAsia="黑体"/>
      <w:b/>
      <w:bCs/>
      <w:sz w:val="28"/>
      <w:szCs w:val="28"/>
    </w:rPr>
  </w:style>
  <w:style w:type="character" w:customStyle="1" w:styleId="59">
    <w:name w:val="标题 3 Char"/>
    <w:autoRedefine/>
    <w:qFormat/>
    <w:uiPriority w:val="0"/>
    <w:rPr>
      <w:rFonts w:ascii="宋体" w:hAnsi="宋体"/>
    </w:rPr>
  </w:style>
  <w:style w:type="character" w:customStyle="1" w:styleId="60">
    <w:name w:val="正文文本 Char1"/>
    <w:autoRedefine/>
    <w:qFormat/>
    <w:uiPriority w:val="0"/>
    <w:rPr>
      <w:rFonts w:ascii="Arial" w:hAnsi="Arial" w:cs="宋体"/>
      <w:sz w:val="18"/>
      <w:szCs w:val="24"/>
      <w:lang w:val="zh-CN" w:bidi="zh-CN"/>
    </w:rPr>
  </w:style>
  <w:style w:type="character" w:customStyle="1" w:styleId="61">
    <w:name w:val="批注文字 Char1"/>
    <w:autoRedefine/>
    <w:qFormat/>
    <w:uiPriority w:val="0"/>
    <w:rPr>
      <w:rFonts w:ascii="Calibri" w:hAnsi="Calibri" w:eastAsia="宋体" w:cs="Times New Roman"/>
      <w:kern w:val="0"/>
      <w:sz w:val="24"/>
    </w:rPr>
  </w:style>
  <w:style w:type="character" w:customStyle="1" w:styleId="62">
    <w:name w:val="font01"/>
    <w:autoRedefine/>
    <w:qFormat/>
    <w:uiPriority w:val="0"/>
    <w:rPr>
      <w:rFonts w:hint="eastAsia" w:ascii="宋体" w:hAnsi="宋体" w:eastAsia="宋体" w:cs="宋体"/>
      <w:color w:val="000000"/>
      <w:sz w:val="21"/>
      <w:szCs w:val="21"/>
      <w:u w:val="none"/>
    </w:rPr>
  </w:style>
  <w:style w:type="character" w:customStyle="1" w:styleId="63">
    <w:name w:val="font41"/>
    <w:autoRedefine/>
    <w:qFormat/>
    <w:uiPriority w:val="0"/>
    <w:rPr>
      <w:rFonts w:ascii="Calibri" w:hAnsi="Calibri" w:eastAsia="宋体" w:cs="Calibri"/>
      <w:color w:val="000000"/>
      <w:sz w:val="18"/>
      <w:szCs w:val="18"/>
      <w:u w:val="none"/>
    </w:rPr>
  </w:style>
  <w:style w:type="character" w:customStyle="1" w:styleId="64">
    <w:name w:val="apple-converted-space"/>
    <w:autoRedefine/>
    <w:qFormat/>
    <w:uiPriority w:val="0"/>
    <w:rPr>
      <w:rFonts w:cs="Times New Roman"/>
    </w:rPr>
  </w:style>
  <w:style w:type="character" w:customStyle="1" w:styleId="65">
    <w:name w:val="纯文本 Char1"/>
    <w:autoRedefine/>
    <w:qFormat/>
    <w:uiPriority w:val="0"/>
    <w:rPr>
      <w:rFonts w:ascii="宋体" w:hAnsi="Courier New" w:eastAsia="宋体"/>
      <w:sz w:val="24"/>
      <w:szCs w:val="28"/>
    </w:rPr>
  </w:style>
  <w:style w:type="character" w:customStyle="1" w:styleId="66">
    <w:name w:val="标题 1 Char"/>
    <w:autoRedefine/>
    <w:qFormat/>
    <w:locked/>
    <w:uiPriority w:val="0"/>
    <w:rPr>
      <w:b/>
      <w:bCs/>
      <w:kern w:val="44"/>
      <w:sz w:val="44"/>
      <w:szCs w:val="44"/>
    </w:rPr>
  </w:style>
  <w:style w:type="character" w:customStyle="1" w:styleId="67">
    <w:name w:val="标题 1 Char Char Char Char"/>
    <w:autoRedefine/>
    <w:qFormat/>
    <w:uiPriority w:val="0"/>
    <w:rPr>
      <w:rFonts w:eastAsia="宋体"/>
      <w:b/>
      <w:bCs/>
      <w:kern w:val="44"/>
      <w:sz w:val="44"/>
      <w:szCs w:val="44"/>
      <w:lang w:val="en-US" w:eastAsia="zh-CN" w:bidi="ar-SA"/>
    </w:rPr>
  </w:style>
  <w:style w:type="character" w:customStyle="1" w:styleId="68">
    <w:name w:val="px_10"/>
    <w:autoRedefine/>
    <w:qFormat/>
    <w:uiPriority w:val="0"/>
  </w:style>
  <w:style w:type="character" w:customStyle="1" w:styleId="69">
    <w:name w:val="页脚 Char1"/>
    <w:autoRedefine/>
    <w:qFormat/>
    <w:uiPriority w:val="0"/>
    <w:rPr>
      <w:kern w:val="2"/>
      <w:sz w:val="18"/>
      <w:szCs w:val="18"/>
    </w:rPr>
  </w:style>
  <w:style w:type="character" w:customStyle="1" w:styleId="70">
    <w:name w:val="fontstyle01"/>
    <w:autoRedefine/>
    <w:qFormat/>
    <w:uiPriority w:val="0"/>
    <w:rPr>
      <w:rFonts w:hint="eastAsia" w:ascii="宋体" w:hAnsi="宋体" w:eastAsia="宋体"/>
      <w:color w:val="000000"/>
      <w:sz w:val="24"/>
      <w:szCs w:val="24"/>
    </w:rPr>
  </w:style>
  <w:style w:type="character" w:customStyle="1" w:styleId="71">
    <w:name w:val="样式1 Char"/>
    <w:link w:val="72"/>
    <w:autoRedefine/>
    <w:qFormat/>
    <w:uiPriority w:val="0"/>
    <w:rPr>
      <w:rFonts w:ascii="宋体" w:hAnsi="宋体"/>
      <w:sz w:val="21"/>
      <w:szCs w:val="21"/>
    </w:rPr>
  </w:style>
  <w:style w:type="paragraph" w:customStyle="1" w:styleId="72">
    <w:name w:val="样式1"/>
    <w:basedOn w:val="1"/>
    <w:link w:val="71"/>
    <w:autoRedefine/>
    <w:qFormat/>
    <w:uiPriority w:val="0"/>
    <w:pPr>
      <w:numPr>
        <w:ilvl w:val="0"/>
        <w:numId w:val="2"/>
      </w:numPr>
      <w:spacing w:line="240" w:lineRule="auto"/>
      <w:jc w:val="both"/>
    </w:pPr>
    <w:rPr>
      <w:rFonts w:ascii="宋体" w:hAnsi="宋体"/>
      <w:sz w:val="21"/>
      <w:szCs w:val="21"/>
    </w:rPr>
  </w:style>
  <w:style w:type="character" w:customStyle="1" w:styleId="73">
    <w:name w:val="标题 字符"/>
    <w:autoRedefine/>
    <w:qFormat/>
    <w:uiPriority w:val="10"/>
    <w:rPr>
      <w:rFonts w:ascii="Cambria" w:hAnsi="Cambria" w:eastAsia="宋体" w:cs="Times New Roman"/>
      <w:b/>
      <w:bCs/>
      <w:kern w:val="0"/>
      <w:sz w:val="32"/>
      <w:szCs w:val="32"/>
    </w:rPr>
  </w:style>
  <w:style w:type="paragraph" w:styleId="74">
    <w:name w:val="List Paragraph"/>
    <w:basedOn w:val="1"/>
    <w:autoRedefine/>
    <w:qFormat/>
    <w:uiPriority w:val="34"/>
    <w:pPr>
      <w:ind w:firstLine="420" w:firstLineChars="200"/>
    </w:pPr>
  </w:style>
  <w:style w:type="paragraph" w:customStyle="1" w:styleId="75">
    <w:name w:val="纯文本1"/>
    <w:basedOn w:val="1"/>
    <w:autoRedefine/>
    <w:qFormat/>
    <w:uiPriority w:val="0"/>
    <w:pPr>
      <w:adjustRightInd/>
      <w:spacing w:line="240" w:lineRule="auto"/>
      <w:jc w:val="both"/>
      <w:textAlignment w:val="auto"/>
    </w:pPr>
    <w:rPr>
      <w:rFonts w:ascii="宋体" w:hAnsi="Courier New"/>
      <w:kern w:val="2"/>
      <w:sz w:val="21"/>
      <w:szCs w:val="21"/>
    </w:rPr>
  </w:style>
  <w:style w:type="paragraph" w:customStyle="1" w:styleId="76">
    <w:name w:val="Style5"/>
    <w:basedOn w:val="1"/>
    <w:autoRedefine/>
    <w:qFormat/>
    <w:uiPriority w:val="99"/>
    <w:pPr>
      <w:spacing w:line="504" w:lineRule="exact"/>
      <w:ind w:firstLine="749"/>
      <w:jc w:val="both"/>
      <w:textAlignment w:val="auto"/>
    </w:pPr>
    <w:rPr>
      <w:rFonts w:ascii="宋体" w:hAnsi="Calibri"/>
    </w:rPr>
  </w:style>
  <w:style w:type="paragraph" w:customStyle="1" w:styleId="77">
    <w:name w:val="Char1"/>
    <w:basedOn w:val="1"/>
    <w:autoRedefine/>
    <w:qFormat/>
    <w:uiPriority w:val="0"/>
    <w:pPr>
      <w:adjustRightInd/>
      <w:spacing w:line="240" w:lineRule="auto"/>
      <w:ind w:firstLine="200" w:firstLineChars="200"/>
      <w:textAlignment w:val="auto"/>
    </w:pPr>
    <w:rPr>
      <w:rFonts w:ascii="宋体" w:hAnsi="宋体" w:cs="Courier New"/>
      <w:bCs/>
      <w:color w:val="000000"/>
      <w:kern w:val="2"/>
      <w:sz w:val="32"/>
      <w:szCs w:val="32"/>
    </w:rPr>
  </w:style>
  <w:style w:type="paragraph" w:customStyle="1" w:styleId="78">
    <w:name w:val="样式 标题 1 + 四号 居中 段前: 12 磅 段后: 12 磅 行距: 单倍行距"/>
    <w:basedOn w:val="3"/>
    <w:autoRedefine/>
    <w:qFormat/>
    <w:uiPriority w:val="0"/>
    <w:pPr>
      <w:spacing w:before="240" w:after="240" w:line="240" w:lineRule="auto"/>
      <w:ind w:left="-288"/>
      <w:jc w:val="center"/>
    </w:pPr>
    <w:rPr>
      <w:rFonts w:cs="宋体"/>
      <w:sz w:val="28"/>
      <w:szCs w:val="20"/>
    </w:rPr>
  </w:style>
  <w:style w:type="paragraph" w:customStyle="1" w:styleId="79">
    <w:name w:val="样式 标题 2 + 宋体 五号 非加粗 黑色"/>
    <w:basedOn w:val="4"/>
    <w:autoRedefine/>
    <w:qFormat/>
    <w:uiPriority w:val="0"/>
    <w:rPr>
      <w:rFonts w:ascii="宋体" w:hAnsi="宋体" w:eastAsia="宋体"/>
      <w:b w:val="0"/>
      <w:bCs w:val="0"/>
      <w:color w:val="000000"/>
      <w:sz w:val="21"/>
    </w:rPr>
  </w:style>
  <w:style w:type="paragraph" w:customStyle="1" w:styleId="80">
    <w:name w:val="p0"/>
    <w:basedOn w:val="1"/>
    <w:autoRedefine/>
    <w:qFormat/>
    <w:uiPriority w:val="0"/>
    <w:pPr>
      <w:widowControl/>
      <w:spacing w:before="100" w:beforeAutospacing="1" w:after="100" w:afterAutospacing="1"/>
    </w:pPr>
    <w:rPr>
      <w:rFonts w:ascii="宋体" w:hAnsi="宋体" w:cs="宋体"/>
      <w:szCs w:val="24"/>
    </w:rPr>
  </w:style>
  <w:style w:type="paragraph" w:customStyle="1" w:styleId="81">
    <w:name w:val="样式 首行缩进:  2 字符"/>
    <w:basedOn w:val="1"/>
    <w:autoRedefine/>
    <w:qFormat/>
    <w:uiPriority w:val="0"/>
    <w:pPr>
      <w:spacing w:line="480" w:lineRule="exact"/>
      <w:ind w:firstLine="480" w:firstLineChars="200"/>
    </w:pPr>
    <w:rPr>
      <w:color w:val="7030A0"/>
      <w:szCs w:val="20"/>
    </w:rPr>
  </w:style>
  <w:style w:type="paragraph" w:customStyle="1" w:styleId="82">
    <w:name w:val="È¡ÀÊ¡ÎÄ¡À¾"/>
    <w:basedOn w:val="1"/>
    <w:autoRedefine/>
    <w:qFormat/>
    <w:uiPriority w:val="0"/>
    <w:pPr>
      <w:widowControl/>
      <w:overflowPunct w:val="0"/>
      <w:autoSpaceDE w:val="0"/>
      <w:autoSpaceDN w:val="0"/>
      <w:spacing w:line="240" w:lineRule="auto"/>
      <w:ind w:firstLine="200" w:firstLineChars="200"/>
      <w:textAlignment w:val="auto"/>
    </w:pPr>
    <w:rPr>
      <w:sz w:val="21"/>
      <w:szCs w:val="20"/>
    </w:rPr>
  </w:style>
  <w:style w:type="paragraph" w:customStyle="1" w:styleId="83">
    <w:name w:val="样式 仿宋_GB2312 四号 首行缩进:  0.74 厘米"/>
    <w:basedOn w:val="1"/>
    <w:autoRedefine/>
    <w:qFormat/>
    <w:uiPriority w:val="0"/>
    <w:pPr>
      <w:tabs>
        <w:tab w:val="left" w:pos="720"/>
      </w:tabs>
      <w:suppressAutoHyphens/>
      <w:adjustRightInd/>
      <w:spacing w:line="240" w:lineRule="auto"/>
      <w:ind w:firstLine="420" w:firstLineChars="200"/>
      <w:jc w:val="both"/>
      <w:textAlignment w:val="auto"/>
    </w:pPr>
    <w:rPr>
      <w:rFonts w:ascii="仿宋_GB2312" w:hAnsi="仿宋_GB2312" w:eastAsia="仿宋_GB2312" w:cs="宋体"/>
      <w:kern w:val="1"/>
      <w:sz w:val="28"/>
      <w:szCs w:val="20"/>
      <w:lang w:eastAsia="ar-SA"/>
    </w:rPr>
  </w:style>
  <w:style w:type="paragraph" w:customStyle="1" w:styleId="84">
    <w:name w:val="样式 样式 样式 样式 标题 2 + 宋体 五号 非加粗 黑色 + 段前: 6 磅 段后: 0 磅 行距: 单倍行距 + 段前:..."/>
    <w:basedOn w:val="85"/>
    <w:autoRedefine/>
    <w:qFormat/>
    <w:uiPriority w:val="0"/>
    <w:rPr>
      <w:b/>
      <w:bCs/>
    </w:rPr>
  </w:style>
  <w:style w:type="paragraph" w:customStyle="1" w:styleId="85">
    <w:name w:val="样式 样式 样式 标题 2 + 宋体 五号 非加粗 黑色 + 段前: 6 磅 段后: 0 磅 行距: 单倍行距 + 段前: 12..."/>
    <w:basedOn w:val="86"/>
    <w:autoRedefine/>
    <w:qFormat/>
    <w:uiPriority w:val="0"/>
    <w:pPr>
      <w:numPr>
        <w:ilvl w:val="1"/>
        <w:numId w:val="1"/>
      </w:numPr>
      <w:spacing w:before="240"/>
    </w:pPr>
  </w:style>
  <w:style w:type="paragraph" w:customStyle="1" w:styleId="86">
    <w:name w:val="样式 样式 标题 2 + 宋体 五号 非加粗 黑色 + 段前: 6 磅 段后: 0 磅 行距: 单倍行距"/>
    <w:basedOn w:val="79"/>
    <w:autoRedefine/>
    <w:qFormat/>
    <w:uiPriority w:val="0"/>
    <w:pPr>
      <w:spacing w:before="120" w:after="0" w:line="240" w:lineRule="auto"/>
    </w:pPr>
    <w:rPr>
      <w:rFonts w:cs="宋体"/>
      <w:szCs w:val="20"/>
    </w:rPr>
  </w:style>
  <w:style w:type="paragraph" w:customStyle="1" w:styleId="87">
    <w:name w:val="Style2"/>
    <w:basedOn w:val="1"/>
    <w:autoRedefine/>
    <w:qFormat/>
    <w:uiPriority w:val="99"/>
    <w:pPr>
      <w:spacing w:line="686" w:lineRule="exact"/>
      <w:ind w:hanging="494"/>
      <w:textAlignment w:val="auto"/>
    </w:pPr>
    <w:rPr>
      <w:rFonts w:ascii="宋体" w:hAnsi="Calibri"/>
    </w:rPr>
  </w:style>
  <w:style w:type="paragraph" w:customStyle="1" w:styleId="88">
    <w:name w:val="表格文字"/>
    <w:basedOn w:val="1"/>
    <w:autoRedefine/>
    <w:qFormat/>
    <w:uiPriority w:val="0"/>
    <w:pPr>
      <w:adjustRightInd/>
      <w:snapToGrid w:val="0"/>
      <w:spacing w:before="120" w:line="240" w:lineRule="auto"/>
      <w:ind w:firstLine="200" w:firstLineChars="200"/>
      <w:jc w:val="both"/>
      <w:textAlignment w:val="auto"/>
    </w:pPr>
    <w:rPr>
      <w:kern w:val="2"/>
      <w:sz w:val="21"/>
      <w:szCs w:val="20"/>
    </w:rPr>
  </w:style>
  <w:style w:type="paragraph" w:customStyle="1" w:styleId="89">
    <w:name w:val="font6"/>
    <w:basedOn w:val="1"/>
    <w:autoRedefine/>
    <w:qFormat/>
    <w:uiPriority w:val="0"/>
    <w:pPr>
      <w:widowControl/>
      <w:adjustRightInd/>
      <w:spacing w:before="100" w:beforeAutospacing="1" w:after="100" w:afterAutospacing="1" w:line="240" w:lineRule="auto"/>
      <w:ind w:firstLine="200" w:firstLineChars="200"/>
      <w:textAlignment w:val="auto"/>
    </w:pPr>
    <w:rPr>
      <w:rFonts w:eastAsia="Times New Roman"/>
      <w:b/>
      <w:bCs/>
      <w:sz w:val="21"/>
      <w:szCs w:val="24"/>
    </w:rPr>
  </w:style>
  <w:style w:type="paragraph" w:customStyle="1" w:styleId="90">
    <w:name w:val="缺省文本:1"/>
    <w:basedOn w:val="1"/>
    <w:autoRedefine/>
    <w:qFormat/>
    <w:uiPriority w:val="0"/>
    <w:pPr>
      <w:autoSpaceDE w:val="0"/>
      <w:autoSpaceDN w:val="0"/>
      <w:spacing w:line="240" w:lineRule="auto"/>
      <w:ind w:firstLine="200" w:firstLineChars="200"/>
      <w:textAlignment w:val="auto"/>
    </w:pPr>
    <w:rPr>
      <w:rFonts w:ascii="宋体"/>
      <w:sz w:val="21"/>
      <w:szCs w:val="24"/>
    </w:rPr>
  </w:style>
  <w:style w:type="paragraph" w:customStyle="1" w:styleId="91">
    <w:name w:val="Document 1"/>
    <w:autoRedefine/>
    <w:qFormat/>
    <w:uiPriority w:val="0"/>
    <w:pPr>
      <w:keepNext/>
      <w:keepLines/>
      <w:tabs>
        <w:tab w:val="left" w:pos="-720"/>
      </w:tabs>
      <w:suppressAutoHyphens/>
      <w:overflowPunct w:val="0"/>
      <w:autoSpaceDE w:val="0"/>
      <w:autoSpaceDN w:val="0"/>
      <w:adjustRightInd w:val="0"/>
      <w:textAlignment w:val="baseline"/>
    </w:pPr>
    <w:rPr>
      <w:rFonts w:ascii="Courier New" w:hAnsi="Courier New" w:eastAsia="宋体" w:cs="Times New Roman"/>
      <w:sz w:val="24"/>
      <w:lang w:val="en-US" w:eastAsia="zh-CN" w:bidi="ar-SA"/>
    </w:rPr>
  </w:style>
  <w:style w:type="paragraph" w:customStyle="1" w:styleId="92">
    <w:name w:val="样式 标题 3h3H3sect1.2.3 + 五号 段前: 6 磅 段后: 6 磅 行距: 单倍行距"/>
    <w:basedOn w:val="5"/>
    <w:autoRedefine/>
    <w:qFormat/>
    <w:uiPriority w:val="0"/>
    <w:pPr>
      <w:spacing w:before="120" w:after="120" w:line="240" w:lineRule="auto"/>
    </w:pPr>
    <w:rPr>
      <w:sz w:val="21"/>
    </w:rPr>
  </w:style>
  <w:style w:type="paragraph" w:customStyle="1" w:styleId="93">
    <w:name w:val="Indent"/>
    <w:basedOn w:val="1"/>
    <w:autoRedefine/>
    <w:qFormat/>
    <w:uiPriority w:val="0"/>
    <w:pPr>
      <w:widowControl/>
      <w:adjustRightInd/>
      <w:spacing w:line="240" w:lineRule="auto"/>
      <w:ind w:left="900" w:firstLine="200" w:firstLineChars="200"/>
      <w:textAlignment w:val="auto"/>
    </w:pPr>
    <w:rPr>
      <w:rFonts w:ascii="Arial" w:hAnsi="Arial" w:cs="Arial"/>
      <w:sz w:val="21"/>
      <w:szCs w:val="20"/>
      <w:lang w:eastAsia="en-US"/>
    </w:rPr>
  </w:style>
  <w:style w:type="paragraph" w:customStyle="1" w:styleId="94">
    <w:name w:val="正文-首缩2字符"/>
    <w:basedOn w:val="1"/>
    <w:autoRedefine/>
    <w:qFormat/>
    <w:uiPriority w:val="99"/>
    <w:pPr>
      <w:ind w:firstLine="200" w:firstLineChars="200"/>
    </w:pPr>
    <w:rPr>
      <w:rFonts w:hAnsi="宋体" w:cs="宋体"/>
      <w:szCs w:val="20"/>
    </w:rPr>
  </w:style>
  <w:style w:type="paragraph" w:customStyle="1" w:styleId="95">
    <w:name w:val="列出段落1"/>
    <w:basedOn w:val="1"/>
    <w:autoRedefine/>
    <w:qFormat/>
    <w:uiPriority w:val="34"/>
    <w:pPr>
      <w:ind w:firstLine="420" w:firstLineChars="200"/>
    </w:pPr>
  </w:style>
  <w:style w:type="paragraph" w:customStyle="1" w:styleId="96">
    <w:name w:val="正文文字缩进 2"/>
    <w:basedOn w:val="1"/>
    <w:autoRedefine/>
    <w:qFormat/>
    <w:uiPriority w:val="0"/>
    <w:pPr>
      <w:widowControl/>
      <w:adjustRightInd/>
      <w:spacing w:line="351" w:lineRule="atLeast"/>
      <w:ind w:firstLine="481"/>
      <w:jc w:val="both"/>
    </w:pPr>
    <w:rPr>
      <w:rFonts w:ascii="仿宋_GB2312" w:eastAsia="仿宋_GB2312"/>
      <w:color w:val="000000"/>
      <w:szCs w:val="20"/>
    </w:rPr>
  </w:style>
  <w:style w:type="paragraph" w:customStyle="1" w:styleId="97">
    <w:name w:val="缺省文本"/>
    <w:basedOn w:val="1"/>
    <w:autoRedefine/>
    <w:qFormat/>
    <w:uiPriority w:val="0"/>
    <w:pPr>
      <w:autoSpaceDE w:val="0"/>
      <w:autoSpaceDN w:val="0"/>
      <w:spacing w:line="240" w:lineRule="auto"/>
      <w:ind w:firstLine="200" w:firstLineChars="200"/>
      <w:textAlignment w:val="auto"/>
    </w:pPr>
    <w:rPr>
      <w:sz w:val="21"/>
      <w:szCs w:val="24"/>
    </w:rPr>
  </w:style>
  <w:style w:type="paragraph" w:customStyle="1" w:styleId="98">
    <w:name w:val="普通文字"/>
    <w:basedOn w:val="1"/>
    <w:autoRedefine/>
    <w:qFormat/>
    <w:uiPriority w:val="0"/>
    <w:pPr>
      <w:widowControl/>
      <w:adjustRightInd/>
      <w:spacing w:line="351" w:lineRule="atLeast"/>
      <w:ind w:firstLine="419"/>
      <w:jc w:val="both"/>
    </w:pPr>
    <w:rPr>
      <w:rFonts w:ascii="宋体"/>
      <w:color w:val="000000"/>
      <w:sz w:val="21"/>
      <w:szCs w:val="20"/>
    </w:rPr>
  </w:style>
  <w:style w:type="paragraph" w:customStyle="1" w:styleId="99">
    <w:name w:val="正文文字缩进 3"/>
    <w:basedOn w:val="1"/>
    <w:autoRedefine/>
    <w:qFormat/>
    <w:uiPriority w:val="0"/>
    <w:pPr>
      <w:widowControl/>
      <w:adjustRightInd/>
      <w:spacing w:before="119" w:line="272" w:lineRule="atLeast"/>
      <w:ind w:left="719" w:firstLine="481"/>
    </w:pPr>
    <w:rPr>
      <w:rFonts w:ascii="宋体"/>
      <w:color w:val="000000"/>
      <w:szCs w:val="20"/>
    </w:rPr>
  </w:style>
  <w:style w:type="paragraph" w:customStyle="1" w:styleId="100">
    <w:name w:val="样式 标题 4 + 段前: 5 磅 段后: 5 磅 行距: 单倍行距"/>
    <w:basedOn w:val="6"/>
    <w:autoRedefine/>
    <w:qFormat/>
    <w:uiPriority w:val="0"/>
    <w:pPr>
      <w:spacing w:before="100" w:after="100" w:line="240" w:lineRule="auto"/>
    </w:pPr>
    <w:rPr>
      <w:rFonts w:cs="宋体"/>
      <w:szCs w:val="20"/>
    </w:rPr>
  </w:style>
  <w:style w:type="paragraph" w:customStyle="1" w:styleId="101">
    <w:name w:val="List Paragraph1"/>
    <w:basedOn w:val="1"/>
    <w:autoRedefine/>
    <w:qFormat/>
    <w:uiPriority w:val="0"/>
    <w:pPr>
      <w:adjustRightInd/>
      <w:spacing w:line="240" w:lineRule="auto"/>
      <w:ind w:firstLine="420" w:firstLineChars="200"/>
      <w:jc w:val="both"/>
      <w:textAlignment w:val="auto"/>
    </w:pPr>
    <w:rPr>
      <w:kern w:val="2"/>
      <w:sz w:val="21"/>
    </w:rPr>
  </w:style>
  <w:style w:type="paragraph" w:customStyle="1" w:styleId="102">
    <w:name w:val="List Paragraph11"/>
    <w:basedOn w:val="1"/>
    <w:autoRedefine/>
    <w:qFormat/>
    <w:uiPriority w:val="0"/>
    <w:pPr>
      <w:adjustRightInd/>
      <w:spacing w:line="240" w:lineRule="auto"/>
      <w:ind w:firstLine="420" w:firstLineChars="200"/>
      <w:jc w:val="both"/>
      <w:textAlignment w:val="auto"/>
    </w:pPr>
    <w:rPr>
      <w:kern w:val="2"/>
      <w:sz w:val="21"/>
    </w:rPr>
  </w:style>
  <w:style w:type="paragraph" w:customStyle="1" w:styleId="103">
    <w:name w:val="Normal1"/>
    <w:basedOn w:val="1"/>
    <w:autoRedefine/>
    <w:qFormat/>
    <w:uiPriority w:val="0"/>
    <w:pPr>
      <w:widowControl/>
      <w:overflowPunct w:val="0"/>
      <w:autoSpaceDE w:val="0"/>
      <w:autoSpaceDN w:val="0"/>
      <w:spacing w:line="312" w:lineRule="exact"/>
      <w:ind w:firstLine="200" w:firstLineChars="200"/>
    </w:pPr>
    <w:rPr>
      <w:rFonts w:ascii="宋体"/>
      <w:sz w:val="21"/>
      <w:szCs w:val="20"/>
    </w:rPr>
  </w:style>
  <w:style w:type="paragraph" w:customStyle="1" w:styleId="104">
    <w:name w:val="Numbered list 2.3"/>
    <w:basedOn w:val="5"/>
    <w:next w:val="1"/>
    <w:autoRedefine/>
    <w:qFormat/>
    <w:uiPriority w:val="0"/>
    <w:pPr>
      <w:widowControl/>
      <w:numPr>
        <w:ilvl w:val="0"/>
        <w:numId w:val="3"/>
      </w:numPr>
      <w:tabs>
        <w:tab w:val="left" w:pos="1080"/>
        <w:tab w:val="left" w:pos="1440"/>
        <w:tab w:val="clear" w:pos="1140"/>
        <w:tab w:val="clear" w:pos="1260"/>
      </w:tabs>
      <w:spacing w:before="240" w:after="60" w:line="240" w:lineRule="auto"/>
      <w:ind w:left="1080" w:hanging="360" w:firstLineChars="200"/>
    </w:pPr>
    <w:rPr>
      <w:rFonts w:ascii="Arial" w:hAnsi="Arial"/>
      <w:bCs/>
      <w:sz w:val="22"/>
      <w:szCs w:val="21"/>
      <w:lang w:eastAsia="en-US"/>
    </w:rPr>
  </w:style>
  <w:style w:type="paragraph" w:customStyle="1" w:styleId="105">
    <w:name w:val="Char1 Char Char Char"/>
    <w:basedOn w:val="1"/>
    <w:autoRedefine/>
    <w:qFormat/>
    <w:uiPriority w:val="0"/>
    <w:pPr>
      <w:adjustRightInd/>
      <w:spacing w:line="240" w:lineRule="auto"/>
      <w:ind w:firstLine="200" w:firstLineChars="200"/>
      <w:jc w:val="both"/>
      <w:textAlignment w:val="auto"/>
    </w:pPr>
    <w:rPr>
      <w:rFonts w:ascii="Tahoma" w:hAnsi="Tahoma"/>
      <w:kern w:val="2"/>
      <w:sz w:val="21"/>
      <w:szCs w:val="20"/>
    </w:rPr>
  </w:style>
  <w:style w:type="paragraph" w:customStyle="1" w:styleId="106">
    <w:name w:val="正文1"/>
    <w:basedOn w:val="7"/>
    <w:next w:val="1"/>
    <w:autoRedefine/>
    <w:qFormat/>
    <w:uiPriority w:val="0"/>
    <w:rPr>
      <w:rFonts w:ascii="Tahoma" w:hAnsi="Tahoma" w:cs="Tahoma"/>
      <w:kern w:val="0"/>
      <w:sz w:val="18"/>
      <w:szCs w:val="24"/>
    </w:rPr>
  </w:style>
  <w:style w:type="character" w:customStyle="1" w:styleId="107">
    <w:name w:val="font51"/>
    <w:autoRedefine/>
    <w:qFormat/>
    <w:uiPriority w:val="0"/>
    <w:rPr>
      <w:rFonts w:ascii="黑体" w:hAnsi="宋体" w:eastAsia="黑体" w:cs="黑体"/>
      <w:b/>
      <w:bCs/>
      <w:color w:val="000000"/>
      <w:sz w:val="18"/>
      <w:szCs w:val="18"/>
      <w:u w:val="none"/>
    </w:rPr>
  </w:style>
  <w:style w:type="character" w:customStyle="1" w:styleId="108">
    <w:name w:val="font61"/>
    <w:autoRedefine/>
    <w:qFormat/>
    <w:uiPriority w:val="0"/>
    <w:rPr>
      <w:rFonts w:ascii="黑体" w:hAnsi="宋体" w:eastAsia="黑体" w:cs="黑体"/>
      <w:b/>
      <w:bCs/>
      <w:color w:val="000000"/>
      <w:sz w:val="8"/>
      <w:szCs w:val="8"/>
      <w:u w:val="none"/>
    </w:rPr>
  </w:style>
  <w:style w:type="character" w:customStyle="1" w:styleId="109">
    <w:name w:val="font71"/>
    <w:autoRedefine/>
    <w:qFormat/>
    <w:uiPriority w:val="0"/>
    <w:rPr>
      <w:rFonts w:ascii="黑体" w:hAnsi="宋体" w:eastAsia="黑体" w:cs="黑体"/>
      <w:color w:val="000000"/>
      <w:sz w:val="18"/>
      <w:szCs w:val="18"/>
      <w:u w:val="none"/>
    </w:rPr>
  </w:style>
  <w:style w:type="character" w:customStyle="1" w:styleId="110">
    <w:name w:val="font21"/>
    <w:autoRedefine/>
    <w:qFormat/>
    <w:uiPriority w:val="0"/>
    <w:rPr>
      <w:rFonts w:ascii="黑体" w:hAnsi="宋体" w:eastAsia="黑体" w:cs="黑体"/>
      <w:color w:val="000000"/>
      <w:sz w:val="18"/>
      <w:szCs w:val="18"/>
      <w:u w:val="none"/>
    </w:rPr>
  </w:style>
  <w:style w:type="character" w:customStyle="1" w:styleId="111">
    <w:name w:val="font81"/>
    <w:autoRedefine/>
    <w:qFormat/>
    <w:uiPriority w:val="0"/>
    <w:rPr>
      <w:rFonts w:hint="default" w:ascii="Arial" w:hAnsi="Arial" w:cs="Arial"/>
      <w:i/>
      <w:iCs/>
      <w:color w:val="000000"/>
      <w:sz w:val="18"/>
      <w:szCs w:val="18"/>
      <w:u w:val="none"/>
    </w:rPr>
  </w:style>
  <w:style w:type="character" w:customStyle="1" w:styleId="112">
    <w:name w:val="font91"/>
    <w:autoRedefine/>
    <w:qFormat/>
    <w:uiPriority w:val="0"/>
    <w:rPr>
      <w:rFonts w:hint="default" w:ascii="Arial" w:hAnsi="Arial" w:cs="Arial"/>
      <w:color w:val="000000"/>
      <w:sz w:val="18"/>
      <w:szCs w:val="18"/>
      <w:u w:val="none"/>
    </w:rPr>
  </w:style>
  <w:style w:type="character" w:customStyle="1" w:styleId="113">
    <w:name w:val="font101"/>
    <w:autoRedefine/>
    <w:qFormat/>
    <w:uiPriority w:val="0"/>
    <w:rPr>
      <w:rFonts w:hint="eastAsia" w:ascii="宋体" w:hAnsi="宋体" w:eastAsia="宋体" w:cs="宋体"/>
      <w:color w:val="000000"/>
      <w:sz w:val="18"/>
      <w:szCs w:val="18"/>
      <w:u w:val="none"/>
    </w:rPr>
  </w:style>
  <w:style w:type="character" w:customStyle="1" w:styleId="114">
    <w:name w:val="font112"/>
    <w:autoRedefine/>
    <w:qFormat/>
    <w:uiPriority w:val="0"/>
    <w:rPr>
      <w:rFonts w:hint="default" w:ascii="Arial" w:hAnsi="Arial" w:cs="Arial"/>
      <w:color w:val="00B0F0"/>
      <w:sz w:val="18"/>
      <w:szCs w:val="18"/>
      <w:u w:val="none"/>
    </w:rPr>
  </w:style>
  <w:style w:type="character" w:customStyle="1" w:styleId="115">
    <w:name w:val="font121"/>
    <w:autoRedefine/>
    <w:qFormat/>
    <w:uiPriority w:val="0"/>
    <w:rPr>
      <w:rFonts w:ascii="黑体" w:hAnsi="宋体" w:eastAsia="黑体" w:cs="黑体"/>
      <w:color w:val="000000"/>
      <w:sz w:val="8"/>
      <w:szCs w:val="8"/>
      <w:u w:val="none"/>
    </w:rPr>
  </w:style>
  <w:style w:type="character" w:customStyle="1" w:styleId="116">
    <w:name w:val="font131"/>
    <w:autoRedefine/>
    <w:qFormat/>
    <w:uiPriority w:val="0"/>
    <w:rPr>
      <w:rFonts w:hint="default" w:ascii="Arial" w:hAnsi="Arial" w:cs="Arial"/>
      <w:color w:val="000000"/>
      <w:sz w:val="10"/>
      <w:szCs w:val="10"/>
      <w:u w:val="none"/>
    </w:rPr>
  </w:style>
  <w:style w:type="character" w:customStyle="1" w:styleId="117">
    <w:name w:val="font141"/>
    <w:autoRedefine/>
    <w:qFormat/>
    <w:uiPriority w:val="0"/>
    <w:rPr>
      <w:rFonts w:ascii="黑体" w:hAnsi="宋体" w:eastAsia="黑体" w:cs="黑体"/>
      <w:color w:val="000000"/>
      <w:sz w:val="8"/>
      <w:szCs w:val="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55</Pages>
  <Words>8216</Words>
  <Characters>46833</Characters>
  <Lines>390</Lines>
  <Paragraphs>109</Paragraphs>
  <TotalTime>140</TotalTime>
  <ScaleCrop>false</ScaleCrop>
  <LinksUpToDate>false</LinksUpToDate>
  <CharactersWithSpaces>54940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2023-12-25T18:20:00Z</dcterms:created>
  <dc:creator>lyf</dc:creator>
  <cp:lastModifiedBy>Administrator</cp:lastModifiedBy>
  <cp:lastPrinted>2024-04-22T04:05:00Z</cp:lastPrinted>
  <dcterms:modified xsi:type="dcterms:W3CDTF">2024-04-22T08:49:24Z</dcterms:modified>
  <dc:title>招 标 文 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0201D86BFDE74EF4803333DB56A76103_13</vt:lpwstr>
  </property>
</Properties>
</file>