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pStyle w:val="12"/>
        <w:numPr>
          <w:ilvl w:val="0"/>
          <w:numId w:val="2"/>
        </w:numPr>
        <w:spacing w:line="360" w:lineRule="auto"/>
        <w:ind w:firstLineChars="0"/>
        <w:contextualSpacing/>
        <w:rPr>
          <w:rFonts w:ascii="Times New Roman" w:hAnsi="Times New Roman"/>
          <w:b/>
          <w:bCs/>
          <w:sz w:val="24"/>
          <w:szCs w:val="24"/>
        </w:rPr>
      </w:pPr>
      <w:r>
        <w:rPr>
          <w:rFonts w:ascii="Times New Roman" w:hAnsi="Times New Roman"/>
          <w:b/>
          <w:bCs/>
          <w:sz w:val="24"/>
          <w:szCs w:val="24"/>
        </w:rPr>
        <w:t>采购</w:t>
      </w:r>
      <w:r>
        <w:rPr>
          <w:rFonts w:hint="eastAsia" w:ascii="Times New Roman" w:hAnsi="Times New Roman"/>
          <w:b/>
          <w:bCs/>
          <w:sz w:val="24"/>
          <w:szCs w:val="24"/>
        </w:rPr>
        <w:t>内容</w:t>
      </w:r>
    </w:p>
    <w:p>
      <w:pPr>
        <w:spacing w:line="360" w:lineRule="auto"/>
        <w:contextualSpacing/>
        <w:rPr>
          <w:sz w:val="24"/>
        </w:rPr>
      </w:pPr>
      <w:r>
        <w:rPr>
          <w:sz w:val="24"/>
        </w:rPr>
        <w:t>1. 采购</w:t>
      </w:r>
      <w:r>
        <w:rPr>
          <w:rFonts w:hint="eastAsia"/>
          <w:sz w:val="24"/>
        </w:rPr>
        <w:t>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pPr>
              <w:jc w:val="center"/>
              <w:rPr>
                <w:sz w:val="24"/>
              </w:rPr>
            </w:pPr>
            <w:r>
              <w:rPr>
                <w:rFonts w:hint="eastAsia"/>
                <w:sz w:val="24"/>
              </w:rPr>
              <w:t>序号</w:t>
            </w:r>
          </w:p>
        </w:tc>
        <w:tc>
          <w:tcPr>
            <w:tcW w:w="2343" w:type="dxa"/>
            <w:vAlign w:val="center"/>
          </w:tcPr>
          <w:p>
            <w:pPr>
              <w:jc w:val="center"/>
              <w:rPr>
                <w:sz w:val="24"/>
              </w:rPr>
            </w:pPr>
            <w:r>
              <w:rPr>
                <w:rFonts w:hint="eastAsia"/>
                <w:sz w:val="24"/>
              </w:rPr>
              <w:t>服务名称</w:t>
            </w:r>
          </w:p>
        </w:tc>
        <w:tc>
          <w:tcPr>
            <w:tcW w:w="1701" w:type="dxa"/>
            <w:vAlign w:val="center"/>
          </w:tcPr>
          <w:p>
            <w:pPr>
              <w:jc w:val="center"/>
              <w:rPr>
                <w:sz w:val="24"/>
              </w:rPr>
            </w:pPr>
            <w:r>
              <w:rPr>
                <w:rFonts w:hint="eastAsia"/>
                <w:sz w:val="24"/>
              </w:rPr>
              <w:t>数量</w:t>
            </w:r>
          </w:p>
        </w:tc>
        <w:tc>
          <w:tcPr>
            <w:tcW w:w="1473" w:type="dxa"/>
            <w:vAlign w:val="center"/>
          </w:tcPr>
          <w:p>
            <w:pPr>
              <w:jc w:val="center"/>
              <w:rPr>
                <w:sz w:val="24"/>
              </w:rPr>
            </w:pPr>
            <w:r>
              <w:rPr>
                <w:rFonts w:hint="eastAsia"/>
                <w:sz w:val="24"/>
              </w:rPr>
              <w:t>单位</w:t>
            </w:r>
          </w:p>
        </w:tc>
        <w:tc>
          <w:tcPr>
            <w:tcW w:w="1947" w:type="dxa"/>
            <w:vAlign w:val="center"/>
          </w:tcPr>
          <w:p>
            <w:pPr>
              <w:jc w:val="center"/>
              <w:rPr>
                <w:sz w:val="24"/>
              </w:rPr>
            </w:pPr>
            <w:r>
              <w:rPr>
                <w:rFonts w:hint="eastAsia"/>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pPr>
              <w:jc w:val="center"/>
              <w:rPr>
                <w:sz w:val="24"/>
              </w:rPr>
            </w:pPr>
            <w:r>
              <w:rPr>
                <w:rFonts w:hint="eastAsia"/>
                <w:sz w:val="24"/>
              </w:rPr>
              <w:t>1</w:t>
            </w:r>
          </w:p>
        </w:tc>
        <w:tc>
          <w:tcPr>
            <w:tcW w:w="2343" w:type="dxa"/>
          </w:tcPr>
          <w:p>
            <w:pPr>
              <w:jc w:val="center"/>
              <w:rPr>
                <w:sz w:val="24"/>
              </w:rPr>
            </w:pPr>
            <w:r>
              <w:rPr>
                <w:rFonts w:hint="eastAsia"/>
                <w:sz w:val="24"/>
              </w:rPr>
              <w:t>云计算服务</w:t>
            </w:r>
          </w:p>
        </w:tc>
        <w:tc>
          <w:tcPr>
            <w:tcW w:w="1701" w:type="dxa"/>
          </w:tcPr>
          <w:p>
            <w:pPr>
              <w:jc w:val="center"/>
              <w:rPr>
                <w:sz w:val="24"/>
              </w:rPr>
            </w:pPr>
            <w:r>
              <w:rPr>
                <w:rFonts w:hint="eastAsia"/>
                <w:sz w:val="24"/>
              </w:rPr>
              <w:t>1</w:t>
            </w:r>
          </w:p>
        </w:tc>
        <w:tc>
          <w:tcPr>
            <w:tcW w:w="1473" w:type="dxa"/>
          </w:tcPr>
          <w:p>
            <w:pPr>
              <w:jc w:val="center"/>
              <w:rPr>
                <w:sz w:val="24"/>
              </w:rPr>
            </w:pPr>
            <w:r>
              <w:rPr>
                <w:rFonts w:hint="eastAsia"/>
                <w:sz w:val="24"/>
              </w:rPr>
              <w:t>项</w:t>
            </w:r>
          </w:p>
        </w:tc>
        <w:tc>
          <w:tcPr>
            <w:tcW w:w="1947" w:type="dxa"/>
          </w:tcPr>
          <w:p>
            <w:pPr>
              <w:jc w:val="center"/>
              <w:rPr>
                <w:sz w:val="24"/>
              </w:rPr>
            </w:pPr>
            <w:r>
              <w:rPr>
                <w:rFonts w:hint="eastAsia"/>
                <w:sz w:val="24"/>
              </w:rPr>
              <w:t>无</w:t>
            </w:r>
          </w:p>
        </w:tc>
      </w:tr>
    </w:tbl>
    <w:p>
      <w:pPr>
        <w:spacing w:line="360" w:lineRule="auto"/>
        <w:contextualSpacing/>
        <w:rPr>
          <w:sz w:val="24"/>
        </w:rPr>
      </w:pPr>
      <w:r>
        <w:rPr>
          <w:sz w:val="24"/>
        </w:rPr>
        <w:t>2. 项目概述</w:t>
      </w:r>
    </w:p>
    <w:p>
      <w:pPr>
        <w:spacing w:line="360" w:lineRule="auto"/>
        <w:ind w:firstLine="482"/>
        <w:contextualSpacing/>
        <w:rPr>
          <w:sz w:val="24"/>
        </w:rPr>
      </w:pPr>
      <w:r>
        <w:rPr>
          <w:rFonts w:hint="eastAsia"/>
          <w:sz w:val="24"/>
        </w:rPr>
        <w:t>北京市疾病预防控制中心（以下简称“市疾控中心”）是根据国务院关于卫生监督、卫生防病体制改革的总体要求，在北京市卫生防疫站、北京市劳动卫生与职业病防治研究所、北京市健康教育所、北京市性病防治所的基础上组建的市级卫生事业单位，承担着北京市传染性疾病、慢性非传染性疾病、学生常见病、病媒生物传播疾病等预防与控制，突发公共卫生事件应急处置和疫情报告和信息管理，食品卫生、环境卫生、放射卫生和职业卫生等健康危害因素的监测与干预，全市居民的健康教育与健康促进和科研教学等工作。</w:t>
      </w:r>
    </w:p>
    <w:p>
      <w:pPr>
        <w:spacing w:line="360" w:lineRule="auto"/>
        <w:ind w:firstLine="482"/>
        <w:contextualSpacing/>
        <w:rPr>
          <w:sz w:val="24"/>
        </w:rPr>
      </w:pPr>
      <w:r>
        <w:rPr>
          <w:rFonts w:hint="eastAsia"/>
          <w:sz w:val="24"/>
        </w:rPr>
        <w:t>为实现电子政务集约化建设和管理,充分发挥北京市市级政务云(以下简称政务云)的作用,为政务大数据应用奠定基础,依据《国务院关于促进云计算创新发展培育信息产业新业态的意见》(国发〔2015〕5号)和相关政策法规,按照市领导《关于报审电子政务网络升级改造实施方案的请示》的批复精神，“各部门尽可能上云，特例要报批”的要求，结合实际情况，依照国家及北京市统一协调部署，市疾控中心已将北京市免疫规划信息管理系统、北京市新冠疫苗接种管理平台、北京市疾控中心信息系统和北京市传染病智慧化多点监测触发预警平台等四个系统全部部署在政务云环境，整体运行良好，根据《国家信息化领导小组关于加强信息安全保障工作的意见》（中办发〔2003〕27号）、《国家政务信息化项目建设管理办法》（国办发〔2019〕57号）、《北京市市级政务云管理办法》的相关管理办法和安全服务保障要求，市疾控中心需要为入云后的信息系统租用云上基础资源和扩展资源等服务，确保市疾控中心各项业务顺利开展，提升信息系统安全保障能力。</w:t>
      </w:r>
    </w:p>
    <w:p>
      <w:pPr>
        <w:pStyle w:val="12"/>
        <w:numPr>
          <w:ilvl w:val="0"/>
          <w:numId w:val="2"/>
        </w:numPr>
        <w:spacing w:line="360" w:lineRule="auto"/>
        <w:ind w:firstLineChars="0"/>
        <w:contextualSpacing/>
        <w:rPr>
          <w:rFonts w:ascii="Times New Roman" w:hAnsi="Times New Roman"/>
          <w:b/>
          <w:bCs/>
          <w:sz w:val="24"/>
          <w:szCs w:val="24"/>
        </w:rPr>
      </w:pPr>
      <w:r>
        <w:rPr>
          <w:rFonts w:ascii="Times New Roman" w:hAnsi="Times New Roman"/>
          <w:b/>
          <w:bCs/>
          <w:sz w:val="24"/>
          <w:szCs w:val="24"/>
        </w:rPr>
        <w:t>商务要求</w:t>
      </w:r>
    </w:p>
    <w:p>
      <w:pPr>
        <w:spacing w:line="360" w:lineRule="auto"/>
        <w:contextualSpacing/>
        <w:rPr>
          <w:i/>
          <w:sz w:val="24"/>
        </w:rPr>
      </w:pPr>
      <w:r>
        <w:rPr>
          <w:sz w:val="24"/>
        </w:rPr>
        <w:t>1. 交付（实施）的时间（期限）和地点（范围）</w:t>
      </w:r>
    </w:p>
    <w:p>
      <w:pPr>
        <w:spacing w:line="360" w:lineRule="auto"/>
        <w:contextualSpacing/>
        <w:rPr>
          <w:iCs/>
          <w:sz w:val="24"/>
        </w:rPr>
      </w:pPr>
      <w:r>
        <w:rPr>
          <w:rFonts w:hint="eastAsia"/>
          <w:iCs/>
          <w:sz w:val="24"/>
        </w:rPr>
        <w:t>交付时间：12个月。</w:t>
      </w:r>
    </w:p>
    <w:p>
      <w:pPr>
        <w:spacing w:line="360" w:lineRule="auto"/>
        <w:contextualSpacing/>
        <w:rPr>
          <w:iCs/>
          <w:sz w:val="24"/>
        </w:rPr>
      </w:pPr>
      <w:r>
        <w:rPr>
          <w:rFonts w:hint="eastAsia"/>
          <w:iCs/>
          <w:sz w:val="24"/>
        </w:rPr>
        <w:t>交付地点：北京市丰台区西三环南路1号市政务服务中心市政务云机房。</w:t>
      </w:r>
    </w:p>
    <w:p>
      <w:pPr>
        <w:spacing w:line="360" w:lineRule="auto"/>
        <w:contextualSpacing/>
        <w:rPr>
          <w:sz w:val="24"/>
        </w:rPr>
      </w:pPr>
      <w:r>
        <w:rPr>
          <w:sz w:val="24"/>
        </w:rPr>
        <w:t>2. 付款条件（进度和方式）</w:t>
      </w:r>
    </w:p>
    <w:p>
      <w:pPr>
        <w:spacing w:line="360" w:lineRule="auto"/>
        <w:contextualSpacing/>
        <w:rPr>
          <w:sz w:val="24"/>
        </w:rPr>
      </w:pPr>
      <w:r>
        <w:rPr>
          <w:rFonts w:hint="eastAsia"/>
          <w:sz w:val="24"/>
        </w:rPr>
        <w:t>按合同约定。</w:t>
      </w:r>
    </w:p>
    <w:p>
      <w:pPr>
        <w:pStyle w:val="12"/>
        <w:numPr>
          <w:ilvl w:val="0"/>
          <w:numId w:val="2"/>
        </w:numPr>
        <w:spacing w:line="360" w:lineRule="auto"/>
        <w:ind w:firstLineChars="0"/>
        <w:contextualSpacing/>
        <w:rPr>
          <w:rFonts w:ascii="Times New Roman" w:hAnsi="Times New Roman"/>
          <w:b/>
          <w:bCs/>
          <w:sz w:val="24"/>
          <w:szCs w:val="24"/>
        </w:rPr>
      </w:pPr>
      <w:r>
        <w:rPr>
          <w:rFonts w:ascii="Times New Roman" w:hAnsi="Times New Roman"/>
          <w:b/>
          <w:bCs/>
          <w:sz w:val="24"/>
          <w:szCs w:val="24"/>
        </w:rPr>
        <w:t>技术要求</w:t>
      </w:r>
    </w:p>
    <w:p>
      <w:pPr>
        <w:spacing w:line="360" w:lineRule="auto"/>
        <w:contextualSpacing/>
        <w:rPr>
          <w:sz w:val="24"/>
        </w:rPr>
      </w:pPr>
      <w:r>
        <w:rPr>
          <w:sz w:val="24"/>
        </w:rPr>
        <w:t>1. 基本要求</w:t>
      </w:r>
    </w:p>
    <w:p>
      <w:pPr>
        <w:tabs>
          <w:tab w:val="left" w:pos="4302"/>
        </w:tabs>
        <w:spacing w:line="360" w:lineRule="auto"/>
        <w:ind w:firstLine="480" w:firstLineChars="200"/>
        <w:contextualSpacing/>
        <w:rPr>
          <w:sz w:val="24"/>
        </w:rPr>
      </w:pPr>
      <w:r>
        <w:rPr>
          <w:sz w:val="24"/>
        </w:rPr>
        <w:t>1.1 采购标的需实现的功能或者目标</w:t>
      </w:r>
      <w:r>
        <w:rPr>
          <w:sz w:val="24"/>
        </w:rPr>
        <w:tab/>
      </w:r>
      <w:r>
        <w:rPr>
          <w:rFonts w:hint="eastAsia"/>
          <w:sz w:val="24"/>
        </w:rPr>
        <w:t>：提供政务云服务，包括计算服务、存储服务、网络服务及相关安全服务，保证业务系统连续运行，为业务系统提供高效、安全、可靠的连接，提升信息化水平。</w:t>
      </w:r>
    </w:p>
    <w:p>
      <w:pPr>
        <w:spacing w:line="360" w:lineRule="auto"/>
        <w:ind w:firstLine="480" w:firstLineChars="200"/>
        <w:contextualSpacing/>
        <w:rPr>
          <w:sz w:val="24"/>
        </w:rPr>
      </w:pPr>
      <w:r>
        <w:rPr>
          <w:sz w:val="24"/>
        </w:rPr>
        <w:t>1.2 需执行的国家相关标准、行业标准、地方标准或者其他标准、规范</w:t>
      </w:r>
      <w:r>
        <w:rPr>
          <w:rFonts w:hint="eastAsia"/>
          <w:sz w:val="24"/>
        </w:rPr>
        <w:t>：投标人须严格按照《北京市市级政务云管理办法》以及采购人制定的管理办法及流程等开展标准化运维工作。</w:t>
      </w:r>
    </w:p>
    <w:p>
      <w:pPr>
        <w:spacing w:line="360" w:lineRule="auto"/>
        <w:contextualSpacing/>
        <w:rPr>
          <w:sz w:val="24"/>
        </w:rPr>
      </w:pPr>
      <w:r>
        <w:rPr>
          <w:sz w:val="24"/>
        </w:rPr>
        <w:t>2. 服务内容及要求</w:t>
      </w:r>
    </w:p>
    <w:p>
      <w:pPr>
        <w:widowControl/>
        <w:spacing w:line="360" w:lineRule="auto"/>
        <w:ind w:firstLine="482" w:firstLineChars="200"/>
        <w:contextualSpacing/>
        <w:rPr>
          <w:rFonts w:hint="eastAsia"/>
          <w:b/>
          <w:bCs/>
          <w:sz w:val="24"/>
        </w:rPr>
      </w:pPr>
      <w:r>
        <w:rPr>
          <w:rFonts w:hint="eastAsia"/>
          <w:b/>
          <w:bCs/>
          <w:sz w:val="24"/>
        </w:rPr>
        <w:t>2.1总体采购需求</w:t>
      </w:r>
    </w:p>
    <w:p>
      <w:pPr>
        <w:widowControl/>
        <w:spacing w:line="360" w:lineRule="auto"/>
        <w:ind w:firstLine="480" w:firstLineChars="200"/>
        <w:contextualSpacing/>
        <w:rPr>
          <w:sz w:val="24"/>
        </w:rPr>
      </w:pPr>
      <w:r>
        <w:rPr>
          <w:rFonts w:hint="eastAsia"/>
          <w:sz w:val="24"/>
        </w:rPr>
        <w:t>投标人按照采购人的有关规定及要求，提供对市疾控中心的政务云基础、扩展和其他服务。具体服务内容如下：</w:t>
      </w:r>
    </w:p>
    <w:p>
      <w:pPr>
        <w:widowControl/>
        <w:spacing w:line="360" w:lineRule="auto"/>
        <w:ind w:firstLine="480" w:firstLineChars="200"/>
        <w:contextualSpacing/>
        <w:rPr>
          <w:sz w:val="24"/>
        </w:rPr>
      </w:pPr>
      <w:r>
        <w:rPr>
          <w:rFonts w:hint="eastAsia"/>
          <w:sz w:val="24"/>
        </w:rPr>
        <w:br w:type="page"/>
      </w:r>
    </w:p>
    <w:p>
      <w:pPr>
        <w:widowControl/>
        <w:spacing w:line="360" w:lineRule="auto"/>
        <w:contextualSpacing/>
        <w:rPr>
          <w:sz w:val="24"/>
        </w:rPr>
      </w:pPr>
      <w:r>
        <w:rPr>
          <w:rFonts w:hint="eastAsia"/>
          <w:sz w:val="24"/>
        </w:rPr>
        <w:t>（1）北京市免疫规划信息管理系统</w:t>
      </w:r>
    </w:p>
    <w:tbl>
      <w:tblPr>
        <w:tblStyle w:val="8"/>
        <w:tblW w:w="0" w:type="auto"/>
        <w:tblInd w:w="0" w:type="dxa"/>
        <w:tblLayout w:type="autofit"/>
        <w:tblCellMar>
          <w:top w:w="0" w:type="dxa"/>
          <w:left w:w="108" w:type="dxa"/>
          <w:bottom w:w="0" w:type="dxa"/>
          <w:right w:w="108" w:type="dxa"/>
        </w:tblCellMar>
      </w:tblPr>
      <w:tblGrid>
        <w:gridCol w:w="754"/>
        <w:gridCol w:w="2257"/>
        <w:gridCol w:w="2994"/>
        <w:gridCol w:w="745"/>
        <w:gridCol w:w="816"/>
        <w:gridCol w:w="956"/>
      </w:tblGrid>
      <w:tr>
        <w:tblPrEx>
          <w:tblCellMar>
            <w:top w:w="0" w:type="dxa"/>
            <w:left w:w="108" w:type="dxa"/>
            <w:bottom w:w="0" w:type="dxa"/>
            <w:right w:w="108" w:type="dxa"/>
          </w:tblCellMar>
        </w:tblPrEx>
        <w:trPr>
          <w:trHeight w:val="798" w:hRule="atLeast"/>
        </w:trPr>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服务类别</w:t>
            </w:r>
          </w:p>
        </w:tc>
        <w:tc>
          <w:tcPr>
            <w:tcW w:w="2257" w:type="dxa"/>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服务子类</w:t>
            </w:r>
          </w:p>
        </w:tc>
        <w:tc>
          <w:tcPr>
            <w:tcW w:w="0" w:type="auto"/>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服务项</w:t>
            </w:r>
          </w:p>
        </w:tc>
        <w:tc>
          <w:tcPr>
            <w:tcW w:w="0" w:type="auto"/>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计价单位</w:t>
            </w:r>
          </w:p>
        </w:tc>
        <w:tc>
          <w:tcPr>
            <w:tcW w:w="0" w:type="auto"/>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数量</w:t>
            </w:r>
          </w:p>
        </w:tc>
        <w:tc>
          <w:tcPr>
            <w:tcW w:w="0" w:type="auto"/>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期限（月）</w:t>
            </w:r>
          </w:p>
        </w:tc>
      </w:tr>
      <w:tr>
        <w:tblPrEx>
          <w:tblCellMar>
            <w:top w:w="0" w:type="dxa"/>
            <w:left w:w="108" w:type="dxa"/>
            <w:bottom w:w="0" w:type="dxa"/>
            <w:right w:w="108" w:type="dxa"/>
          </w:tblCellMar>
        </w:tblPrEx>
        <w:trPr>
          <w:trHeight w:val="399" w:hRule="atLeast"/>
        </w:trPr>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计算服务</w:t>
            </w:r>
          </w:p>
        </w:tc>
        <w:tc>
          <w:tcPr>
            <w:tcW w:w="2257" w:type="dxa"/>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x86平台云主机服务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vCPU（主频不低于2.4GHz）</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CPU</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622</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399"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内存</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2674</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196"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nil"/>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x86物理服务器租用服务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x86物理服务器配置2：4路10核2.0Ghz，128G内存，2块600G SAS硬盘，2个HBA卡，2个万兆端口</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4</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196" w:hRule="atLeast"/>
        </w:trPr>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存储服务</w:t>
            </w: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普通性能存储</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普通存储（单盘技术指标: 单盘IOPS 1000-3000 ）</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41650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798"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高性能存储</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高性能存储（单盘技术指标：单盘IOPS 3000-20000 ）</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18920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196"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本地备份服务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本地备份服务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1GB</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10600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196"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异地备份服务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异地备份服务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1GB</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9850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399" w:hRule="atLeast"/>
        </w:trPr>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网络服务</w:t>
            </w:r>
          </w:p>
        </w:tc>
        <w:tc>
          <w:tcPr>
            <w:tcW w:w="2257" w:type="dxa"/>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互联网链路服务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互联网链路带宽</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Mb</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100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798"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互联网IP地址租用服务、并提供备案服务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7</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215"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主机负载均衡服务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主机负载均衡服务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IP（内网）</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2</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798"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远程接入服务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每个账号结合身份验证通过VPN远程接入堡垒机进行维护</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1账号</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7</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196"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VPN服务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SSL VPN接入，用户通过SSL VPN访问业务系统。每套10个并发用户。所需带宽参照“互联网链路带宽”购买。</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100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595"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WAF防护</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在网站前端架设WAF防护服务，保证用户网站对已知安全隐患进行防护，实时升级漏洞补丁，配置防护策略，可起到前端防护作用。</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IP（互联网）</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7</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994" w:hRule="atLeast"/>
        </w:trPr>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扩展服务</w:t>
            </w: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中标麒麟高级服务器版LINUX6.0</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中标麒麟高级服务器操作系统软件V6.0 Linux 租用服务（提供正版安装介质及授权）。28套信息系统应用服务器所需（按12个月计算），8套信息系统等保测评所需（按3个月计算）。</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72</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595"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WindowsServer标准版2处理器许可及软件保障租用服务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Windows Server 标准版 2处理器许可及软件保障租用服务（提供正版安装介质及授权）。</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3</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798"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主机杀毒服务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对云主机进行定期的病毒查杀，杀毒软件集中控制，对网络性能无影响。</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76</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330"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网络防篡改服务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提供网页防篡改服务。通过防篡改软件对用户页面进行实时防护，做到静态页面的实时同步，减少用户页面被恶意篡改的可能性。</w:t>
            </w:r>
          </w:p>
          <w:p>
            <w:pPr>
              <w:widowControl/>
              <w:spacing w:line="360" w:lineRule="auto"/>
              <w:contextualSpacing/>
              <w:jc w:val="left"/>
              <w:rPr>
                <w:rFonts w:ascii="宋体" w:hAnsi="宋体"/>
                <w:sz w:val="24"/>
              </w:rPr>
            </w:pPr>
            <w:r>
              <w:rPr>
                <w:rFonts w:hint="eastAsia" w:ascii="宋体" w:hAnsi="宋体"/>
                <w:sz w:val="24"/>
              </w:rPr>
              <w:t>对业务系统互联网接入系统、APP接入（专业、公众）系统等对外服务应用提供网页防篡改服务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8</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1595"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主机漏洞扫描</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用于提供针对主机层面的安全扫描服务，并反馈相关结果。48台生产主机和4台物理服务器，每台主机每年扫描2次。其他24台主机每年每台扫描1次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128</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r>
      <w:tr>
        <w:tblPrEx>
          <w:tblCellMar>
            <w:top w:w="0" w:type="dxa"/>
            <w:left w:w="108" w:type="dxa"/>
            <w:bottom w:w="0" w:type="dxa"/>
            <w:right w:w="108" w:type="dxa"/>
          </w:tblCellMar>
        </w:tblPrEx>
        <w:trPr>
          <w:trHeight w:val="1196"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东方通TongWeb租用服务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应用服务器 东方通 Tong Web 租用服务（提供正版安装介质及授权），12套应用服务器所需</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12</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r>
      <w:tr>
        <w:tblPrEx>
          <w:tblCellMar>
            <w:top w:w="0" w:type="dxa"/>
            <w:left w:w="108" w:type="dxa"/>
            <w:bottom w:w="0" w:type="dxa"/>
            <w:right w:w="108" w:type="dxa"/>
          </w:tblCellMar>
        </w:tblPrEx>
        <w:trPr>
          <w:trHeight w:val="2117"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ORACLE11G(Linux64位）企业版含RAC组件</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4台物理服务器的授权，Oracle 11g租用服务（for Linux 64位）企业版 含 RAC组件 支持XML文件、Excel、文本文件、消息队列、Web Service等非结构化数据的统一的访问和管理（提供正版安装介质及授权）</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4</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4389" w:hRule="atLeast"/>
        </w:trPr>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57"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数字签名验签服务器设备租用服务</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对外提供基于数字证书的身份认证服务、数据签名与签名验证服务、加解密服务和数字信封服务；支持Windows、Linux、AIX等主流应用平台；支持Java、COM、C等应用集成接口；支持RSA、SM2等签名算法。硬件规格：2U；2个100/1000M自适应网口；双电源。主要性能参数：RSA签名4500次/秒，SM2签名4000次/秒。</w:t>
            </w:r>
          </w:p>
          <w:p>
            <w:pPr>
              <w:widowControl/>
              <w:spacing w:line="360" w:lineRule="auto"/>
              <w:contextualSpacing/>
              <w:jc w:val="left"/>
              <w:rPr>
                <w:rFonts w:ascii="宋体" w:hAnsi="宋体"/>
                <w:sz w:val="24"/>
              </w:rPr>
            </w:pPr>
            <w:r>
              <w:rPr>
                <w:rFonts w:hint="eastAsia" w:ascii="宋体" w:hAnsi="宋体"/>
                <w:sz w:val="24"/>
              </w:rPr>
              <w:t>（分别部署在互联网区和政务外网区，互联网区为互联网接入的学校查验证业务和接种单位用户提供CA数字证书认证；政务外网区为经政务外网接入的接种单位终端提供CA数字证书认证。）</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2</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r>
    </w:tbl>
    <w:p>
      <w:pPr>
        <w:widowControl/>
        <w:spacing w:line="360" w:lineRule="auto"/>
        <w:contextualSpacing/>
        <w:jc w:val="left"/>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widowControl/>
        <w:spacing w:line="360" w:lineRule="auto"/>
        <w:contextualSpacing/>
        <w:jc w:val="left"/>
        <w:rPr>
          <w:sz w:val="24"/>
        </w:rPr>
      </w:pPr>
      <w:r>
        <w:rPr>
          <w:rFonts w:hint="eastAsia"/>
          <w:sz w:val="24"/>
        </w:rPr>
        <w:t>（2）北京市新冠疫苗接种管理平台</w:t>
      </w:r>
    </w:p>
    <w:tbl>
      <w:tblPr>
        <w:tblStyle w:val="8"/>
        <w:tblpPr w:leftFromText="180" w:rightFromText="180" w:vertAnchor="text" w:horzAnchor="page" w:tblpX="1879" w:tblpY="533"/>
        <w:tblOverlap w:val="never"/>
        <w:tblW w:w="4824" w:type="pct"/>
        <w:tblInd w:w="0" w:type="dxa"/>
        <w:tblLayout w:type="autofit"/>
        <w:tblCellMar>
          <w:top w:w="0" w:type="dxa"/>
          <w:left w:w="108" w:type="dxa"/>
          <w:bottom w:w="0" w:type="dxa"/>
          <w:right w:w="108" w:type="dxa"/>
        </w:tblCellMar>
      </w:tblPr>
      <w:tblGrid>
        <w:gridCol w:w="696"/>
        <w:gridCol w:w="1165"/>
        <w:gridCol w:w="3756"/>
        <w:gridCol w:w="733"/>
        <w:gridCol w:w="936"/>
        <w:gridCol w:w="936"/>
      </w:tblGrid>
      <w:tr>
        <w:tblPrEx>
          <w:tblCellMar>
            <w:top w:w="0" w:type="dxa"/>
            <w:left w:w="108" w:type="dxa"/>
            <w:bottom w:w="0" w:type="dxa"/>
            <w:right w:w="108" w:type="dxa"/>
          </w:tblCellMar>
        </w:tblPrEx>
        <w:trPr>
          <w:trHeight w:val="831" w:hRule="atLeast"/>
        </w:trPr>
        <w:tc>
          <w:tcPr>
            <w:tcW w:w="371"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服务类别</w:t>
            </w:r>
          </w:p>
        </w:tc>
        <w:tc>
          <w:tcPr>
            <w:tcW w:w="756"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服务子类</w:t>
            </w:r>
          </w:p>
        </w:tc>
        <w:tc>
          <w:tcPr>
            <w:tcW w:w="2330"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服务项</w:t>
            </w:r>
          </w:p>
        </w:tc>
        <w:tc>
          <w:tcPr>
            <w:tcW w:w="493"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计价单位</w:t>
            </w:r>
          </w:p>
        </w:tc>
        <w:tc>
          <w:tcPr>
            <w:tcW w:w="491"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数量</w:t>
            </w:r>
          </w:p>
        </w:tc>
        <w:tc>
          <w:tcPr>
            <w:tcW w:w="556"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期限（月）</w:t>
            </w:r>
          </w:p>
        </w:tc>
      </w:tr>
      <w:tr>
        <w:tblPrEx>
          <w:tblCellMar>
            <w:top w:w="0" w:type="dxa"/>
            <w:left w:w="108" w:type="dxa"/>
            <w:bottom w:w="0" w:type="dxa"/>
            <w:right w:w="108" w:type="dxa"/>
          </w:tblCellMar>
        </w:tblPrEx>
        <w:trPr>
          <w:trHeight w:val="288" w:hRule="atLeast"/>
        </w:trPr>
        <w:tc>
          <w:tcPr>
            <w:tcW w:w="371" w:type="pct"/>
            <w:vMerge w:val="restart"/>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计算服务</w:t>
            </w:r>
          </w:p>
        </w:tc>
        <w:tc>
          <w:tcPr>
            <w:tcW w:w="756" w:type="pct"/>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x86平台云主机服务</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vCPU（主频不低于2.4GHz）</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CPU</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4472</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88" w:hRule="atLeast"/>
        </w:trPr>
        <w:tc>
          <w:tcPr>
            <w:tcW w:w="37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内存</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20256</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831" w:hRule="atLeast"/>
        </w:trPr>
        <w:tc>
          <w:tcPr>
            <w:tcW w:w="37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x86物理服务器租用服务</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x86物理服务器配置1：2路10核2.0Ghz，64G内存，2块600G SAS硬盘,2个HBA卡，2个万兆端口</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6</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831" w:hRule="atLeast"/>
        </w:trPr>
        <w:tc>
          <w:tcPr>
            <w:tcW w:w="37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x86物理服务器配置2：4路10核2.0Ghz，128G内存，2块600G SAS硬盘，2个HBA卡，2个万兆端口</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5</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831" w:hRule="atLeast"/>
        </w:trPr>
        <w:tc>
          <w:tcPr>
            <w:tcW w:w="37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x86物理服务器配置3：8路10核2.0Ghz，256G内存 ，2块600 SAS硬盘,2个HBA卡，2个万兆端口</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88" w:hRule="atLeast"/>
        </w:trPr>
        <w:tc>
          <w:tcPr>
            <w:tcW w:w="37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330"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内存-32GB内存</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1条</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144</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存储服务</w:t>
            </w:r>
          </w:p>
        </w:tc>
        <w:tc>
          <w:tcPr>
            <w:tcW w:w="7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普通性能存储</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普通存储（单盘技术指标: 单盘IOPS 1000-3000 ）</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25660</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高性能存储</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高性能存储（单盘技术指标：单盘IOPS 3000-20000 ）</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211910</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本地备份服务</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本地备份服务</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1GB</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25660</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88"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网络服务</w:t>
            </w:r>
          </w:p>
        </w:tc>
        <w:tc>
          <w:tcPr>
            <w:tcW w:w="756" w:type="pct"/>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互联网链路服务</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互联网链路带宽</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Mb</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50</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互联网IP地址租用服务、并提供备案服务</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4</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7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远程接入服务</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每个账号结合身份验证通过VPN远程接入堡垒机进行维护</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1账号</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30</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831" w:hRule="atLeast"/>
        </w:trPr>
        <w:tc>
          <w:tcPr>
            <w:tcW w:w="371" w:type="pct"/>
            <w:vMerge w:val="continue"/>
            <w:tcBorders>
              <w:top w:val="nil"/>
              <w:left w:val="single" w:color="000000" w:sz="4" w:space="0"/>
              <w:bottom w:val="single" w:color="000000" w:sz="4" w:space="0"/>
              <w:right w:val="single" w:color="000000" w:sz="4" w:space="0"/>
            </w:tcBorders>
            <w:vAlign w:val="center"/>
          </w:tcPr>
          <w:p>
            <w:pPr>
              <w:widowControl/>
              <w:spacing w:line="360" w:lineRule="auto"/>
              <w:contextualSpacing/>
              <w:jc w:val="left"/>
              <w:rPr>
                <w:rFonts w:ascii="宋体" w:hAnsi="宋体"/>
                <w:sz w:val="24"/>
              </w:rPr>
            </w:pPr>
          </w:p>
        </w:tc>
        <w:tc>
          <w:tcPr>
            <w:tcW w:w="756" w:type="pct"/>
            <w:tcBorders>
              <w:top w:val="single" w:color="000000" w:sz="4" w:space="0"/>
              <w:left w:val="nil"/>
              <w:bottom w:val="single" w:color="000000" w:sz="4" w:space="0"/>
              <w:right w:val="single" w:color="000000" w:sz="4" w:space="0"/>
            </w:tcBorders>
            <w:vAlign w:val="center"/>
          </w:tcPr>
          <w:p>
            <w:pPr>
              <w:widowControl/>
              <w:spacing w:line="360" w:lineRule="auto"/>
              <w:contextualSpacing/>
              <w:jc w:val="left"/>
              <w:rPr>
                <w:rFonts w:ascii="宋体" w:hAnsi="宋体"/>
                <w:sz w:val="24"/>
              </w:rPr>
            </w:pPr>
            <w:r>
              <w:rPr>
                <w:rFonts w:hint="eastAsia" w:ascii="宋体" w:hAnsi="宋体"/>
                <w:sz w:val="24"/>
              </w:rPr>
              <w:t>VPN服务</w:t>
            </w:r>
          </w:p>
        </w:tc>
        <w:tc>
          <w:tcPr>
            <w:tcW w:w="2330" w:type="pct"/>
            <w:tcBorders>
              <w:top w:val="single" w:color="000000" w:sz="4" w:space="0"/>
              <w:left w:val="nil"/>
              <w:bottom w:val="single" w:color="000000" w:sz="4" w:space="0"/>
              <w:right w:val="single" w:color="000000" w:sz="4" w:space="0"/>
            </w:tcBorders>
            <w:vAlign w:val="center"/>
          </w:tcPr>
          <w:p>
            <w:pPr>
              <w:widowControl/>
              <w:spacing w:line="360" w:lineRule="auto"/>
              <w:contextualSpacing/>
              <w:jc w:val="left"/>
              <w:rPr>
                <w:rFonts w:ascii="宋体" w:hAnsi="宋体"/>
                <w:sz w:val="24"/>
              </w:rPr>
            </w:pPr>
            <w:r>
              <w:rPr>
                <w:rFonts w:hint="eastAsia" w:ascii="宋体" w:hAnsi="宋体"/>
                <w:sz w:val="24"/>
              </w:rPr>
              <w:t>SSL VPN接入，用户通过SSL VPN访问业务系统。每套10个并发用户。所需带宽参照“互联网链路带宽”购买。</w:t>
            </w:r>
          </w:p>
        </w:tc>
        <w:tc>
          <w:tcPr>
            <w:tcW w:w="493" w:type="pct"/>
            <w:tcBorders>
              <w:top w:val="single" w:color="000000" w:sz="4" w:space="0"/>
              <w:left w:val="nil"/>
              <w:bottom w:val="single" w:color="000000" w:sz="4" w:space="0"/>
              <w:right w:val="single" w:color="000000" w:sz="4" w:space="0"/>
            </w:tcBorders>
            <w:vAlign w:val="center"/>
          </w:tcPr>
          <w:p>
            <w:pPr>
              <w:widowControl/>
              <w:spacing w:line="360" w:lineRule="auto"/>
              <w:contextualSpacing/>
              <w:jc w:val="left"/>
              <w:rPr>
                <w:rFonts w:ascii="宋体" w:hAnsi="宋体"/>
                <w:sz w:val="24"/>
              </w:rPr>
            </w:pPr>
            <w:r>
              <w:rPr>
                <w:rFonts w:hint="eastAsia" w:ascii="宋体" w:hAnsi="宋体"/>
                <w:sz w:val="24"/>
              </w:rPr>
              <w:t>1套</w:t>
            </w:r>
          </w:p>
        </w:tc>
        <w:tc>
          <w:tcPr>
            <w:tcW w:w="491" w:type="pct"/>
            <w:tcBorders>
              <w:top w:val="single" w:color="000000" w:sz="4" w:space="0"/>
              <w:left w:val="nil"/>
              <w:bottom w:val="single" w:color="000000" w:sz="4" w:space="0"/>
              <w:right w:val="single" w:color="000000" w:sz="4" w:space="0"/>
            </w:tcBorders>
            <w:vAlign w:val="center"/>
          </w:tcPr>
          <w:p>
            <w:pPr>
              <w:widowControl/>
              <w:spacing w:line="360" w:lineRule="auto"/>
              <w:contextualSpacing/>
              <w:jc w:val="left"/>
              <w:rPr>
                <w:rFonts w:ascii="宋体" w:hAnsi="宋体"/>
                <w:sz w:val="24"/>
              </w:rPr>
            </w:pPr>
            <w:r>
              <w:rPr>
                <w:rFonts w:hint="eastAsia" w:ascii="宋体" w:hAnsi="宋体"/>
                <w:sz w:val="24"/>
              </w:rPr>
              <w:t>500</w:t>
            </w:r>
          </w:p>
        </w:tc>
        <w:tc>
          <w:tcPr>
            <w:tcW w:w="556" w:type="pct"/>
            <w:tcBorders>
              <w:top w:val="single" w:color="000000" w:sz="4" w:space="0"/>
              <w:left w:val="nil"/>
              <w:bottom w:val="single" w:color="000000" w:sz="4" w:space="0"/>
              <w:right w:val="single" w:color="000000" w:sz="4" w:space="0"/>
            </w:tcBorders>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安全服务</w:t>
            </w:r>
          </w:p>
        </w:tc>
        <w:tc>
          <w:tcPr>
            <w:tcW w:w="756"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主机杀毒服务</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对云主机进行定期的病毒查杀，杀毒软件集中控制，对网络性能无影响。</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180</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831"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安全检测监测、审计服务</w:t>
            </w:r>
          </w:p>
        </w:tc>
        <w:tc>
          <w:tcPr>
            <w:tcW w:w="756"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主机日志分析</w:t>
            </w:r>
          </w:p>
        </w:tc>
        <w:tc>
          <w:tcPr>
            <w:tcW w:w="2330"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针对操作系统进行日志收集，并且进行分析，并将结果反馈给用户，用于了解主机安全情况及资源使用情况</w:t>
            </w:r>
          </w:p>
        </w:tc>
        <w:tc>
          <w:tcPr>
            <w:tcW w:w="49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254</w:t>
            </w:r>
          </w:p>
        </w:tc>
        <w:tc>
          <w:tcPr>
            <w:tcW w:w="556"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bl>
    <w:p>
      <w:pPr>
        <w:widowControl/>
        <w:spacing w:line="360" w:lineRule="auto"/>
        <w:contextualSpacing/>
        <w:rPr>
          <w:sz w:val="24"/>
        </w:rPr>
      </w:pPr>
    </w:p>
    <w:p>
      <w:pPr>
        <w:widowControl/>
        <w:spacing w:line="360" w:lineRule="auto"/>
        <w:contextualSpacing/>
        <w:rPr>
          <w:sz w:val="24"/>
        </w:rPr>
      </w:pPr>
      <w:r>
        <w:rPr>
          <w:rFonts w:hint="eastAsia"/>
          <w:sz w:val="24"/>
        </w:rPr>
        <w:t>（3）北京市疾控中心信息系统</w:t>
      </w:r>
    </w:p>
    <w:tbl>
      <w:tblPr>
        <w:tblStyle w:val="8"/>
        <w:tblW w:w="4826" w:type="pct"/>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78"/>
        <w:gridCol w:w="3930"/>
        <w:gridCol w:w="839"/>
        <w:gridCol w:w="83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360" w:lineRule="auto"/>
              <w:contextualSpacing/>
              <w:jc w:val="left"/>
              <w:rPr>
                <w:sz w:val="24"/>
              </w:rPr>
            </w:pPr>
            <w:r>
              <w:rPr>
                <w:rFonts w:hint="eastAsia"/>
                <w:sz w:val="24"/>
              </w:rPr>
              <w:t>服务类别</w:t>
            </w:r>
          </w:p>
        </w:tc>
        <w:tc>
          <w:tcPr>
            <w:tcW w:w="655" w:type="pct"/>
            <w:tcBorders>
              <w:top w:val="single" w:color="auto" w:sz="4" w:space="0"/>
              <w:left w:val="single" w:color="auto" w:sz="4" w:space="0"/>
              <w:bottom w:val="single" w:color="auto" w:sz="4" w:space="0"/>
              <w:right w:val="single" w:color="auto" w:sz="4" w:space="0"/>
            </w:tcBorders>
            <w:shd w:val="clear" w:color="auto" w:fill="D0CECE"/>
            <w:noWrap/>
            <w:vAlign w:val="center"/>
          </w:tcPr>
          <w:p>
            <w:pPr>
              <w:widowControl/>
              <w:spacing w:line="360" w:lineRule="auto"/>
              <w:contextualSpacing/>
              <w:jc w:val="left"/>
              <w:rPr>
                <w:sz w:val="24"/>
              </w:rPr>
            </w:pPr>
            <w:r>
              <w:rPr>
                <w:rFonts w:hint="eastAsia"/>
                <w:sz w:val="24"/>
              </w:rPr>
              <w:t>服务子类</w:t>
            </w:r>
          </w:p>
        </w:tc>
        <w:tc>
          <w:tcPr>
            <w:tcW w:w="2388" w:type="pct"/>
            <w:tcBorders>
              <w:top w:val="single" w:color="auto" w:sz="4" w:space="0"/>
              <w:left w:val="single" w:color="auto" w:sz="4" w:space="0"/>
              <w:bottom w:val="single" w:color="auto" w:sz="4" w:space="0"/>
              <w:right w:val="single" w:color="auto" w:sz="4" w:space="0"/>
            </w:tcBorders>
            <w:shd w:val="clear" w:color="auto" w:fill="D0CECE"/>
            <w:noWrap/>
            <w:vAlign w:val="center"/>
          </w:tcPr>
          <w:p>
            <w:pPr>
              <w:widowControl/>
              <w:spacing w:line="360" w:lineRule="auto"/>
              <w:contextualSpacing/>
              <w:jc w:val="left"/>
              <w:rPr>
                <w:sz w:val="24"/>
              </w:rPr>
            </w:pPr>
            <w:r>
              <w:rPr>
                <w:rFonts w:hint="eastAsia"/>
                <w:sz w:val="24"/>
              </w:rPr>
              <w:t>服务项</w:t>
            </w:r>
          </w:p>
        </w:tc>
        <w:tc>
          <w:tcPr>
            <w:tcW w:w="510" w:type="pct"/>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360" w:lineRule="auto"/>
              <w:contextualSpacing/>
              <w:jc w:val="left"/>
              <w:rPr>
                <w:sz w:val="24"/>
              </w:rPr>
            </w:pPr>
            <w:r>
              <w:rPr>
                <w:rFonts w:hint="eastAsia"/>
                <w:sz w:val="24"/>
              </w:rPr>
              <w:t>计价</w:t>
            </w:r>
          </w:p>
          <w:p>
            <w:pPr>
              <w:widowControl/>
              <w:spacing w:line="360" w:lineRule="auto"/>
              <w:contextualSpacing/>
              <w:jc w:val="left"/>
              <w:rPr>
                <w:sz w:val="24"/>
              </w:rPr>
            </w:pPr>
            <w:r>
              <w:rPr>
                <w:rFonts w:hint="eastAsia"/>
                <w:sz w:val="24"/>
              </w:rPr>
              <w:t>单位</w:t>
            </w:r>
          </w:p>
        </w:tc>
        <w:tc>
          <w:tcPr>
            <w:tcW w:w="509" w:type="pct"/>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360" w:lineRule="auto"/>
              <w:contextualSpacing/>
              <w:jc w:val="left"/>
              <w:rPr>
                <w:sz w:val="24"/>
              </w:rPr>
            </w:pPr>
            <w:r>
              <w:rPr>
                <w:rFonts w:hint="eastAsia"/>
                <w:sz w:val="24"/>
              </w:rPr>
              <w:t>数 量</w:t>
            </w:r>
          </w:p>
        </w:tc>
        <w:tc>
          <w:tcPr>
            <w:tcW w:w="521" w:type="pct"/>
            <w:tcBorders>
              <w:top w:val="single" w:color="auto" w:sz="4" w:space="0"/>
              <w:left w:val="single" w:color="auto" w:sz="4" w:space="0"/>
              <w:bottom w:val="single" w:color="auto" w:sz="4" w:space="0"/>
              <w:right w:val="single" w:color="auto" w:sz="4" w:space="0"/>
            </w:tcBorders>
            <w:shd w:val="clear" w:color="auto" w:fill="D0CECE"/>
            <w:noWrap/>
            <w:vAlign w:val="center"/>
          </w:tcPr>
          <w:p>
            <w:pPr>
              <w:widowControl/>
              <w:spacing w:line="360" w:lineRule="auto"/>
              <w:contextualSpacing/>
              <w:jc w:val="left"/>
              <w:rPr>
                <w:sz w:val="24"/>
              </w:rPr>
            </w:pPr>
            <w:r>
              <w:rPr>
                <w:rFonts w:hint="eastAsia"/>
                <w:sz w:val="24"/>
              </w:rPr>
              <w:t>期限(月)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1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r>
              <w:rPr>
                <w:rFonts w:hint="eastAsia"/>
                <w:sz w:val="24"/>
              </w:rPr>
              <w:t>计算服务</w:t>
            </w:r>
          </w:p>
        </w:tc>
        <w:tc>
          <w:tcPr>
            <w:tcW w:w="655" w:type="pct"/>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x86平台云主机服务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vCPU（主频不低于2.4GHz）</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1CPU</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208</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内存</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1GB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696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x86物理服务器租用服务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x86物理服务器配置1：2路10核2.0Ghz，64G内存，2块600G SAS硬盘,2个HBA卡，2个万兆端口</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2</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x86物理服务器配置2：4路10核2.0Ghz，128G内存，2块600G SAS硬盘，2个HBA卡，2个万兆端口</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2</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r>
              <w:rPr>
                <w:rFonts w:hint="eastAsia"/>
                <w:sz w:val="24"/>
              </w:rPr>
              <w:t>存储服务</w:t>
            </w: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普通性能存储</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普通存储（单盘技术指标: 单盘IOPS 1000-3000 ）</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1GB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18000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高性能存储</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高性能存储（单盘技术指标：单盘IOPS 000-20000 ）</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1GB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9000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本地备份服务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本地备份服务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1GB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9000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异地备份服务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异地备份服务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1GB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9000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r>
              <w:rPr>
                <w:rFonts w:hint="eastAsia"/>
                <w:sz w:val="24"/>
              </w:rPr>
              <w:t>网络服务</w:t>
            </w:r>
          </w:p>
        </w:tc>
        <w:tc>
          <w:tcPr>
            <w:tcW w:w="655" w:type="pct"/>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互联网链路服务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互联网链路带宽</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1Mb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180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互联网IP地址租用服务、并提供备案服务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1IP</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主机负载均衡服务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主机负载均衡服务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1IP（内网）</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4</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远程接入服务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每个账号结合身份验通过VPN远程接入堡垒机进行维护</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1账号</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VPN专线接入服务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VPN服务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600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WAF防护</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在网站前端架设WAF防护服务，保证用户网站对已知安全隐患进行防护，实时升级漏洞补丁，配置防护策略，可起到前端防护作用。</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1IP（互联网）</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r>
              <w:rPr>
                <w:rFonts w:hint="eastAsia"/>
                <w:sz w:val="24"/>
              </w:rPr>
              <w:t>政务云扩展服务</w:t>
            </w:r>
          </w:p>
        </w:tc>
        <w:tc>
          <w:tcPr>
            <w:tcW w:w="655" w:type="pct"/>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bookmarkStart w:id="0" w:name="_Hlk165886279"/>
            <w:r>
              <w:rPr>
                <w:rFonts w:hint="eastAsia"/>
                <w:sz w:val="24"/>
              </w:rPr>
              <w:t>基础软件支撑服务</w:t>
            </w:r>
            <w:bookmarkEnd w:id="0"/>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商用操作系统套餐（Windows）</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14</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国产商用操作系统套餐（Linux）</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10</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商用应用中间件套餐（Weblogic11G）</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8</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商用数据库租用服务(Oracle不含rac)</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7</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商用数据库租用服务(Oracle含rac)</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4</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安全服务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云端抗DDOS服务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1站点</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主机杀毒服务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24</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主机防护</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24</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主机安全加固</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安全检测监测、审计服务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主机漏洞扫描</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主机日志分析</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1台</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96</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6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数据库审计服务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1套</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9</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contextualSpacing/>
              <w:jc w:val="left"/>
              <w:rPr>
                <w:sz w:val="24"/>
              </w:rPr>
            </w:pPr>
            <w:r>
              <w:rPr>
                <w:rFonts w:hint="eastAsia"/>
                <w:sz w:val="24"/>
              </w:rPr>
              <w:t>其他服务</w:t>
            </w: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其他服务</w:t>
            </w:r>
          </w:p>
        </w:tc>
        <w:tc>
          <w:tcPr>
            <w:tcW w:w="238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CDN服务</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1GB</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187</w:t>
            </w:r>
          </w:p>
        </w:tc>
        <w:tc>
          <w:tcPr>
            <w:tcW w:w="5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contextualSpacing/>
              <w:jc w:val="left"/>
              <w:rPr>
                <w:sz w:val="24"/>
              </w:rPr>
            </w:pPr>
            <w:r>
              <w:rPr>
                <w:rFonts w:hint="eastAsia"/>
                <w:sz w:val="24"/>
              </w:rPr>
              <w:t>12</w:t>
            </w:r>
          </w:p>
        </w:tc>
      </w:tr>
    </w:tbl>
    <w:p>
      <w:pPr>
        <w:widowControl/>
        <w:spacing w:line="360" w:lineRule="auto"/>
        <w:contextualSpacing/>
        <w:rPr>
          <w:sz w:val="24"/>
        </w:rPr>
      </w:pPr>
    </w:p>
    <w:p>
      <w:pPr>
        <w:widowControl/>
        <w:spacing w:line="360" w:lineRule="auto"/>
        <w:contextualSpacing/>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widowControl/>
        <w:spacing w:line="360" w:lineRule="auto"/>
        <w:contextualSpacing/>
        <w:rPr>
          <w:sz w:val="24"/>
        </w:rPr>
      </w:pPr>
      <w:r>
        <w:rPr>
          <w:rFonts w:hint="eastAsia"/>
          <w:sz w:val="24"/>
        </w:rPr>
        <w:t>（4）北京市传染病智慧化多点监测触发预警平台</w:t>
      </w:r>
    </w:p>
    <w:tbl>
      <w:tblPr>
        <w:tblStyle w:val="8"/>
        <w:tblW w:w="4998" w:type="pct"/>
        <w:tblInd w:w="0" w:type="dxa"/>
        <w:tblLayout w:type="autofit"/>
        <w:tblCellMar>
          <w:top w:w="0" w:type="dxa"/>
          <w:left w:w="108" w:type="dxa"/>
          <w:bottom w:w="0" w:type="dxa"/>
          <w:right w:w="108" w:type="dxa"/>
        </w:tblCellMar>
      </w:tblPr>
      <w:tblGrid>
        <w:gridCol w:w="703"/>
        <w:gridCol w:w="1154"/>
        <w:gridCol w:w="3860"/>
        <w:gridCol w:w="978"/>
        <w:gridCol w:w="888"/>
        <w:gridCol w:w="936"/>
      </w:tblGrid>
      <w:tr>
        <w:tblPrEx>
          <w:tblCellMar>
            <w:top w:w="0" w:type="dxa"/>
            <w:left w:w="108" w:type="dxa"/>
            <w:bottom w:w="0" w:type="dxa"/>
            <w:right w:w="108" w:type="dxa"/>
          </w:tblCellMar>
        </w:tblPrEx>
        <w:trPr>
          <w:trHeight w:val="554" w:hRule="atLeast"/>
        </w:trPr>
        <w:tc>
          <w:tcPr>
            <w:tcW w:w="421"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服务类别</w:t>
            </w:r>
          </w:p>
        </w:tc>
        <w:tc>
          <w:tcPr>
            <w:tcW w:w="685"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服务子类</w:t>
            </w:r>
          </w:p>
        </w:tc>
        <w:tc>
          <w:tcPr>
            <w:tcW w:w="2273"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服务项</w:t>
            </w:r>
          </w:p>
        </w:tc>
        <w:tc>
          <w:tcPr>
            <w:tcW w:w="582"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计价</w:t>
            </w:r>
          </w:p>
          <w:p>
            <w:pPr>
              <w:widowControl/>
              <w:spacing w:line="360" w:lineRule="auto"/>
              <w:contextualSpacing/>
              <w:jc w:val="left"/>
              <w:rPr>
                <w:rFonts w:ascii="宋体" w:hAnsi="宋体"/>
                <w:sz w:val="24"/>
              </w:rPr>
            </w:pPr>
            <w:r>
              <w:rPr>
                <w:rFonts w:hint="eastAsia" w:ascii="宋体" w:hAnsi="宋体"/>
                <w:sz w:val="24"/>
              </w:rPr>
              <w:t>单位</w:t>
            </w:r>
          </w:p>
        </w:tc>
        <w:tc>
          <w:tcPr>
            <w:tcW w:w="529"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数量</w:t>
            </w:r>
          </w:p>
        </w:tc>
        <w:tc>
          <w:tcPr>
            <w:tcW w:w="508" w:type="pct"/>
            <w:tcBorders>
              <w:top w:val="single" w:color="000000" w:sz="4" w:space="0"/>
              <w:left w:val="nil"/>
              <w:bottom w:val="single" w:color="000000" w:sz="4" w:space="0"/>
              <w:right w:val="single" w:color="000000" w:sz="4" w:space="0"/>
            </w:tcBorders>
            <w:shd w:val="clear" w:color="auto" w:fill="D9D9D9"/>
            <w:vAlign w:val="center"/>
          </w:tcPr>
          <w:p>
            <w:pPr>
              <w:widowControl/>
              <w:spacing w:line="360" w:lineRule="auto"/>
              <w:contextualSpacing/>
              <w:jc w:val="left"/>
              <w:rPr>
                <w:rFonts w:ascii="宋体" w:hAnsi="宋体"/>
                <w:sz w:val="24"/>
              </w:rPr>
            </w:pPr>
            <w:r>
              <w:rPr>
                <w:rFonts w:hint="eastAsia" w:ascii="宋体" w:hAnsi="宋体"/>
                <w:sz w:val="24"/>
              </w:rPr>
              <w:t>期限（月）</w:t>
            </w:r>
          </w:p>
        </w:tc>
      </w:tr>
      <w:tr>
        <w:tblPrEx>
          <w:tblCellMar>
            <w:top w:w="0" w:type="dxa"/>
            <w:left w:w="108" w:type="dxa"/>
            <w:bottom w:w="0" w:type="dxa"/>
            <w:right w:w="108" w:type="dxa"/>
          </w:tblCellMar>
        </w:tblPrEx>
        <w:trPr>
          <w:trHeight w:val="288" w:hRule="atLeast"/>
        </w:trPr>
        <w:tc>
          <w:tcPr>
            <w:tcW w:w="42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计算服务</w:t>
            </w:r>
          </w:p>
        </w:tc>
        <w:tc>
          <w:tcPr>
            <w:tcW w:w="685" w:type="pct"/>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x86平台云主机服务</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vCPU（主频不低于2.4GHz）</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CPU</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688</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88" w:hRule="atLeast"/>
        </w:trPr>
        <w:tc>
          <w:tcPr>
            <w:tcW w:w="4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内存</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2084</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421" w:type="pct"/>
            <w:vMerge w:val="restart"/>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存储服务</w:t>
            </w:r>
          </w:p>
        </w:tc>
        <w:tc>
          <w:tcPr>
            <w:tcW w:w="685"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普通性能存储</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普通存储（单盘技术指标: 单盘IOPS 1000-3000 ）</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60540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42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高性能存储</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高性能存储（单盘技术指标：单盘IOPS 3000-20000 ）</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GB</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60540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42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本地备份服务</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本地备份服务</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1GB</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38100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421" w:type="pct"/>
            <w:vMerge w:val="continue"/>
            <w:tcBorders>
              <w:top w:val="nil"/>
              <w:left w:val="single" w:color="000000" w:sz="4" w:space="0"/>
              <w:bottom w:val="nil"/>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异地备份服务</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异地备份服务</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1GB</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30000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88"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r>
              <w:rPr>
                <w:rFonts w:hint="eastAsia" w:ascii="宋体" w:hAnsi="宋体"/>
                <w:sz w:val="24"/>
              </w:rPr>
              <w:t>网络服务</w:t>
            </w:r>
          </w:p>
        </w:tc>
        <w:tc>
          <w:tcPr>
            <w:tcW w:w="685" w:type="pct"/>
            <w:vMerge w:val="restart"/>
            <w:tcBorders>
              <w:top w:val="nil"/>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互联网链路服务</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互联网链路带宽</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Mb</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200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288"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vMerge w:val="continue"/>
            <w:tcBorders>
              <w:top w:val="nil"/>
              <w:left w:val="nil"/>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互联网IP地址租用服务、并提供备案服务</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主机负载均衡服务</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主机负载均衡服务</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IP（内网）</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55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远程接入服务</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每个账号结合身份验证通过VPN远程接入堡垒机进行维护</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1账号</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10</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r>
        <w:tblPrEx>
          <w:tblCellMar>
            <w:top w:w="0" w:type="dxa"/>
            <w:left w:w="108" w:type="dxa"/>
            <w:bottom w:w="0" w:type="dxa"/>
            <w:right w:w="108" w:type="dxa"/>
          </w:tblCellMar>
        </w:tblPrEx>
        <w:trPr>
          <w:trHeight w:val="83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left"/>
              <w:rPr>
                <w:rFonts w:ascii="宋体" w:hAnsi="宋体"/>
                <w:sz w:val="24"/>
              </w:rPr>
            </w:pPr>
          </w:p>
        </w:tc>
        <w:tc>
          <w:tcPr>
            <w:tcW w:w="685"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WAF防护</w:t>
            </w:r>
          </w:p>
        </w:tc>
        <w:tc>
          <w:tcPr>
            <w:tcW w:w="2273"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在网站前端架设WAF防护服务，保证用户网站对已知安全隐患进行防护，实时升级漏洞补丁，配置防护策略，可起到前端防护作用。</w:t>
            </w:r>
          </w:p>
        </w:tc>
        <w:tc>
          <w:tcPr>
            <w:tcW w:w="582"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 IP（互联网）</w:t>
            </w:r>
          </w:p>
        </w:tc>
        <w:tc>
          <w:tcPr>
            <w:tcW w:w="529"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2</w:t>
            </w:r>
          </w:p>
        </w:tc>
        <w:tc>
          <w:tcPr>
            <w:tcW w:w="508" w:type="pct"/>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contextualSpacing/>
              <w:jc w:val="left"/>
              <w:rPr>
                <w:rFonts w:ascii="宋体" w:hAnsi="宋体"/>
                <w:sz w:val="24"/>
              </w:rPr>
            </w:pPr>
            <w:r>
              <w:rPr>
                <w:rFonts w:hint="eastAsia" w:ascii="宋体" w:hAnsi="宋体"/>
                <w:sz w:val="24"/>
              </w:rPr>
              <w:t>12</w:t>
            </w:r>
          </w:p>
        </w:tc>
      </w:tr>
    </w:tbl>
    <w:p>
      <w:pPr>
        <w:widowControl/>
        <w:spacing w:line="360" w:lineRule="auto"/>
        <w:contextualSpacing/>
        <w:rPr>
          <w:sz w:val="24"/>
        </w:rPr>
      </w:pPr>
      <w:bookmarkStart w:id="1" w:name="_Hlk167184085"/>
    </w:p>
    <w:p>
      <w:pPr>
        <w:widowControl/>
        <w:spacing w:line="360" w:lineRule="auto"/>
        <w:contextualSpacing/>
        <w:rPr>
          <w:sz w:val="24"/>
        </w:rPr>
      </w:pPr>
    </w:p>
    <w:p>
      <w:pPr>
        <w:pStyle w:val="2"/>
        <w:rPr>
          <w:sz w:val="24"/>
        </w:rPr>
      </w:pPr>
    </w:p>
    <w:p>
      <w:pPr>
        <w:pStyle w:val="2"/>
        <w:rPr>
          <w:sz w:val="24"/>
        </w:rPr>
      </w:pPr>
    </w:p>
    <w:p>
      <w:pPr>
        <w:widowControl/>
        <w:spacing w:line="360" w:lineRule="auto"/>
        <w:ind w:firstLine="482" w:firstLineChars="200"/>
        <w:contextualSpacing/>
        <w:rPr>
          <w:rFonts w:hint="eastAsia"/>
          <w:b/>
          <w:bCs/>
          <w:sz w:val="24"/>
        </w:rPr>
      </w:pPr>
      <w:r>
        <w:rPr>
          <w:rFonts w:hint="eastAsia"/>
          <w:b/>
          <w:bCs/>
          <w:sz w:val="24"/>
        </w:rPr>
        <w:t>2.</w:t>
      </w:r>
      <w:bookmarkEnd w:id="1"/>
      <w:r>
        <w:rPr>
          <w:rFonts w:hint="eastAsia"/>
          <w:b/>
          <w:bCs/>
          <w:sz w:val="24"/>
        </w:rPr>
        <w:t>2政务云服务需求</w:t>
      </w:r>
    </w:p>
    <w:p>
      <w:pPr>
        <w:widowControl/>
        <w:spacing w:line="360" w:lineRule="auto"/>
        <w:ind w:firstLine="480" w:firstLineChars="200"/>
        <w:contextualSpacing/>
        <w:rPr>
          <w:sz w:val="24"/>
        </w:rPr>
      </w:pPr>
      <w:r>
        <w:rPr>
          <w:rFonts w:hint="eastAsia"/>
          <w:sz w:val="24"/>
        </w:rPr>
        <w:t>1、政务云基础服务</w:t>
      </w:r>
    </w:p>
    <w:p>
      <w:pPr>
        <w:widowControl/>
        <w:spacing w:line="360" w:lineRule="auto"/>
        <w:ind w:firstLine="480" w:firstLineChars="200"/>
        <w:contextualSpacing/>
        <w:rPr>
          <w:sz w:val="24"/>
        </w:rPr>
      </w:pPr>
      <w:r>
        <w:rPr>
          <w:rFonts w:hint="eastAsia"/>
          <w:sz w:val="24"/>
        </w:rPr>
        <w:t>按照采购人的有关管理规定及应用系统的需求，通过租用政务云基础服务，投标人需提供计算、存储和网络等服务，确保系统顺利部署、正常平稳运行。</w:t>
      </w:r>
    </w:p>
    <w:p>
      <w:pPr>
        <w:widowControl/>
        <w:spacing w:line="360" w:lineRule="auto"/>
        <w:ind w:firstLine="480" w:firstLineChars="200"/>
        <w:contextualSpacing/>
        <w:rPr>
          <w:sz w:val="24"/>
        </w:rPr>
      </w:pPr>
      <w:r>
        <w:rPr>
          <w:rFonts w:hint="eastAsia"/>
          <w:sz w:val="24"/>
        </w:rPr>
        <w:t>（1）计算服务</w:t>
      </w:r>
    </w:p>
    <w:p>
      <w:pPr>
        <w:widowControl/>
        <w:spacing w:line="360" w:lineRule="auto"/>
        <w:ind w:firstLine="480" w:firstLineChars="200"/>
        <w:contextualSpacing/>
        <w:rPr>
          <w:sz w:val="24"/>
        </w:rPr>
      </w:pPr>
      <w:r>
        <w:rPr>
          <w:rFonts w:hint="eastAsia"/>
          <w:sz w:val="24"/>
        </w:rPr>
        <w:t>投标人需根据采购需求，提供x86平台云主机服务租用，包括vCPU（主频不低于2.4GHz）和内存。按照采购人要求对vCPU和内存进行动态调整。</w:t>
      </w:r>
    </w:p>
    <w:p>
      <w:pPr>
        <w:widowControl/>
        <w:spacing w:line="360" w:lineRule="auto"/>
        <w:ind w:firstLine="480" w:firstLineChars="200"/>
        <w:contextualSpacing/>
        <w:rPr>
          <w:sz w:val="24"/>
        </w:rPr>
      </w:pPr>
      <w:r>
        <w:rPr>
          <w:rFonts w:hint="eastAsia"/>
          <w:sz w:val="24"/>
        </w:rPr>
        <w:t>投标人需根据采购需求，提供x86物理服务器租用服务，以及租用物理服务器内存以满足超出单台物理服务器配置的内存量。按照采购人要求对物理服务器内存和存储硬盘配置进行动态调整。</w:t>
      </w:r>
    </w:p>
    <w:p>
      <w:pPr>
        <w:widowControl/>
        <w:spacing w:line="360" w:lineRule="auto"/>
        <w:ind w:firstLine="480" w:firstLineChars="200"/>
        <w:contextualSpacing/>
        <w:rPr>
          <w:sz w:val="24"/>
        </w:rPr>
      </w:pPr>
      <w:r>
        <w:rPr>
          <w:rFonts w:hint="eastAsia"/>
          <w:sz w:val="24"/>
        </w:rPr>
        <w:t>（2）存储服务</w:t>
      </w:r>
    </w:p>
    <w:p>
      <w:pPr>
        <w:widowControl/>
        <w:spacing w:line="360" w:lineRule="auto"/>
        <w:ind w:firstLine="480" w:firstLineChars="200"/>
        <w:contextualSpacing/>
        <w:rPr>
          <w:sz w:val="24"/>
        </w:rPr>
      </w:pPr>
      <w:r>
        <w:rPr>
          <w:rFonts w:hint="eastAsia"/>
          <w:sz w:val="24"/>
        </w:rPr>
        <w:t>投标人需根据采购需求，提供单盘IOPS 3000-20000的高性能存储服务和单盘IPOS 1000-3000的普通性能存储服务（备份用存储）。按照采购人要求对存储空间和配置进行动态调整。</w:t>
      </w:r>
    </w:p>
    <w:p>
      <w:pPr>
        <w:widowControl/>
        <w:spacing w:line="360" w:lineRule="auto"/>
        <w:ind w:firstLine="480" w:firstLineChars="200"/>
        <w:contextualSpacing/>
        <w:rPr>
          <w:sz w:val="24"/>
        </w:rPr>
      </w:pPr>
      <w:r>
        <w:rPr>
          <w:rFonts w:hint="eastAsia"/>
          <w:sz w:val="24"/>
        </w:rPr>
        <w:t>投标人需根据采购需求，提供本地和异地备份服务。通过制定备份策略实现文件、操作系统、数据库的本地和异地备份，并支持云主机快照功能。支持按照备份文件、快照文件的数据恢复。</w:t>
      </w:r>
    </w:p>
    <w:p>
      <w:pPr>
        <w:widowControl/>
        <w:spacing w:line="360" w:lineRule="auto"/>
        <w:ind w:firstLine="480" w:firstLineChars="200"/>
        <w:contextualSpacing/>
        <w:rPr>
          <w:sz w:val="24"/>
        </w:rPr>
      </w:pPr>
      <w:r>
        <w:rPr>
          <w:rFonts w:hint="eastAsia"/>
          <w:sz w:val="24"/>
        </w:rPr>
        <w:t>（3）网络服务</w:t>
      </w:r>
    </w:p>
    <w:p>
      <w:pPr>
        <w:widowControl/>
        <w:spacing w:line="360" w:lineRule="auto"/>
        <w:ind w:firstLine="480" w:firstLineChars="200"/>
        <w:contextualSpacing/>
        <w:rPr>
          <w:sz w:val="24"/>
        </w:rPr>
      </w:pPr>
      <w:r>
        <w:rPr>
          <w:rFonts w:hint="eastAsia"/>
          <w:sz w:val="24"/>
        </w:rPr>
        <w:t>投标人需根据采购需求，提供链路带宽服务及互联网IP地址租用服务，并提供相应的网络域名备案服务，按照管理部门要求，配合系统应用厂商提供网络策略配置服务。投标人提供的云平台需具备IPv6能力，并提供IPv6地址以及域名备案服务。</w:t>
      </w:r>
    </w:p>
    <w:p>
      <w:pPr>
        <w:widowControl/>
        <w:spacing w:line="360" w:lineRule="auto"/>
        <w:ind w:firstLine="480" w:firstLineChars="200"/>
        <w:contextualSpacing/>
        <w:rPr>
          <w:sz w:val="24"/>
        </w:rPr>
      </w:pPr>
      <w:r>
        <w:rPr>
          <w:rFonts w:hint="eastAsia"/>
          <w:sz w:val="24"/>
        </w:rPr>
        <w:t>投标人需根据采购需求，提供主机负载均衡服务，实现主机应用集群的负载均衡。</w:t>
      </w:r>
    </w:p>
    <w:p>
      <w:pPr>
        <w:widowControl/>
        <w:spacing w:line="360" w:lineRule="auto"/>
        <w:ind w:firstLine="480" w:firstLineChars="200"/>
        <w:contextualSpacing/>
        <w:rPr>
          <w:sz w:val="24"/>
        </w:rPr>
      </w:pPr>
      <w:r>
        <w:rPr>
          <w:rFonts w:hint="eastAsia"/>
          <w:sz w:val="24"/>
        </w:rPr>
        <w:t>投标人需根据采购需求，提供SSL VPN接入服务，用户通过SSL VPN访问业务系统。每套10个并发用户。</w:t>
      </w:r>
    </w:p>
    <w:p>
      <w:pPr>
        <w:widowControl/>
        <w:spacing w:line="360" w:lineRule="auto"/>
        <w:ind w:firstLine="480" w:firstLineChars="200"/>
        <w:contextualSpacing/>
        <w:rPr>
          <w:sz w:val="24"/>
        </w:rPr>
      </w:pPr>
      <w:r>
        <w:rPr>
          <w:rFonts w:hint="eastAsia"/>
          <w:sz w:val="24"/>
        </w:rPr>
        <w:t>投标人需根据采购需求，提供远程接入服务，每个账号结合身份验证通过VPN远程接入堡垒机维护应用系统。</w:t>
      </w:r>
    </w:p>
    <w:p>
      <w:pPr>
        <w:widowControl/>
        <w:spacing w:line="360" w:lineRule="auto"/>
        <w:ind w:firstLine="480" w:firstLineChars="200"/>
        <w:contextualSpacing/>
        <w:rPr>
          <w:sz w:val="24"/>
        </w:rPr>
      </w:pPr>
      <w:r>
        <w:rPr>
          <w:rFonts w:hint="eastAsia"/>
          <w:sz w:val="24"/>
        </w:rPr>
        <w:t>投标人需根据采购需求，提供WAF防护服务，通过配置防护策略，保证用户Web应用和网站对已知安全隐患进行实时防护。</w:t>
      </w:r>
    </w:p>
    <w:p>
      <w:pPr>
        <w:widowControl/>
        <w:spacing w:line="360" w:lineRule="auto"/>
        <w:ind w:firstLine="480" w:firstLineChars="200"/>
        <w:contextualSpacing/>
        <w:rPr>
          <w:sz w:val="24"/>
        </w:rPr>
      </w:pPr>
      <w:r>
        <w:rPr>
          <w:rFonts w:hint="eastAsia"/>
          <w:sz w:val="24"/>
        </w:rPr>
        <w:t>2、政务云扩展服务</w:t>
      </w:r>
    </w:p>
    <w:p>
      <w:pPr>
        <w:widowControl/>
        <w:spacing w:line="360" w:lineRule="auto"/>
        <w:ind w:firstLine="480" w:firstLineChars="200"/>
        <w:contextualSpacing/>
        <w:rPr>
          <w:sz w:val="24"/>
        </w:rPr>
      </w:pPr>
      <w:r>
        <w:rPr>
          <w:rFonts w:hint="eastAsia"/>
          <w:sz w:val="24"/>
        </w:rPr>
        <w:t>按照采购人的有关管理规定及应用系统的需求，为北京市免疫规划信息管理系统、北京市新冠疫苗接种管理平台和北京市传染病智慧化多点监测触发预警平台等系统提供政务云扩展服务，投标人需提供对基于云计算架构的硬件基础资源和云平台的日常监控及维护，实现对应用系统云主机的安全运维服务等工作。</w:t>
      </w:r>
    </w:p>
    <w:p>
      <w:pPr>
        <w:widowControl/>
        <w:spacing w:line="360" w:lineRule="auto"/>
        <w:ind w:firstLine="480" w:firstLineChars="200"/>
        <w:contextualSpacing/>
        <w:rPr>
          <w:sz w:val="24"/>
        </w:rPr>
      </w:pPr>
      <w:r>
        <w:rPr>
          <w:rFonts w:hint="eastAsia"/>
          <w:sz w:val="24"/>
        </w:rPr>
        <w:t>投标人所投云平台应支持国产商用操作系统套餐（Linux）、商用操作系统套餐（Windows）、商用应用中间件套餐（Weblogic11G）、商用应用中间件套餐（TongWeb）、商用数据库租用服务(Oracle不含rac)和商用数据库租用服务(Oracle含rac)，提供操作系统、中间件和数据库等基础软件支撑服务。</w:t>
      </w:r>
    </w:p>
    <w:p>
      <w:pPr>
        <w:widowControl/>
        <w:spacing w:line="360" w:lineRule="auto"/>
        <w:ind w:firstLine="480" w:firstLineChars="200"/>
        <w:contextualSpacing/>
        <w:rPr>
          <w:sz w:val="24"/>
        </w:rPr>
      </w:pPr>
      <w:r>
        <w:rPr>
          <w:rFonts w:hint="eastAsia"/>
          <w:sz w:val="24"/>
        </w:rPr>
        <w:t>投标人所投云平台应具备针对主机和系统的安全防护能力，提供云端抗DDOS服务、主机杀毒服务、网页防篡改服务、主机防护和主机安全加固等服务。</w:t>
      </w:r>
    </w:p>
    <w:p>
      <w:pPr>
        <w:widowControl/>
        <w:spacing w:line="360" w:lineRule="auto"/>
        <w:ind w:firstLine="480" w:firstLineChars="200"/>
        <w:contextualSpacing/>
        <w:rPr>
          <w:sz w:val="24"/>
        </w:rPr>
      </w:pPr>
      <w:r>
        <w:rPr>
          <w:rFonts w:hint="eastAsia"/>
          <w:sz w:val="24"/>
        </w:rPr>
        <w:t>投标人所投云平台应具有满足国家政策要求的审计、扫描、监控设备，具备安全检测监测、审计服务能力，提供主机漏洞扫描、主机日志分析和数据库审计等服务。</w:t>
      </w:r>
    </w:p>
    <w:p>
      <w:pPr>
        <w:widowControl/>
        <w:spacing w:line="360" w:lineRule="auto"/>
        <w:ind w:firstLine="480" w:firstLineChars="200"/>
        <w:contextualSpacing/>
        <w:rPr>
          <w:sz w:val="24"/>
        </w:rPr>
      </w:pPr>
      <w:r>
        <w:rPr>
          <w:rFonts w:hint="eastAsia"/>
          <w:sz w:val="24"/>
        </w:rPr>
        <w:t>3、政务云其他服务</w:t>
      </w:r>
    </w:p>
    <w:p>
      <w:pPr>
        <w:widowControl/>
        <w:spacing w:line="360" w:lineRule="auto"/>
        <w:ind w:firstLine="480" w:firstLineChars="200"/>
        <w:contextualSpacing/>
        <w:rPr>
          <w:sz w:val="24"/>
        </w:rPr>
      </w:pPr>
      <w:r>
        <w:rPr>
          <w:rFonts w:hint="eastAsia"/>
          <w:sz w:val="24"/>
        </w:rPr>
        <w:t>投标人所投云平台应具备数字签名验签服务器设备租用和CDN服务，提供基于数字证书的身份认证服务、数据签名与签名验证服务、加解密服务和数字信封等服务。</w:t>
      </w:r>
    </w:p>
    <w:p>
      <w:pPr>
        <w:widowControl/>
        <w:spacing w:line="360" w:lineRule="auto"/>
        <w:ind w:firstLine="482" w:firstLineChars="200"/>
        <w:contextualSpacing/>
        <w:rPr>
          <w:b/>
          <w:bCs/>
          <w:sz w:val="24"/>
        </w:rPr>
      </w:pPr>
      <w:r>
        <w:rPr>
          <w:rFonts w:hint="eastAsia"/>
          <w:b/>
          <w:bCs/>
          <w:sz w:val="24"/>
        </w:rPr>
        <w:t>2.3技术指标要求</w:t>
      </w:r>
    </w:p>
    <w:p>
      <w:pPr>
        <w:widowControl/>
        <w:spacing w:line="360" w:lineRule="auto"/>
        <w:ind w:firstLine="480" w:firstLineChars="200"/>
        <w:contextualSpacing/>
        <w:rPr>
          <w:sz w:val="24"/>
        </w:rPr>
      </w:pPr>
      <w:r>
        <w:rPr>
          <w:rFonts w:hint="eastAsia"/>
          <w:sz w:val="24"/>
        </w:rPr>
        <w:t>1. 云平台运行技术指标应符合国家法规、标准，云平台全年可用性不低于99.99%，数据可靠性不低于 99.9999%。</w:t>
      </w:r>
    </w:p>
    <w:p>
      <w:pPr>
        <w:widowControl/>
        <w:spacing w:line="360" w:lineRule="auto"/>
        <w:ind w:firstLine="480" w:firstLineChars="200"/>
        <w:contextualSpacing/>
        <w:rPr>
          <w:sz w:val="24"/>
        </w:rPr>
      </w:pPr>
      <w:r>
        <w:rPr>
          <w:rFonts w:hint="eastAsia"/>
          <w:sz w:val="24"/>
        </w:rPr>
        <w:t>2. 云平台具备高可用和动态迁移功能，发生物理设备故障后，虚拟机可以自动迁移到其他可用资源上运行，确保业务系统不受物理设备故障影响。</w:t>
      </w:r>
    </w:p>
    <w:p>
      <w:pPr>
        <w:widowControl/>
        <w:spacing w:line="360" w:lineRule="auto"/>
        <w:ind w:firstLine="480" w:firstLineChars="200"/>
        <w:contextualSpacing/>
        <w:rPr>
          <w:sz w:val="24"/>
        </w:rPr>
      </w:pPr>
      <w:r>
        <w:rPr>
          <w:rFonts w:hint="eastAsia"/>
          <w:sz w:val="24"/>
        </w:rPr>
        <w:t>3. 云平台支持对虚拟机CPU、内存、存储、带宽进行实时监控，并支持自定义告警规则。</w:t>
      </w:r>
    </w:p>
    <w:p>
      <w:pPr>
        <w:widowControl/>
        <w:spacing w:line="360" w:lineRule="auto"/>
        <w:ind w:firstLine="480" w:firstLineChars="200"/>
        <w:contextualSpacing/>
        <w:rPr>
          <w:sz w:val="24"/>
        </w:rPr>
      </w:pPr>
      <w:r>
        <w:rPr>
          <w:rFonts w:hint="eastAsia"/>
          <w:sz w:val="24"/>
        </w:rPr>
        <w:t>4. 云平台提供备份/快照功能，能对云平台中的物理和虚拟服务器进行备份，防止存储故障导致数据丢失。</w:t>
      </w:r>
    </w:p>
    <w:p>
      <w:pPr>
        <w:widowControl/>
        <w:spacing w:line="360" w:lineRule="auto"/>
        <w:ind w:firstLine="480" w:firstLineChars="200"/>
        <w:contextualSpacing/>
        <w:rPr>
          <w:sz w:val="24"/>
        </w:rPr>
      </w:pPr>
      <w:r>
        <w:rPr>
          <w:rFonts w:hint="eastAsia"/>
          <w:sz w:val="24"/>
        </w:rPr>
        <w:t>5. 云管平台支持图形化管理，支持自动生成资源使用的数据报表。</w:t>
      </w:r>
    </w:p>
    <w:p>
      <w:pPr>
        <w:widowControl/>
        <w:spacing w:line="360" w:lineRule="auto"/>
        <w:ind w:firstLine="480" w:firstLineChars="200"/>
        <w:contextualSpacing/>
        <w:rPr>
          <w:sz w:val="24"/>
        </w:rPr>
      </w:pPr>
      <w:r>
        <w:rPr>
          <w:rFonts w:hint="eastAsia"/>
          <w:sz w:val="24"/>
        </w:rPr>
        <w:t>6. 云平台应具备为计算单元提供授时时钟源的能力。</w:t>
      </w:r>
    </w:p>
    <w:p>
      <w:pPr>
        <w:widowControl/>
        <w:spacing w:line="360" w:lineRule="auto"/>
        <w:ind w:firstLine="480" w:firstLineChars="200"/>
        <w:contextualSpacing/>
        <w:rPr>
          <w:sz w:val="24"/>
        </w:rPr>
      </w:pPr>
      <w:r>
        <w:rPr>
          <w:rFonts w:hint="eastAsia"/>
          <w:sz w:val="24"/>
        </w:rPr>
        <w:t>7. 为满足业务系统改造的需求，所提供的政务云平台需具备国产化硬件架构，支持部署国产化软件的能力。</w:t>
      </w:r>
    </w:p>
    <w:p>
      <w:pPr>
        <w:widowControl/>
        <w:spacing w:line="360" w:lineRule="auto"/>
        <w:ind w:firstLine="480" w:firstLineChars="200"/>
        <w:contextualSpacing/>
        <w:rPr>
          <w:rFonts w:hint="eastAsia"/>
          <w:sz w:val="24"/>
        </w:rPr>
      </w:pPr>
      <w:r>
        <w:rPr>
          <w:rFonts w:hint="eastAsia"/>
          <w:sz w:val="24"/>
        </w:rPr>
        <w:t>8．云平台应具备IPv6能力，并提供IPv6地址以及域名备案服务。</w:t>
      </w:r>
    </w:p>
    <w:p>
      <w:pPr>
        <w:pStyle w:val="2"/>
      </w:pPr>
    </w:p>
    <w:p>
      <w:pPr>
        <w:widowControl/>
        <w:spacing w:line="360" w:lineRule="auto"/>
        <w:ind w:firstLine="482" w:firstLineChars="200"/>
        <w:contextualSpacing/>
        <w:rPr>
          <w:rFonts w:hint="eastAsia"/>
          <w:b/>
          <w:bCs/>
          <w:sz w:val="24"/>
        </w:rPr>
      </w:pPr>
      <w:r>
        <w:rPr>
          <w:rFonts w:hint="eastAsia"/>
          <w:b/>
          <w:bCs/>
          <w:sz w:val="24"/>
        </w:rPr>
        <w:t>2.4业务连续性要求</w:t>
      </w:r>
    </w:p>
    <w:p>
      <w:pPr>
        <w:widowControl/>
        <w:spacing w:line="360" w:lineRule="auto"/>
        <w:ind w:firstLine="480" w:firstLineChars="200"/>
        <w:contextualSpacing/>
        <w:rPr>
          <w:sz w:val="24"/>
        </w:rPr>
      </w:pPr>
      <w:r>
        <w:rPr>
          <w:rFonts w:hint="eastAsia"/>
          <w:sz w:val="24"/>
        </w:rPr>
        <w:t>本项目涉及的业务系统为采购人在用的生产系统，目前在北京市政务云上平稳运行，因此业务连续性是首要的保障需求。</w:t>
      </w:r>
    </w:p>
    <w:p>
      <w:pPr>
        <w:widowControl/>
        <w:spacing w:line="360" w:lineRule="auto"/>
        <w:ind w:firstLine="480" w:firstLineChars="200"/>
        <w:contextualSpacing/>
        <w:rPr>
          <w:sz w:val="24"/>
        </w:rPr>
      </w:pPr>
      <w:r>
        <w:rPr>
          <w:rFonts w:hint="eastAsia"/>
          <w:sz w:val="24"/>
        </w:rPr>
        <w:t>具体要求如下：</w:t>
      </w:r>
    </w:p>
    <w:p>
      <w:pPr>
        <w:widowControl/>
        <w:spacing w:line="360" w:lineRule="auto"/>
        <w:ind w:firstLine="480" w:firstLineChars="200"/>
        <w:contextualSpacing/>
        <w:rPr>
          <w:sz w:val="24"/>
        </w:rPr>
      </w:pPr>
      <w:r>
        <w:rPr>
          <w:rFonts w:hint="eastAsia"/>
          <w:sz w:val="24"/>
        </w:rPr>
        <w:t>1. 投标人编制业务连续性服务方案。</w:t>
      </w:r>
    </w:p>
    <w:p>
      <w:pPr>
        <w:widowControl/>
        <w:spacing w:line="360" w:lineRule="auto"/>
        <w:ind w:firstLine="480" w:firstLineChars="200"/>
        <w:contextualSpacing/>
        <w:rPr>
          <w:sz w:val="24"/>
        </w:rPr>
      </w:pPr>
      <w:r>
        <w:rPr>
          <w:rFonts w:hint="eastAsia"/>
          <w:sz w:val="24"/>
        </w:rPr>
        <w:t>2. 本项目如涉及系统迁移，投标人在连续性服务方案中还需提供确实可行的迁移部署服务子方案。投标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迁移部署服务子方案应明确需要采购人配合的具体工作内容及时长（如迁移窗口规划、业务系统及数据完整性验证等），针对系统迁移过程中容易造成业务系统中断的环节，包含但不限于互联网及政务外网IP变更割接、业务数据同步及切换上线、功能业务验证及回退等，进行风险评估，提出详细解决方案，并承诺自合同生效之日起九个工作日内完成全部系统迁移部署工作，保证现有业务系统在不中断业务的情况下平滑迁移至中标人云平台，并且不能改变和影响系统的功能、技术状态以及用户的使用习惯。未按时完成系统迁移工作的，采购人有权解除合同并要求投标人按合同首付款双倍支付违约金。</w:t>
      </w:r>
    </w:p>
    <w:p>
      <w:pPr>
        <w:widowControl/>
        <w:spacing w:line="360" w:lineRule="auto"/>
        <w:ind w:firstLine="480" w:firstLineChars="200"/>
        <w:contextualSpacing/>
        <w:rPr>
          <w:sz w:val="24"/>
        </w:rPr>
      </w:pPr>
      <w:r>
        <w:rPr>
          <w:rFonts w:hint="eastAsia"/>
          <w:sz w:val="24"/>
        </w:rPr>
        <w:t>3. 本项目如涉及系统迁移，为确保迁移过程中数据不丢失、系统业务不中断，投标人负责与原政务云平台的服务商进行主动对接，投标人需承诺系统迁移涉及的所有费用（包括但不限于中标人迁移测试阶段的云资源费用，第三方对业务系统的部署、调试费用等）由投标人承担。</w:t>
      </w:r>
    </w:p>
    <w:p>
      <w:pPr>
        <w:widowControl/>
        <w:spacing w:line="360" w:lineRule="auto"/>
        <w:ind w:firstLine="480" w:firstLineChars="200"/>
        <w:contextualSpacing/>
        <w:rPr>
          <w:rFonts w:hint="eastAsia"/>
          <w:sz w:val="24"/>
        </w:rPr>
      </w:pPr>
      <w:r>
        <w:rPr>
          <w:rFonts w:hint="eastAsia"/>
          <w:sz w:val="24"/>
        </w:rPr>
        <w:t>4．本项目如不涉及系统迁移，投标人应当承诺项目结束，项目如需要迁出，则配合做好系统与数据的迁出工作。并确保迁出后不保存招标人的系统与数据。</w:t>
      </w:r>
    </w:p>
    <w:p>
      <w:pPr>
        <w:pStyle w:val="2"/>
      </w:pPr>
    </w:p>
    <w:p>
      <w:pPr>
        <w:widowControl/>
        <w:spacing w:line="360" w:lineRule="auto"/>
        <w:ind w:firstLine="482" w:firstLineChars="200"/>
        <w:contextualSpacing/>
        <w:rPr>
          <w:rFonts w:hint="eastAsia"/>
          <w:b/>
          <w:bCs/>
          <w:sz w:val="24"/>
        </w:rPr>
      </w:pPr>
      <w:r>
        <w:rPr>
          <w:rFonts w:hint="eastAsia"/>
          <w:b/>
          <w:bCs/>
          <w:sz w:val="24"/>
        </w:rPr>
        <w:t>2.5云平台安全能力要求</w:t>
      </w:r>
    </w:p>
    <w:p>
      <w:pPr>
        <w:widowControl/>
        <w:spacing w:line="360" w:lineRule="auto"/>
        <w:ind w:firstLine="480" w:firstLineChars="200"/>
        <w:contextualSpacing/>
        <w:rPr>
          <w:sz w:val="24"/>
        </w:rPr>
      </w:pPr>
      <w:r>
        <w:rPr>
          <w:rFonts w:hint="eastAsia"/>
          <w:sz w:val="24"/>
        </w:rPr>
        <w:t>投标人需提供标准云平台的安全管理服务和安全技术服务，包括但不限于云平台7*24小时监控、机房运维管理、应急演练、物理访问控制、机房三防、租户隔离、角色权限管理等。</w:t>
      </w:r>
    </w:p>
    <w:p>
      <w:pPr>
        <w:widowControl/>
        <w:spacing w:line="360" w:lineRule="auto"/>
        <w:ind w:firstLine="480" w:firstLineChars="200"/>
        <w:contextualSpacing/>
        <w:rPr>
          <w:sz w:val="24"/>
        </w:rPr>
      </w:pPr>
      <w:r>
        <w:rPr>
          <w:rFonts w:hint="eastAsia"/>
          <w:sz w:val="24"/>
        </w:rPr>
        <w:t>投标人所投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投标人管辖范围内的硬件、软件及支撑环境资源，至少达到业务系统的最高安全等级要求。并提供相关平台已有的安全等级保护测评报告并加盖投标人公章。</w:t>
      </w:r>
    </w:p>
    <w:p>
      <w:pPr>
        <w:widowControl/>
        <w:spacing w:line="360" w:lineRule="auto"/>
        <w:ind w:firstLine="480" w:firstLineChars="200"/>
        <w:contextualSpacing/>
        <w:rPr>
          <w:sz w:val="24"/>
        </w:rPr>
      </w:pPr>
      <w:r>
        <w:rPr>
          <w:rFonts w:hint="eastAsia"/>
          <w:sz w:val="24"/>
        </w:rPr>
        <w:t>投标人所投云平台通过中央网信办云计算服务安全评估，提供相关证明并加盖投标人公章。</w:t>
      </w:r>
    </w:p>
    <w:p>
      <w:pPr>
        <w:widowControl/>
        <w:spacing w:line="360" w:lineRule="auto"/>
        <w:ind w:firstLine="480" w:firstLineChars="200"/>
        <w:contextualSpacing/>
        <w:rPr>
          <w:sz w:val="24"/>
        </w:rPr>
      </w:pPr>
      <w:r>
        <w:rPr>
          <w:rFonts w:hint="eastAsia"/>
          <w:sz w:val="24"/>
        </w:rPr>
        <w:t>投标人所投云平台应具备商用密码服务能力，并通过商用密码应用安全性评估，提供相关证明并加盖投标人公章。</w:t>
      </w:r>
    </w:p>
    <w:p>
      <w:pPr>
        <w:widowControl/>
        <w:spacing w:line="360" w:lineRule="auto"/>
        <w:ind w:firstLine="482" w:firstLineChars="200"/>
        <w:contextualSpacing/>
        <w:rPr>
          <w:rFonts w:hint="eastAsia"/>
          <w:b/>
          <w:bCs/>
          <w:sz w:val="24"/>
        </w:rPr>
      </w:pPr>
      <w:r>
        <w:rPr>
          <w:rFonts w:hint="eastAsia"/>
          <w:b/>
          <w:bCs/>
          <w:sz w:val="24"/>
        </w:rPr>
        <w:t xml:space="preserve">2.6运维保障服务要求 </w:t>
      </w:r>
    </w:p>
    <w:p>
      <w:pPr>
        <w:widowControl/>
        <w:spacing w:line="360" w:lineRule="auto"/>
        <w:ind w:firstLine="480" w:firstLineChars="200"/>
        <w:contextualSpacing/>
        <w:rPr>
          <w:sz w:val="24"/>
        </w:rPr>
      </w:pPr>
      <w:r>
        <w:rPr>
          <w:rFonts w:hint="eastAsia"/>
          <w:sz w:val="24"/>
        </w:rPr>
        <w:t>（1） 服务规范</w:t>
      </w:r>
    </w:p>
    <w:p>
      <w:pPr>
        <w:widowControl/>
        <w:spacing w:line="360" w:lineRule="auto"/>
        <w:ind w:firstLine="480" w:firstLineChars="200"/>
        <w:contextualSpacing/>
        <w:rPr>
          <w:sz w:val="24"/>
        </w:rPr>
      </w:pPr>
      <w:r>
        <w:rPr>
          <w:rFonts w:hint="eastAsia"/>
          <w:sz w:val="24"/>
        </w:rPr>
        <w:t>投标人须严格按照政务云管理单位制定的管理办法、流程、应急制度、文档管理、资产管理、基线管理、人员管理与培训、知识库管理、安全管理等相关制度，规范地开展标准化的运维服务工作。</w:t>
      </w:r>
    </w:p>
    <w:p>
      <w:pPr>
        <w:widowControl/>
        <w:spacing w:line="360" w:lineRule="auto"/>
        <w:ind w:firstLine="480" w:firstLineChars="200"/>
        <w:contextualSpacing/>
        <w:rPr>
          <w:sz w:val="24"/>
        </w:rPr>
      </w:pPr>
      <w:r>
        <w:rPr>
          <w:rFonts w:hint="eastAsia"/>
          <w:sz w:val="24"/>
        </w:rPr>
        <w:t>（2） 运维要求</w:t>
      </w:r>
    </w:p>
    <w:p>
      <w:pPr>
        <w:widowControl/>
        <w:spacing w:line="360" w:lineRule="auto"/>
        <w:ind w:firstLine="480" w:firstLineChars="200"/>
        <w:contextualSpacing/>
        <w:rPr>
          <w:sz w:val="24"/>
        </w:rPr>
      </w:pPr>
      <w:r>
        <w:rPr>
          <w:rFonts w:hint="eastAsia"/>
          <w:sz w:val="24"/>
        </w:rPr>
        <w:t>投标人需利用监控系统或人工对机房环境、硬件设备及应用系统的运行情况进行7*24小时的监控，及时发现安全隐患，通知相关人员及时处理，并形成监控报告。</w:t>
      </w:r>
    </w:p>
    <w:p>
      <w:pPr>
        <w:widowControl/>
        <w:spacing w:line="360" w:lineRule="auto"/>
        <w:ind w:firstLine="480" w:firstLineChars="200"/>
        <w:contextualSpacing/>
        <w:rPr>
          <w:sz w:val="24"/>
        </w:rPr>
      </w:pPr>
      <w:r>
        <w:rPr>
          <w:rFonts w:hint="eastAsia"/>
          <w:sz w:val="24"/>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pPr>
        <w:widowControl/>
        <w:spacing w:line="360" w:lineRule="auto"/>
        <w:ind w:firstLine="480" w:firstLineChars="200"/>
        <w:contextualSpacing/>
        <w:rPr>
          <w:sz w:val="24"/>
        </w:rPr>
      </w:pPr>
      <w:r>
        <w:rPr>
          <w:rFonts w:hint="eastAsia"/>
          <w:sz w:val="24"/>
        </w:rPr>
        <w:t>（3） 安全及保密要求</w:t>
      </w:r>
    </w:p>
    <w:p>
      <w:pPr>
        <w:widowControl/>
        <w:spacing w:line="360" w:lineRule="auto"/>
        <w:ind w:firstLine="480" w:firstLineChars="200"/>
        <w:contextualSpacing/>
        <w:rPr>
          <w:sz w:val="24"/>
        </w:rPr>
      </w:pPr>
      <w:r>
        <w:rPr>
          <w:rFonts w:hint="eastAsia"/>
          <w:sz w:val="24"/>
        </w:rPr>
        <w:t>投标人须严格遵守采购人的相关信息安全规定，不得利用系统维护服务时的便利对采购人数据及其他信息擅自修改或透漏给第三方。</w:t>
      </w:r>
    </w:p>
    <w:p>
      <w:pPr>
        <w:widowControl/>
        <w:spacing w:line="360" w:lineRule="auto"/>
        <w:ind w:firstLine="480" w:firstLineChars="200"/>
        <w:contextualSpacing/>
        <w:rPr>
          <w:sz w:val="24"/>
        </w:rPr>
      </w:pPr>
      <w:r>
        <w:rPr>
          <w:rFonts w:hint="eastAsia"/>
          <w:sz w:val="24"/>
        </w:rPr>
        <w:t>（4） 响应的及时性要求</w:t>
      </w:r>
    </w:p>
    <w:p>
      <w:pPr>
        <w:widowControl/>
        <w:spacing w:line="360" w:lineRule="auto"/>
        <w:ind w:firstLine="480" w:firstLineChars="200"/>
        <w:contextualSpacing/>
        <w:rPr>
          <w:rFonts w:hint="eastAsia"/>
          <w:sz w:val="24"/>
        </w:rPr>
      </w:pPr>
      <w:r>
        <w:rPr>
          <w:rFonts w:hint="eastAsia"/>
          <w:sz w:val="24"/>
        </w:rPr>
        <w:t>投标人提供7*24小时技术服务热线，负责解答采购人在云平台使用中遇到的问题，并及时提出解决问题的建议和方法，方式包括邮件、电话、即时通讯工具等。投标人须具备故障快速定位和恢复能力，并提供7*24小时技术支持服务，故障响应时间不超过5分钟，故障定位时间不超过 30分钟。采购人提出现场维护要求后，投标人应于1小时内到达政务云机房现场。</w:t>
      </w:r>
    </w:p>
    <w:p>
      <w:pPr>
        <w:pStyle w:val="2"/>
        <w:rPr>
          <w:rFonts w:hint="eastAsia"/>
          <w:sz w:val="24"/>
        </w:rPr>
      </w:pPr>
    </w:p>
    <w:p>
      <w:pPr>
        <w:widowControl/>
        <w:spacing w:line="360" w:lineRule="auto"/>
        <w:ind w:firstLine="480" w:firstLineChars="200"/>
        <w:contextualSpacing/>
        <w:rPr>
          <w:sz w:val="24"/>
        </w:rPr>
      </w:pPr>
      <w:r>
        <w:rPr>
          <w:rFonts w:hint="eastAsia"/>
          <w:sz w:val="24"/>
        </w:rPr>
        <w:t>（5） 重点保障要求</w:t>
      </w:r>
    </w:p>
    <w:p>
      <w:pPr>
        <w:widowControl/>
        <w:spacing w:line="360" w:lineRule="auto"/>
        <w:ind w:firstLine="480" w:firstLineChars="200"/>
        <w:contextualSpacing/>
        <w:rPr>
          <w:sz w:val="24"/>
        </w:rPr>
      </w:pPr>
      <w:r>
        <w:rPr>
          <w:rFonts w:hint="eastAsia"/>
          <w:sz w:val="24"/>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pPr>
        <w:widowControl/>
        <w:spacing w:line="360" w:lineRule="auto"/>
        <w:ind w:firstLine="480" w:firstLineChars="200"/>
        <w:contextualSpacing/>
        <w:rPr>
          <w:sz w:val="24"/>
        </w:rPr>
      </w:pPr>
      <w:r>
        <w:rPr>
          <w:rFonts w:hint="eastAsia"/>
          <w:sz w:val="24"/>
        </w:rPr>
        <w:t>（6） 应急保障和风险防控措施</w:t>
      </w:r>
    </w:p>
    <w:p>
      <w:pPr>
        <w:widowControl/>
        <w:spacing w:line="360" w:lineRule="auto"/>
        <w:ind w:firstLine="480" w:firstLineChars="200"/>
        <w:contextualSpacing/>
        <w:rPr>
          <w:sz w:val="24"/>
        </w:rPr>
      </w:pPr>
      <w:r>
        <w:rPr>
          <w:rFonts w:hint="eastAsia"/>
          <w:sz w:val="24"/>
        </w:rPr>
        <w:t>云平台应具备相应的应急预案与风险防控措施,在云平台运行维护期间，出现应急情况和风险状况时，按照预案处置，快速解决问题。</w:t>
      </w:r>
    </w:p>
    <w:p>
      <w:pPr>
        <w:widowControl/>
        <w:spacing w:line="360" w:lineRule="auto"/>
        <w:ind w:firstLine="480" w:firstLineChars="200"/>
        <w:contextualSpacing/>
        <w:rPr>
          <w:i/>
          <w:iCs/>
          <w:sz w:val="24"/>
        </w:rPr>
      </w:pPr>
      <w:r>
        <w:rPr>
          <w:sz w:val="24"/>
        </w:rPr>
        <w:t xml:space="preserve"> 3. 验收标准</w:t>
      </w:r>
    </w:p>
    <w:p>
      <w:pPr>
        <w:widowControl/>
        <w:spacing w:line="360" w:lineRule="auto"/>
        <w:ind w:firstLine="482"/>
        <w:contextualSpacing/>
        <w:rPr>
          <w:sz w:val="24"/>
        </w:rPr>
      </w:pPr>
      <w:r>
        <w:rPr>
          <w:rFonts w:hint="eastAsia"/>
          <w:sz w:val="24"/>
        </w:rPr>
        <w:t>中标人在按合同要求提供各项服务并形成服务报告文档后，在系统运行正常的前提下，由采购人进行验收。中标人需提供最终签署的合同中约定的相关文档并配合采购人验收工作。</w:t>
      </w:r>
    </w:p>
    <w:p>
      <w:pPr>
        <w:spacing w:line="360" w:lineRule="auto"/>
        <w:ind w:firstLine="480" w:firstLineChars="200"/>
        <w:contextualSpacing/>
        <w:rPr>
          <w:sz w:val="24"/>
        </w:rPr>
      </w:pPr>
      <w:r>
        <w:rPr>
          <w:sz w:val="24"/>
        </w:rPr>
        <w:t>4. 其他要求</w:t>
      </w:r>
    </w:p>
    <w:p>
      <w:pPr>
        <w:spacing w:line="360" w:lineRule="auto"/>
        <w:ind w:firstLine="480" w:firstLineChars="200"/>
        <w:contextualSpacing/>
        <w:rPr>
          <w:sz w:val="24"/>
        </w:rPr>
      </w:pPr>
      <w:r>
        <w:rPr>
          <w:rFonts w:hint="eastAsia"/>
          <w:sz w:val="24"/>
        </w:rPr>
        <w:t xml:space="preserve">4.1服务团队要求 </w:t>
      </w:r>
    </w:p>
    <w:p>
      <w:pPr>
        <w:spacing w:line="360" w:lineRule="auto"/>
        <w:ind w:firstLine="480" w:firstLineChars="200"/>
        <w:contextualSpacing/>
        <w:rPr>
          <w:sz w:val="24"/>
        </w:rPr>
      </w:pPr>
      <w:r>
        <w:rPr>
          <w:rFonts w:hint="eastAsia"/>
          <w:sz w:val="24"/>
        </w:rPr>
        <w:t>投标人须根据项目要求安排具备相应资质和经验的专业人员从事本项目工作，提供不少于10人的服务团队，</w:t>
      </w:r>
      <w:r>
        <w:rPr>
          <w:rFonts w:hint="eastAsia"/>
          <w:sz w:val="24"/>
          <w:lang w:bidi="ar"/>
        </w:rPr>
        <w:t>所有人员应提供劳动合同。</w:t>
      </w:r>
      <w:r>
        <w:rPr>
          <w:rFonts w:hint="eastAsia"/>
          <w:sz w:val="24"/>
        </w:rPr>
        <w:t>须确保项目实施队伍的稳定，提供本地化服务。投标人需提供项目团队组织架构、成员名单、成员职责。</w:t>
      </w:r>
    </w:p>
    <w:p>
      <w:pPr>
        <w:spacing w:line="360" w:lineRule="auto"/>
        <w:ind w:firstLine="480" w:firstLineChars="200"/>
        <w:contextualSpacing/>
        <w:rPr>
          <w:sz w:val="24"/>
        </w:rPr>
      </w:pPr>
      <w:r>
        <w:rPr>
          <w:rFonts w:hint="eastAsia"/>
          <w:sz w:val="24"/>
        </w:rPr>
        <w:t>1.项目经理1名，具有五年及以上类似项目管理工作经验（提供个人简历并加盖投标人公章），具有信息系统项目管理师证书。</w:t>
      </w:r>
    </w:p>
    <w:p>
      <w:pPr>
        <w:spacing w:line="360" w:lineRule="auto"/>
        <w:ind w:firstLine="480" w:firstLineChars="200"/>
        <w:contextualSpacing/>
        <w:rPr>
          <w:sz w:val="24"/>
        </w:rPr>
      </w:pPr>
      <w:r>
        <w:rPr>
          <w:rFonts w:hint="eastAsia"/>
          <w:sz w:val="24"/>
        </w:rPr>
        <w:t>2. 安全运维工程师不少于2名，具有五年及以上安全运维相关从业经验（提供个人简历并加盖投标人公章）。</w:t>
      </w:r>
    </w:p>
    <w:p>
      <w:pPr>
        <w:spacing w:line="360" w:lineRule="auto"/>
        <w:ind w:firstLine="480" w:firstLineChars="200"/>
        <w:contextualSpacing/>
        <w:rPr>
          <w:sz w:val="24"/>
        </w:rPr>
      </w:pPr>
      <w:r>
        <w:rPr>
          <w:rFonts w:hint="eastAsia"/>
          <w:sz w:val="24"/>
        </w:rPr>
        <w:t>3. 数据库运维工程师不少于1名，具有五年及以上数据库运维相关从业经验（提供个人简历并加盖投标人公章）。</w:t>
      </w:r>
    </w:p>
    <w:p>
      <w:pPr>
        <w:spacing w:line="360" w:lineRule="auto"/>
        <w:ind w:firstLine="480" w:firstLineChars="200"/>
        <w:contextualSpacing/>
        <w:rPr>
          <w:sz w:val="24"/>
        </w:rPr>
      </w:pPr>
      <w:r>
        <w:rPr>
          <w:rFonts w:hint="eastAsia"/>
          <w:sz w:val="24"/>
        </w:rPr>
        <w:t>4. 网络运维工程师不少于3名，具有五年及以上网络运维相关从业经验（提供个人简历并加盖投标人公章）。</w:t>
      </w:r>
    </w:p>
    <w:p>
      <w:pPr>
        <w:spacing w:line="360" w:lineRule="auto"/>
        <w:ind w:firstLine="480" w:firstLineChars="200"/>
        <w:contextualSpacing/>
        <w:rPr>
          <w:sz w:val="24"/>
        </w:rPr>
      </w:pPr>
      <w:r>
        <w:rPr>
          <w:rFonts w:hint="eastAsia"/>
          <w:sz w:val="24"/>
        </w:rPr>
        <w:t>5. 平台运维工程师不少于2名，具有五年及以上云平台运维相关从业经验（提供个人简历并加盖投标人公章）。</w:t>
      </w:r>
    </w:p>
    <w:p>
      <w:pPr>
        <w:spacing w:line="360" w:lineRule="auto"/>
        <w:ind w:firstLine="480" w:firstLineChars="200"/>
        <w:contextualSpacing/>
        <w:rPr>
          <w:sz w:val="24"/>
        </w:rPr>
      </w:pPr>
      <w:r>
        <w:rPr>
          <w:rFonts w:hint="eastAsia"/>
          <w:sz w:val="24"/>
        </w:rPr>
        <w:t>4.2售后服务及培训要求</w:t>
      </w:r>
    </w:p>
    <w:p>
      <w:pPr>
        <w:spacing w:line="360" w:lineRule="auto"/>
        <w:ind w:firstLine="480" w:firstLineChars="200"/>
        <w:contextualSpacing/>
        <w:rPr>
          <w:sz w:val="24"/>
        </w:rPr>
      </w:pPr>
      <w:r>
        <w:rPr>
          <w:rFonts w:hint="eastAsia"/>
          <w:sz w:val="24"/>
        </w:rPr>
        <w:t>4.2.1售后服务</w:t>
      </w:r>
    </w:p>
    <w:p>
      <w:pPr>
        <w:spacing w:line="360" w:lineRule="auto"/>
        <w:ind w:firstLine="480" w:firstLineChars="200"/>
        <w:contextualSpacing/>
        <w:rPr>
          <w:sz w:val="24"/>
        </w:rPr>
      </w:pPr>
      <w:r>
        <w:rPr>
          <w:rFonts w:hint="eastAsia"/>
          <w:sz w:val="24"/>
        </w:rPr>
        <w:t>投标人应成立专门的技术支持和售后服务小组，提供完善周到的本地化服务，具有7*24小时的维护支持能力以及优先服务级别。故障响应时间不超过10分钟，故障定位时间不超过 30分钟。采购人提出现场维护要求后，投标人应于1小时内到达政务云机房现场。投标人应提供具体的技术支持和售后服务方案。</w:t>
      </w:r>
    </w:p>
    <w:p>
      <w:pPr>
        <w:spacing w:line="360" w:lineRule="auto"/>
        <w:ind w:firstLine="480" w:firstLineChars="200"/>
        <w:contextualSpacing/>
        <w:rPr>
          <w:sz w:val="24"/>
        </w:rPr>
      </w:pPr>
      <w:r>
        <w:rPr>
          <w:rFonts w:hint="eastAsia"/>
          <w:sz w:val="24"/>
        </w:rPr>
        <w:t>自租用期始至服务期止，需向采购人提供以下两方面内容，其它内容可自愿提供。</w:t>
      </w:r>
    </w:p>
    <w:p>
      <w:pPr>
        <w:spacing w:line="360" w:lineRule="auto"/>
        <w:ind w:firstLine="480" w:firstLineChars="200"/>
        <w:contextualSpacing/>
        <w:rPr>
          <w:sz w:val="24"/>
        </w:rPr>
      </w:pPr>
      <w:r>
        <w:rPr>
          <w:rFonts w:hint="eastAsia"/>
          <w:sz w:val="24"/>
        </w:rPr>
        <w:t>一是每月定期向采购人提供月度服务明细。</w:t>
      </w:r>
    </w:p>
    <w:p>
      <w:pPr>
        <w:spacing w:line="360" w:lineRule="auto"/>
        <w:ind w:firstLine="480" w:firstLineChars="200"/>
        <w:contextualSpacing/>
        <w:rPr>
          <w:sz w:val="24"/>
        </w:rPr>
      </w:pPr>
      <w:r>
        <w:rPr>
          <w:rFonts w:hint="eastAsia"/>
          <w:sz w:val="24"/>
        </w:rPr>
        <w:t>二是至少提前3天通知之后即将进行的，与采购人系统运行相关的安全事件、项目施工、功能或者性能调整工作。</w:t>
      </w:r>
    </w:p>
    <w:p>
      <w:pPr>
        <w:spacing w:line="360" w:lineRule="auto"/>
        <w:ind w:firstLine="480" w:firstLineChars="200"/>
        <w:contextualSpacing/>
        <w:rPr>
          <w:sz w:val="24"/>
        </w:rPr>
      </w:pPr>
      <w:r>
        <w:rPr>
          <w:rFonts w:hint="eastAsia"/>
          <w:sz w:val="24"/>
        </w:rPr>
        <w:t>4.2.2培训要求</w:t>
      </w:r>
    </w:p>
    <w:p>
      <w:pPr>
        <w:spacing w:line="360" w:lineRule="auto"/>
        <w:ind w:firstLine="480" w:firstLineChars="200"/>
        <w:contextualSpacing/>
        <w:rPr>
          <w:sz w:val="24"/>
        </w:rPr>
      </w:pPr>
      <w:r>
        <w:rPr>
          <w:rFonts w:hint="eastAsia"/>
          <w:sz w:val="24"/>
        </w:rPr>
        <w:t>中标人根据采购人实际需要提供培训。</w:t>
      </w:r>
    </w:p>
    <w:p>
      <w:pPr>
        <w:spacing w:line="360" w:lineRule="auto"/>
        <w:ind w:firstLine="480" w:firstLineChars="200"/>
        <w:contextualSpacing/>
        <w:rPr>
          <w:sz w:val="24"/>
        </w:rPr>
      </w:pPr>
      <w:r>
        <w:rPr>
          <w:rFonts w:hint="eastAsia"/>
          <w:sz w:val="24"/>
        </w:rPr>
        <w:t>4.3交付方式</w:t>
      </w:r>
    </w:p>
    <w:p>
      <w:pPr>
        <w:spacing w:line="360" w:lineRule="auto"/>
        <w:ind w:firstLine="480" w:firstLineChars="200"/>
        <w:contextualSpacing/>
        <w:rPr>
          <w:rFonts w:hint="eastAsia"/>
          <w:sz w:val="24"/>
        </w:rPr>
      </w:pPr>
      <w:r>
        <w:rPr>
          <w:rFonts w:hint="eastAsia"/>
          <w:sz w:val="24"/>
        </w:rPr>
        <w:t>中标人应在合同签订生效之日起五个工作日内，交付本次招标所需的云资源，提供服务配置清单以及相关文档</w:t>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jc w:val="center"/>
        <w:rPr>
          <w:rFonts w:hint="eastAsia" w:ascii="方正公文黑体" w:hAnsi="方正公文黑体" w:eastAsia="方正公文黑体" w:cs="方正公文黑体"/>
          <w:color w:val="auto"/>
          <w:sz w:val="36"/>
          <w:szCs w:val="36"/>
        </w:rPr>
      </w:pPr>
      <w:r>
        <w:rPr>
          <w:rFonts w:hint="eastAsia" w:ascii="方正公文黑体" w:hAnsi="方正公文黑体" w:eastAsia="方正公文黑体" w:cs="方正公文黑体"/>
          <w:color w:val="auto"/>
          <w:sz w:val="36"/>
          <w:szCs w:val="36"/>
        </w:rPr>
        <w:t>评审标准</w:t>
      </w:r>
    </w:p>
    <w:p>
      <w:pPr>
        <w:rPr>
          <w:color w:val="auto"/>
        </w:rPr>
      </w:pP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评标方法：采用综合评分法，满分为100分。</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价格分采用低价优先法计算，即满足招标文件要求且投标价格最低的投标报价为评标基准价，其价格分为满分，其他投标人的价格分统一按下列公式计算：投标报价得分=（评标基准价/投标报价）×价格权值×100。</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最低报价不作为中标保证。</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具体评标标准：</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21"/>
        <w:gridCol w:w="783"/>
        <w:gridCol w:w="5183"/>
        <w:gridCol w:w="46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pPr>
              <w:spacing w:line="360" w:lineRule="auto"/>
              <w:jc w:val="center"/>
              <w:rPr>
                <w:rFonts w:ascii="宋体" w:hAnsi="宋体" w:cs="宋体"/>
                <w:b/>
                <w:sz w:val="24"/>
              </w:rPr>
            </w:pPr>
            <w:r>
              <w:rPr>
                <w:rFonts w:hint="eastAsia" w:ascii="宋体" w:hAnsi="宋体" w:cs="宋体"/>
                <w:b/>
                <w:sz w:val="24"/>
              </w:rPr>
              <w:t>序号</w:t>
            </w:r>
          </w:p>
        </w:tc>
        <w:tc>
          <w:tcPr>
            <w:tcW w:w="423" w:type="pct"/>
            <w:vAlign w:val="center"/>
          </w:tcPr>
          <w:p>
            <w:pPr>
              <w:spacing w:line="360" w:lineRule="auto"/>
              <w:jc w:val="center"/>
              <w:rPr>
                <w:rFonts w:ascii="宋体" w:hAnsi="宋体" w:cs="宋体"/>
                <w:b/>
                <w:sz w:val="24"/>
              </w:rPr>
            </w:pPr>
            <w:r>
              <w:rPr>
                <w:rFonts w:hint="eastAsia" w:ascii="宋体" w:hAnsi="宋体" w:cs="宋体"/>
                <w:b/>
                <w:sz w:val="24"/>
              </w:rPr>
              <w:t>评审部分</w:t>
            </w:r>
          </w:p>
        </w:tc>
        <w:tc>
          <w:tcPr>
            <w:tcW w:w="459" w:type="pct"/>
            <w:vAlign w:val="center"/>
          </w:tcPr>
          <w:p>
            <w:pPr>
              <w:spacing w:line="360" w:lineRule="auto"/>
              <w:jc w:val="center"/>
              <w:rPr>
                <w:rFonts w:ascii="宋体" w:hAnsi="宋体" w:cs="宋体"/>
                <w:b/>
                <w:sz w:val="24"/>
              </w:rPr>
            </w:pPr>
            <w:r>
              <w:rPr>
                <w:rFonts w:hint="eastAsia" w:ascii="宋体" w:hAnsi="宋体" w:cs="宋体"/>
                <w:b/>
                <w:sz w:val="24"/>
              </w:rPr>
              <w:t>评审因素</w:t>
            </w:r>
          </w:p>
        </w:tc>
        <w:tc>
          <w:tcPr>
            <w:tcW w:w="3040" w:type="pct"/>
            <w:vAlign w:val="center"/>
          </w:tcPr>
          <w:p>
            <w:pPr>
              <w:spacing w:line="360" w:lineRule="auto"/>
              <w:jc w:val="center"/>
              <w:rPr>
                <w:rFonts w:ascii="宋体" w:hAnsi="宋体" w:cs="宋体"/>
                <w:b/>
                <w:sz w:val="24"/>
              </w:rPr>
            </w:pPr>
            <w:r>
              <w:rPr>
                <w:rFonts w:hint="eastAsia" w:ascii="宋体" w:hAnsi="宋体" w:cs="宋体"/>
                <w:b/>
                <w:sz w:val="24"/>
              </w:rPr>
              <w:t>评审标准</w:t>
            </w:r>
          </w:p>
        </w:tc>
        <w:tc>
          <w:tcPr>
            <w:tcW w:w="274" w:type="pct"/>
            <w:vAlign w:val="center"/>
          </w:tcPr>
          <w:p>
            <w:pPr>
              <w:spacing w:line="360" w:lineRule="auto"/>
              <w:jc w:val="center"/>
              <w:rPr>
                <w:rFonts w:ascii="宋体" w:hAnsi="宋体" w:cs="宋体"/>
                <w:b/>
                <w:sz w:val="24"/>
              </w:rPr>
            </w:pPr>
            <w:r>
              <w:rPr>
                <w:rFonts w:hint="eastAsia" w:ascii="宋体" w:hAnsi="宋体" w:cs="宋体"/>
                <w:b/>
                <w:sz w:val="24"/>
              </w:rPr>
              <w:t>分值</w:t>
            </w:r>
          </w:p>
        </w:tc>
        <w:tc>
          <w:tcPr>
            <w:tcW w:w="463" w:type="pct"/>
            <w:vAlign w:val="center"/>
          </w:tcPr>
          <w:p>
            <w:pPr>
              <w:spacing w:line="360" w:lineRule="auto"/>
              <w:jc w:val="center"/>
              <w:rPr>
                <w:rFonts w:ascii="宋体" w:hAnsi="宋体" w:cs="宋体"/>
                <w:b/>
                <w:sz w:val="24"/>
              </w:rPr>
            </w:pPr>
            <w:r>
              <w:rPr>
                <w:rFonts w:hint="eastAsia" w:ascii="宋体" w:hAnsi="宋体" w:cs="宋体"/>
                <w:b/>
                <w:sz w:val="24"/>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38" w:type="pct"/>
            <w:vAlign w:val="center"/>
          </w:tcPr>
          <w:p>
            <w:pPr>
              <w:widowControl/>
              <w:spacing w:line="360" w:lineRule="auto"/>
              <w:rPr>
                <w:rFonts w:ascii="宋体" w:hAnsi="宋体" w:cs="宋体"/>
                <w:sz w:val="24"/>
              </w:rPr>
            </w:pPr>
            <w:r>
              <w:rPr>
                <w:rFonts w:hint="eastAsia" w:ascii="宋体" w:hAnsi="宋体" w:cs="宋体"/>
                <w:sz w:val="24"/>
              </w:rPr>
              <w:t>1</w:t>
            </w:r>
          </w:p>
        </w:tc>
        <w:tc>
          <w:tcPr>
            <w:tcW w:w="423" w:type="pct"/>
            <w:vAlign w:val="center"/>
          </w:tcPr>
          <w:p>
            <w:pPr>
              <w:widowControl/>
              <w:spacing w:line="360" w:lineRule="auto"/>
              <w:rPr>
                <w:rFonts w:ascii="宋体" w:hAnsi="宋体" w:cs="宋体"/>
                <w:sz w:val="24"/>
              </w:rPr>
            </w:pPr>
            <w:r>
              <w:rPr>
                <w:rFonts w:hint="eastAsia" w:ascii="宋体" w:hAnsi="宋体" w:cs="宋体"/>
                <w:sz w:val="24"/>
              </w:rPr>
              <w:t>价格</w:t>
            </w:r>
          </w:p>
        </w:tc>
        <w:tc>
          <w:tcPr>
            <w:tcW w:w="459" w:type="pct"/>
            <w:vAlign w:val="center"/>
          </w:tcPr>
          <w:p>
            <w:pPr>
              <w:widowControl/>
              <w:spacing w:line="360" w:lineRule="auto"/>
              <w:jc w:val="center"/>
              <w:rPr>
                <w:rFonts w:ascii="宋体" w:hAnsi="宋体" w:cs="宋体"/>
                <w:sz w:val="24"/>
              </w:rPr>
            </w:pPr>
            <w:r>
              <w:rPr>
                <w:rFonts w:hint="eastAsia" w:ascii="宋体" w:hAnsi="宋体" w:cs="宋体"/>
                <w:sz w:val="24"/>
              </w:rPr>
              <w:t>价格</w:t>
            </w:r>
          </w:p>
        </w:tc>
        <w:tc>
          <w:tcPr>
            <w:tcW w:w="3040" w:type="pct"/>
            <w:vAlign w:val="center"/>
          </w:tcPr>
          <w:p>
            <w:pPr>
              <w:spacing w:line="360" w:lineRule="auto"/>
              <w:rPr>
                <w:rFonts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pPr>
              <w:spacing w:line="360" w:lineRule="auto"/>
              <w:rPr>
                <w:rFonts w:ascii="宋体" w:hAnsi="宋体" w:cs="宋体"/>
                <w:sz w:val="24"/>
              </w:rPr>
            </w:pPr>
            <w:r>
              <w:rPr>
                <w:rFonts w:hint="eastAsia" w:ascii="宋体" w:hAnsi="宋体" w:cs="宋体"/>
                <w:sz w:val="24"/>
              </w:rPr>
              <w:t>投标报价得分＝（评标基准价/投标报价）×分值。</w:t>
            </w:r>
          </w:p>
          <w:p>
            <w:pPr>
              <w:spacing w:line="360" w:lineRule="auto"/>
              <w:rPr>
                <w:rFonts w:ascii="宋体" w:hAnsi="宋体" w:cs="宋体"/>
                <w:sz w:val="24"/>
              </w:rPr>
            </w:pPr>
            <w:r>
              <w:rPr>
                <w:rFonts w:hint="eastAsia" w:ascii="宋体" w:hAnsi="宋体" w:cs="宋体"/>
                <w:sz w:val="24"/>
              </w:rPr>
              <w:t>此处投标报价指经过报价修正，及因落实政府采购政策进行价格调整后的报价，详见第四章《评标程序、评标方法和评标标准》2.4及2.5。</w:t>
            </w:r>
          </w:p>
        </w:tc>
        <w:tc>
          <w:tcPr>
            <w:tcW w:w="274" w:type="pct"/>
            <w:vAlign w:val="center"/>
          </w:tcPr>
          <w:p>
            <w:pPr>
              <w:spacing w:line="360" w:lineRule="auto"/>
              <w:jc w:val="center"/>
              <w:rPr>
                <w:rFonts w:ascii="宋体" w:hAnsi="宋体" w:cs="宋体"/>
                <w:sz w:val="24"/>
              </w:rPr>
            </w:pPr>
            <w:r>
              <w:rPr>
                <w:rFonts w:hint="eastAsia" w:ascii="宋体" w:hAnsi="宋体" w:cs="宋体"/>
                <w:sz w:val="24"/>
              </w:rPr>
              <w:t>10</w:t>
            </w:r>
          </w:p>
        </w:tc>
        <w:tc>
          <w:tcPr>
            <w:tcW w:w="463" w:type="pct"/>
            <w:vAlign w:val="center"/>
          </w:tcPr>
          <w:p>
            <w:pPr>
              <w:spacing w:line="360" w:lineRule="auto"/>
              <w:jc w:val="center"/>
              <w:rPr>
                <w:rFonts w:ascii="宋体" w:hAnsi="宋体" w:cs="宋体"/>
                <w:sz w:val="24"/>
              </w:rPr>
            </w:pPr>
            <w:r>
              <w:rPr>
                <w:rFonts w:hint="eastAsia" w:ascii="宋体" w:hAnsi="宋体" w:cs="宋体"/>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2</w:t>
            </w:r>
          </w:p>
        </w:tc>
        <w:tc>
          <w:tcPr>
            <w:tcW w:w="423" w:type="pct"/>
            <w:vMerge w:val="restart"/>
            <w:vAlign w:val="center"/>
          </w:tcPr>
          <w:p>
            <w:pPr>
              <w:spacing w:line="360" w:lineRule="auto"/>
              <w:jc w:val="center"/>
              <w:rPr>
                <w:rFonts w:ascii="宋体" w:hAnsi="宋体" w:cs="宋体"/>
                <w:sz w:val="24"/>
              </w:rPr>
            </w:pPr>
            <w:r>
              <w:rPr>
                <w:rFonts w:hint="eastAsia" w:ascii="宋体" w:hAnsi="宋体" w:cs="宋体"/>
                <w:sz w:val="24"/>
              </w:rPr>
              <w:t>商务</w:t>
            </w:r>
          </w:p>
          <w:p>
            <w:pPr>
              <w:spacing w:line="360" w:lineRule="auto"/>
              <w:jc w:val="center"/>
              <w:rPr>
                <w:rFonts w:ascii="宋体" w:hAnsi="宋体" w:cs="宋体"/>
                <w:sz w:val="24"/>
              </w:rPr>
            </w:pPr>
            <w:r>
              <w:rPr>
                <w:rFonts w:hint="eastAsia" w:ascii="宋体" w:hAnsi="宋体" w:cs="宋体"/>
                <w:sz w:val="24"/>
              </w:rPr>
              <w:t>部分（36 分）</w:t>
            </w:r>
          </w:p>
        </w:tc>
        <w:tc>
          <w:tcPr>
            <w:tcW w:w="459" w:type="pct"/>
            <w:vMerge w:val="restart"/>
            <w:vAlign w:val="center"/>
          </w:tcPr>
          <w:p>
            <w:pPr>
              <w:widowControl/>
              <w:spacing w:line="360" w:lineRule="auto"/>
              <w:jc w:val="center"/>
              <w:rPr>
                <w:rFonts w:ascii="宋体" w:hAnsi="宋体" w:cs="宋体"/>
                <w:sz w:val="24"/>
              </w:rPr>
            </w:pPr>
            <w:r>
              <w:rPr>
                <w:rFonts w:hint="eastAsia" w:ascii="宋体" w:hAnsi="宋体" w:cs="宋体"/>
                <w:sz w:val="24"/>
              </w:rPr>
              <w:t>资质能力</w:t>
            </w:r>
          </w:p>
          <w:p>
            <w:pPr>
              <w:widowControl/>
              <w:spacing w:line="360" w:lineRule="auto"/>
              <w:jc w:val="center"/>
              <w:rPr>
                <w:rFonts w:ascii="宋体" w:hAnsi="宋体" w:cs="宋体"/>
                <w:sz w:val="24"/>
              </w:rPr>
            </w:pP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1、投标人具有有效的</w:t>
            </w:r>
            <w:r>
              <w:rPr>
                <w:rFonts w:hint="eastAsia" w:ascii="宋体" w:hAnsi="宋体" w:cs="宋体"/>
                <w:color w:val="auto"/>
                <w:kern w:val="0"/>
                <w:sz w:val="24"/>
              </w:rPr>
              <w:t>信息安全管理体系认证证书、信息技术</w:t>
            </w:r>
            <w:bookmarkStart w:id="2" w:name="_GoBack"/>
            <w:bookmarkEnd w:id="2"/>
            <w:r>
              <w:rPr>
                <w:rFonts w:hint="eastAsia" w:ascii="宋体" w:hAnsi="宋体" w:cs="宋体"/>
                <w:color w:val="auto"/>
                <w:kern w:val="0"/>
                <w:sz w:val="24"/>
              </w:rPr>
              <w:t>服务管理体系认证证书</w:t>
            </w:r>
            <w:r>
              <w:rPr>
                <w:rFonts w:hint="eastAsia" w:ascii="宋体" w:hAnsi="宋体" w:cs="宋体"/>
                <w:color w:val="auto"/>
                <w:kern w:val="0"/>
                <w:sz w:val="24"/>
                <w:lang w:eastAsia="zh-CN"/>
              </w:rPr>
              <w:t>、</w:t>
            </w:r>
            <w:r>
              <w:rPr>
                <w:rFonts w:hint="eastAsia" w:ascii="宋体" w:hAnsi="宋体" w:cs="宋体"/>
                <w:color w:val="auto"/>
                <w:kern w:val="0"/>
                <w:sz w:val="24"/>
              </w:rPr>
              <w:t>云服务信息安全管理体系认证证书</w:t>
            </w:r>
            <w:r>
              <w:rPr>
                <w:rFonts w:hint="eastAsia" w:ascii="宋体" w:hAnsi="宋体" w:cs="宋体"/>
                <w:color w:val="auto"/>
                <w:kern w:val="0"/>
                <w:sz w:val="24"/>
                <w:lang w:eastAsia="zh-CN"/>
              </w:rPr>
              <w:t>，</w:t>
            </w:r>
            <w:r>
              <w:rPr>
                <w:rFonts w:hint="eastAsia" w:ascii="宋体" w:hAnsi="宋体" w:cs="宋体"/>
                <w:color w:val="auto"/>
                <w:kern w:val="0"/>
                <w:sz w:val="24"/>
              </w:rPr>
              <w:t>提</w:t>
            </w:r>
            <w:r>
              <w:rPr>
                <w:rFonts w:hint="eastAsia" w:ascii="宋体" w:hAnsi="宋体" w:cs="宋体"/>
                <w:kern w:val="0"/>
                <w:sz w:val="24"/>
              </w:rPr>
              <w:t>供证书扫描件或复印件，每提供一个证书得2分，最高得6分。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6</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3</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widowControl/>
              <w:spacing w:line="360" w:lineRule="auto"/>
              <w:jc w:val="center"/>
              <w:rPr>
                <w:rFonts w:ascii="宋体" w:hAnsi="宋体" w:cs="宋体"/>
                <w:sz w:val="24"/>
              </w:rPr>
            </w:pPr>
          </w:p>
        </w:tc>
        <w:tc>
          <w:tcPr>
            <w:tcW w:w="3040" w:type="pct"/>
            <w:vAlign w:val="center"/>
          </w:tcPr>
          <w:p>
            <w:pPr>
              <w:widowControl/>
              <w:numPr>
                <w:ilvl w:val="0"/>
                <w:numId w:val="4"/>
              </w:numPr>
              <w:spacing w:line="360" w:lineRule="auto"/>
              <w:jc w:val="left"/>
              <w:rPr>
                <w:rFonts w:ascii="宋体" w:hAnsi="宋体" w:cs="宋体"/>
                <w:kern w:val="0"/>
                <w:sz w:val="24"/>
              </w:rPr>
            </w:pPr>
            <w:r>
              <w:rPr>
                <w:rFonts w:hint="eastAsia" w:ascii="宋体" w:hAnsi="宋体" w:cs="宋体"/>
                <w:kern w:val="0"/>
                <w:sz w:val="24"/>
              </w:rPr>
              <w:t>投标人所提供的政务云平台通过网络安全等级保护（GB/T 22239-2019）第三级测评，提供本年度（或上一年度）通过网络安全等级保护（GB/T 22239-2019）第三级的测评报告（至少包括报告首页、网络安全等级测评基本信息表页、等级测评结论页）并加盖投标人公章，测评报告持有人需与投标人一致。</w:t>
            </w:r>
          </w:p>
          <w:p>
            <w:pPr>
              <w:widowControl/>
              <w:spacing w:line="360" w:lineRule="auto"/>
              <w:jc w:val="left"/>
              <w:rPr>
                <w:rFonts w:ascii="宋体" w:hAnsi="宋体" w:cs="宋体"/>
                <w:kern w:val="0"/>
                <w:sz w:val="24"/>
              </w:rPr>
            </w:pPr>
            <w:r>
              <w:rPr>
                <w:rFonts w:hint="eastAsia" w:ascii="宋体" w:hAnsi="宋体" w:cs="宋体"/>
                <w:kern w:val="0"/>
                <w:sz w:val="24"/>
              </w:rPr>
              <w:t>综合得分90分及以上得3分，85（含）至90分（不含）得2分，80（含）至84分（不含）得1分，80分（不含）以下不得分。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3</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4</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widowControl/>
              <w:spacing w:line="360" w:lineRule="auto"/>
              <w:jc w:val="center"/>
              <w:rPr>
                <w:rFonts w:ascii="宋体" w:hAnsi="宋体" w:cs="宋体"/>
                <w:sz w:val="24"/>
              </w:rPr>
            </w:pP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3、投标人所提供的云平台通过中央网信办云计算服务安全评估，提供相关证明并加盖投标人公章，得2分。 </w:t>
            </w:r>
          </w:p>
        </w:tc>
        <w:tc>
          <w:tcPr>
            <w:tcW w:w="274" w:type="pct"/>
            <w:vAlign w:val="center"/>
          </w:tcPr>
          <w:p>
            <w:pPr>
              <w:spacing w:line="360" w:lineRule="auto"/>
              <w:jc w:val="center"/>
              <w:rPr>
                <w:rFonts w:ascii="宋体" w:hAnsi="宋体" w:cs="宋体"/>
                <w:sz w:val="24"/>
              </w:rPr>
            </w:pPr>
            <w:r>
              <w:rPr>
                <w:rFonts w:hint="eastAsia" w:ascii="宋体" w:hAnsi="宋体" w:cs="宋体"/>
                <w:sz w:val="24"/>
              </w:rPr>
              <w:t>2</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5</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spacing w:line="360" w:lineRule="auto"/>
              <w:jc w:val="center"/>
              <w:rPr>
                <w:rFonts w:ascii="宋体" w:hAnsi="宋体" w:cs="宋体"/>
                <w:sz w:val="24"/>
              </w:rPr>
            </w:pPr>
          </w:p>
        </w:tc>
        <w:tc>
          <w:tcPr>
            <w:tcW w:w="3040" w:type="pct"/>
            <w:vAlign w:val="center"/>
          </w:tcPr>
          <w:p>
            <w:pPr>
              <w:spacing w:line="360" w:lineRule="auto"/>
              <w:rPr>
                <w:rFonts w:ascii="宋体" w:hAnsi="宋体" w:cs="宋体"/>
                <w:kern w:val="0"/>
                <w:sz w:val="24"/>
              </w:rPr>
            </w:pPr>
            <w:r>
              <w:rPr>
                <w:rFonts w:hint="eastAsia" w:ascii="宋体" w:hAnsi="宋体" w:cs="宋体"/>
                <w:kern w:val="0"/>
                <w:sz w:val="24"/>
              </w:rPr>
              <w:t>4、投标人所提供的云平台通过商用密码应用安全性评估，提供供评估报告关键页（内部包括不限于报告首页，报告出具时间，被测单位基本信息，被测系统信息，密评机构信息，评估结论页，盖章页）并加盖投标人公章，得2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2</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6</w:t>
            </w:r>
          </w:p>
        </w:tc>
        <w:tc>
          <w:tcPr>
            <w:tcW w:w="423" w:type="pct"/>
            <w:vMerge w:val="continue"/>
            <w:vAlign w:val="center"/>
          </w:tcPr>
          <w:p>
            <w:pPr>
              <w:spacing w:line="360" w:lineRule="auto"/>
              <w:jc w:val="center"/>
              <w:rPr>
                <w:rFonts w:ascii="宋体" w:hAnsi="宋体" w:cs="宋体"/>
                <w:sz w:val="24"/>
              </w:rPr>
            </w:pPr>
          </w:p>
        </w:tc>
        <w:tc>
          <w:tcPr>
            <w:tcW w:w="459" w:type="pct"/>
            <w:vMerge w:val="restart"/>
            <w:vAlign w:val="center"/>
          </w:tcPr>
          <w:p>
            <w:pPr>
              <w:spacing w:line="360" w:lineRule="auto"/>
              <w:jc w:val="center"/>
              <w:rPr>
                <w:rFonts w:ascii="宋体" w:hAnsi="宋体" w:cs="宋体"/>
                <w:sz w:val="24"/>
              </w:rPr>
            </w:pPr>
            <w:r>
              <w:rPr>
                <w:rFonts w:hint="eastAsia" w:ascii="宋体" w:hAnsi="宋体" w:cs="宋体"/>
                <w:sz w:val="24"/>
              </w:rPr>
              <w:t>服务团队</w:t>
            </w:r>
          </w:p>
          <w:p>
            <w:pPr>
              <w:spacing w:line="360" w:lineRule="auto"/>
              <w:jc w:val="center"/>
              <w:rPr>
                <w:rFonts w:ascii="宋体" w:hAnsi="宋体" w:cs="宋体"/>
                <w:sz w:val="24"/>
              </w:rPr>
            </w:pP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1、投标人提供不少于10人的服务团队，同时提供服务团队所有成员的劳动合同、团队组织架构、成员名单、成员职责。须加盖投标人公章，得2分，否则不得分。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2</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7</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spacing w:line="360" w:lineRule="auto"/>
              <w:jc w:val="center"/>
              <w:rPr>
                <w:rFonts w:ascii="宋体" w:hAnsi="宋体" w:cs="宋体"/>
                <w:sz w:val="24"/>
              </w:rPr>
            </w:pPr>
          </w:p>
        </w:tc>
        <w:tc>
          <w:tcPr>
            <w:tcW w:w="3040" w:type="pct"/>
            <w:vAlign w:val="center"/>
          </w:tcPr>
          <w:p>
            <w:pPr>
              <w:pStyle w:val="3"/>
              <w:spacing w:line="360" w:lineRule="auto"/>
              <w:rPr>
                <w:rFonts w:ascii="宋体" w:hAnsi="宋体" w:cs="宋体"/>
                <w:sz w:val="24"/>
              </w:rPr>
            </w:pPr>
            <w:r>
              <w:rPr>
                <w:rFonts w:hint="eastAsia" w:ascii="宋体" w:hAnsi="宋体" w:cs="宋体"/>
                <w:sz w:val="24"/>
              </w:rPr>
              <w:t>2、提供项目经理1名：</w:t>
            </w:r>
          </w:p>
          <w:p>
            <w:pPr>
              <w:pStyle w:val="3"/>
              <w:spacing w:line="360" w:lineRule="auto"/>
              <w:rPr>
                <w:rFonts w:ascii="宋体" w:hAnsi="宋体" w:cs="宋体"/>
                <w:kern w:val="0"/>
                <w:sz w:val="24"/>
              </w:rPr>
            </w:pPr>
            <w:r>
              <w:rPr>
                <w:rFonts w:hint="eastAsia" w:ascii="宋体" w:hAnsi="宋体" w:cs="宋体"/>
                <w:sz w:val="24"/>
              </w:rPr>
              <w:t>项目经理具有</w:t>
            </w:r>
            <w:r>
              <w:rPr>
                <w:rFonts w:hint="eastAsia" w:ascii="宋体" w:hAnsi="宋体" w:cs="宋体"/>
                <w:kern w:val="0"/>
                <w:sz w:val="24"/>
              </w:rPr>
              <w:t>五年及以上类似项目管理工作经验得2分，需提供个人简历并加盖投标人公章，未提供或不满足要求不得分；</w:t>
            </w:r>
          </w:p>
          <w:p>
            <w:pPr>
              <w:pStyle w:val="3"/>
              <w:spacing w:line="360" w:lineRule="auto"/>
              <w:rPr>
                <w:rFonts w:ascii="宋体" w:hAnsi="宋体" w:cs="宋体"/>
                <w:kern w:val="0"/>
                <w:sz w:val="24"/>
              </w:rPr>
            </w:pPr>
            <w:r>
              <w:rPr>
                <w:rFonts w:hint="eastAsia" w:ascii="宋体" w:hAnsi="宋体" w:cs="宋体"/>
                <w:kern w:val="0"/>
                <w:sz w:val="24"/>
              </w:rPr>
              <w:t>项目经理具有信息系统项目管理师证书得1分，需提供证书扫描件或复印件，未提供不得分。</w:t>
            </w:r>
          </w:p>
          <w:p>
            <w:pPr>
              <w:widowControl/>
              <w:spacing w:line="360" w:lineRule="auto"/>
              <w:jc w:val="left"/>
              <w:rPr>
                <w:rFonts w:ascii="宋体" w:hAnsi="宋体" w:cs="宋体"/>
                <w:kern w:val="0"/>
                <w:sz w:val="24"/>
              </w:rPr>
            </w:pPr>
            <w:r>
              <w:rPr>
                <w:rFonts w:hint="eastAsia" w:ascii="宋体" w:hAnsi="宋体" w:cs="宋体"/>
                <w:kern w:val="0"/>
                <w:sz w:val="24"/>
              </w:rPr>
              <w:t>此项最高3分。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3</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8</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spacing w:line="360" w:lineRule="auto"/>
              <w:jc w:val="center"/>
              <w:rPr>
                <w:rFonts w:ascii="宋体" w:hAnsi="宋体" w:cs="宋体"/>
                <w:sz w:val="24"/>
              </w:rPr>
            </w:pP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3、安全运维工程师不少于2名，全员具有五年及以上安全运维相关从业经验，提供个人简历并加盖投标人公章，得2分。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2</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9</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spacing w:line="360" w:lineRule="auto"/>
              <w:jc w:val="center"/>
              <w:rPr>
                <w:rFonts w:ascii="宋体" w:hAnsi="宋体" w:cs="宋体"/>
                <w:sz w:val="24"/>
              </w:rPr>
            </w:pP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4、数据库运维工程师不少于1名，具有五年及以上数据库运维相关从业经验，提供个人简历并加盖投标人公章，得1分。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1</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10</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spacing w:line="360" w:lineRule="auto"/>
              <w:jc w:val="center"/>
              <w:rPr>
                <w:rFonts w:ascii="宋体" w:hAnsi="宋体" w:cs="宋体"/>
                <w:sz w:val="24"/>
              </w:rPr>
            </w:pP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5、网络运维工程师不少于3名，全员具有五年及以上网络运维相关从业经验，提供个人简历并加盖投标人公章，得3分。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3</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11</w:t>
            </w:r>
          </w:p>
        </w:tc>
        <w:tc>
          <w:tcPr>
            <w:tcW w:w="423" w:type="pct"/>
            <w:vMerge w:val="continue"/>
            <w:vAlign w:val="center"/>
          </w:tcPr>
          <w:p>
            <w:pPr>
              <w:spacing w:line="360" w:lineRule="auto"/>
              <w:jc w:val="center"/>
              <w:rPr>
                <w:rFonts w:ascii="宋体" w:hAnsi="宋体" w:cs="宋体"/>
                <w:sz w:val="24"/>
              </w:rPr>
            </w:pPr>
          </w:p>
        </w:tc>
        <w:tc>
          <w:tcPr>
            <w:tcW w:w="459" w:type="pct"/>
            <w:vMerge w:val="continue"/>
            <w:vAlign w:val="center"/>
          </w:tcPr>
          <w:p>
            <w:pPr>
              <w:spacing w:line="360" w:lineRule="auto"/>
              <w:jc w:val="center"/>
              <w:rPr>
                <w:rFonts w:ascii="宋体" w:hAnsi="宋体" w:cs="宋体"/>
                <w:sz w:val="24"/>
              </w:rPr>
            </w:pPr>
          </w:p>
        </w:tc>
        <w:tc>
          <w:tcPr>
            <w:tcW w:w="3040" w:type="pct"/>
            <w:vAlign w:val="center"/>
          </w:tcPr>
          <w:p>
            <w:pPr>
              <w:widowControl/>
              <w:numPr>
                <w:ilvl w:val="0"/>
                <w:numId w:val="5"/>
              </w:numPr>
              <w:spacing w:line="360" w:lineRule="auto"/>
              <w:jc w:val="left"/>
              <w:rPr>
                <w:rFonts w:hint="eastAsia" w:ascii="宋体" w:hAnsi="宋体" w:cs="宋体"/>
                <w:kern w:val="0"/>
                <w:sz w:val="24"/>
              </w:rPr>
            </w:pPr>
            <w:r>
              <w:rPr>
                <w:rFonts w:hint="eastAsia" w:ascii="宋体" w:hAnsi="宋体" w:cs="宋体"/>
                <w:kern w:val="0"/>
                <w:sz w:val="24"/>
              </w:rPr>
              <w:t>平台运维工程师不少于2名，全员具有五年及以上云平台运维相关从业经验，提供个人简历并加盖投标人公章，得2分。</w:t>
            </w:r>
          </w:p>
          <w:p>
            <w:pPr>
              <w:pStyle w:val="2"/>
              <w:rPr>
                <w:rFonts w:hint="eastAsia" w:ascii="宋体" w:hAnsi="宋体" w:cs="宋体"/>
                <w:kern w:val="0"/>
                <w:sz w:val="24"/>
              </w:rPr>
            </w:pPr>
          </w:p>
          <w:p>
            <w:pPr>
              <w:pStyle w:val="2"/>
              <w:rPr>
                <w:rFonts w:hint="eastAsia" w:ascii="宋体" w:hAnsi="宋体" w:cs="宋体"/>
                <w:kern w:val="0"/>
                <w:sz w:val="24"/>
              </w:rPr>
            </w:pPr>
          </w:p>
        </w:tc>
        <w:tc>
          <w:tcPr>
            <w:tcW w:w="274" w:type="pct"/>
            <w:vAlign w:val="center"/>
          </w:tcPr>
          <w:p>
            <w:pPr>
              <w:spacing w:line="360" w:lineRule="auto"/>
              <w:jc w:val="center"/>
              <w:rPr>
                <w:rFonts w:ascii="宋体" w:hAnsi="宋体" w:cs="宋体"/>
                <w:sz w:val="24"/>
              </w:rPr>
            </w:pPr>
            <w:r>
              <w:rPr>
                <w:rFonts w:hint="eastAsia" w:ascii="宋体" w:hAnsi="宋体" w:cs="宋体"/>
                <w:sz w:val="24"/>
              </w:rPr>
              <w:t>2</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12</w:t>
            </w:r>
          </w:p>
        </w:tc>
        <w:tc>
          <w:tcPr>
            <w:tcW w:w="423" w:type="pct"/>
            <w:vMerge w:val="continue"/>
            <w:vAlign w:val="center"/>
          </w:tcPr>
          <w:p>
            <w:pPr>
              <w:spacing w:line="360" w:lineRule="auto"/>
              <w:jc w:val="center"/>
              <w:rPr>
                <w:rFonts w:ascii="宋体" w:hAnsi="宋体" w:cs="宋体"/>
                <w:sz w:val="24"/>
              </w:rPr>
            </w:pPr>
          </w:p>
        </w:tc>
        <w:tc>
          <w:tcPr>
            <w:tcW w:w="459" w:type="pct"/>
            <w:vAlign w:val="center"/>
          </w:tcPr>
          <w:p>
            <w:pPr>
              <w:spacing w:line="360" w:lineRule="auto"/>
              <w:jc w:val="center"/>
              <w:rPr>
                <w:rFonts w:ascii="宋体" w:hAnsi="宋体" w:cs="宋体"/>
                <w:sz w:val="24"/>
              </w:rPr>
            </w:pPr>
            <w:r>
              <w:rPr>
                <w:rFonts w:hint="eastAsia" w:ascii="宋体" w:hAnsi="宋体" w:cs="宋体"/>
                <w:sz w:val="24"/>
              </w:rPr>
              <w:t>类似业绩</w:t>
            </w:r>
          </w:p>
          <w:p>
            <w:pPr>
              <w:spacing w:line="360" w:lineRule="auto"/>
              <w:jc w:val="center"/>
              <w:rPr>
                <w:rFonts w:ascii="宋体" w:hAnsi="宋体" w:cs="宋体"/>
                <w:sz w:val="24"/>
              </w:rPr>
            </w:pPr>
          </w:p>
        </w:tc>
        <w:tc>
          <w:tcPr>
            <w:tcW w:w="3040" w:type="pct"/>
            <w:vAlign w:val="center"/>
          </w:tcPr>
          <w:p>
            <w:pPr>
              <w:spacing w:line="360" w:lineRule="auto"/>
              <w:rPr>
                <w:rFonts w:ascii="宋体" w:hAnsi="宋体" w:cs="宋体"/>
                <w:kern w:val="0"/>
                <w:sz w:val="24"/>
              </w:rPr>
            </w:pPr>
            <w:r>
              <w:rPr>
                <w:rFonts w:hint="eastAsia" w:ascii="宋体" w:hAnsi="宋体" w:cs="宋体"/>
                <w:kern w:val="0"/>
                <w:sz w:val="24"/>
              </w:rPr>
              <w:t>投标人（含其分公司）提供合同签订时间自2021年1月1日至</w:t>
            </w:r>
            <w:r>
              <w:rPr>
                <w:rFonts w:hint="eastAsia" w:ascii="宋体" w:hAnsi="宋体" w:cs="宋体"/>
                <w:sz w:val="24"/>
              </w:rPr>
              <w:t>递交投标文件截止日止</w:t>
            </w:r>
            <w:r>
              <w:rPr>
                <w:rFonts w:hint="eastAsia" w:ascii="宋体" w:hAnsi="宋体" w:cs="宋体"/>
                <w:kern w:val="0"/>
                <w:sz w:val="24"/>
              </w:rPr>
              <w:t>承担的类似项目业绩及证明材料。业绩证明材料指合同复印件或扫描件，至少包含首页、主要内容页、盖章页，并加盖投标人公章。每提供一份符合要求的业绩得2分，最多得10分。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10</w:t>
            </w:r>
          </w:p>
        </w:tc>
        <w:tc>
          <w:tcPr>
            <w:tcW w:w="463" w:type="pct"/>
            <w:vAlign w:val="center"/>
          </w:tcPr>
          <w:p>
            <w:pPr>
              <w:spacing w:line="360" w:lineRule="auto"/>
              <w:jc w:val="center"/>
              <w:rPr>
                <w:rFonts w:ascii="宋体" w:hAnsi="宋体" w:cs="宋体"/>
                <w:sz w:val="24"/>
              </w:rPr>
            </w:pPr>
            <w:r>
              <w:rPr>
                <w:rFonts w:hint="eastAsia" w:ascii="宋体" w:hAnsi="宋体" w:cs="宋体"/>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13</w:t>
            </w:r>
          </w:p>
        </w:tc>
        <w:tc>
          <w:tcPr>
            <w:tcW w:w="423" w:type="pct"/>
            <w:vMerge w:val="restart"/>
            <w:vAlign w:val="center"/>
          </w:tcPr>
          <w:p>
            <w:pPr>
              <w:spacing w:line="360" w:lineRule="auto"/>
              <w:jc w:val="center"/>
              <w:rPr>
                <w:rFonts w:ascii="宋体" w:hAnsi="宋体" w:cs="宋体"/>
                <w:sz w:val="24"/>
              </w:rPr>
            </w:pPr>
            <w:r>
              <w:rPr>
                <w:rFonts w:hint="eastAsia" w:ascii="宋体" w:hAnsi="宋体" w:cs="宋体"/>
                <w:sz w:val="24"/>
              </w:rPr>
              <w:t>技术部分（ 54 分）</w:t>
            </w:r>
          </w:p>
        </w:tc>
        <w:tc>
          <w:tcPr>
            <w:tcW w:w="459" w:type="pct"/>
            <w:vAlign w:val="center"/>
          </w:tcPr>
          <w:p>
            <w:pPr>
              <w:spacing w:line="360" w:lineRule="auto"/>
              <w:jc w:val="center"/>
              <w:rPr>
                <w:rFonts w:ascii="宋体" w:hAnsi="宋体" w:cs="宋体"/>
                <w:sz w:val="24"/>
              </w:rPr>
            </w:pPr>
            <w:r>
              <w:rPr>
                <w:rFonts w:hint="eastAsia" w:ascii="宋体" w:hAnsi="宋体" w:cs="宋体"/>
                <w:sz w:val="24"/>
              </w:rPr>
              <w:t>总体服务方案</w:t>
            </w: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投标人提供项目总体服务方案，包含：</w:t>
            </w:r>
          </w:p>
          <w:p>
            <w:pPr>
              <w:widowControl/>
              <w:spacing w:line="360" w:lineRule="auto"/>
              <w:jc w:val="left"/>
              <w:rPr>
                <w:rFonts w:ascii="宋体" w:hAnsi="宋体" w:cs="宋体"/>
                <w:kern w:val="0"/>
                <w:sz w:val="24"/>
              </w:rPr>
            </w:pPr>
            <w:r>
              <w:rPr>
                <w:rFonts w:hint="eastAsia" w:ascii="宋体" w:hAnsi="宋体" w:cs="宋体"/>
                <w:kern w:val="0"/>
                <w:sz w:val="24"/>
              </w:rPr>
              <w:t>（1）云平台安全体系（具有全面的安全防护设备和成熟的安全运维能力）</w:t>
            </w:r>
          </w:p>
          <w:p>
            <w:pPr>
              <w:widowControl/>
              <w:spacing w:line="360" w:lineRule="auto"/>
              <w:jc w:val="left"/>
              <w:rPr>
                <w:rFonts w:ascii="宋体" w:hAnsi="宋体" w:cs="宋体"/>
                <w:kern w:val="0"/>
                <w:sz w:val="24"/>
              </w:rPr>
            </w:pPr>
            <w:r>
              <w:rPr>
                <w:rFonts w:hint="eastAsia" w:ascii="宋体" w:hAnsi="宋体" w:cs="宋体"/>
                <w:kern w:val="0"/>
                <w:sz w:val="24"/>
              </w:rPr>
              <w:t>（2）云平台可靠性（从硬件、网络、虚拟化、云管理等各层次进行可靠性设计，有效保障平台及数据可用性）</w:t>
            </w:r>
          </w:p>
          <w:p>
            <w:pPr>
              <w:widowControl/>
              <w:spacing w:line="360" w:lineRule="auto"/>
              <w:jc w:val="left"/>
              <w:rPr>
                <w:rFonts w:ascii="宋体" w:hAnsi="宋体" w:cs="宋体"/>
                <w:kern w:val="0"/>
                <w:sz w:val="24"/>
              </w:rPr>
            </w:pPr>
            <w:r>
              <w:rPr>
                <w:rFonts w:hint="eastAsia" w:ascii="宋体" w:hAnsi="宋体" w:cs="宋体"/>
                <w:kern w:val="0"/>
                <w:sz w:val="24"/>
              </w:rPr>
              <w:t>（3）云平台技术架构（先进且成熟，具有容器、大数据服务能力及双活容灾能力）</w:t>
            </w:r>
          </w:p>
          <w:p>
            <w:pPr>
              <w:widowControl/>
              <w:spacing w:line="360" w:lineRule="auto"/>
              <w:jc w:val="left"/>
              <w:rPr>
                <w:rFonts w:ascii="宋体" w:hAnsi="宋体" w:cs="宋体"/>
                <w:kern w:val="0"/>
                <w:sz w:val="24"/>
              </w:rPr>
            </w:pPr>
            <w:r>
              <w:rPr>
                <w:rFonts w:hint="eastAsia" w:ascii="宋体" w:hAnsi="宋体" w:cs="宋体"/>
                <w:kern w:val="0"/>
                <w:sz w:val="24"/>
              </w:rPr>
              <w:t>（4）云平台可扩展性（能适应未来需求的变化，具备扩容能力，提供丰富的对外接口，具备多资源池和异构资源池纳管能力）</w:t>
            </w:r>
          </w:p>
          <w:p>
            <w:pPr>
              <w:widowControl/>
              <w:spacing w:line="360" w:lineRule="auto"/>
              <w:jc w:val="left"/>
              <w:rPr>
                <w:rFonts w:ascii="宋体" w:hAnsi="宋体" w:cs="宋体"/>
                <w:kern w:val="0"/>
                <w:sz w:val="24"/>
              </w:rPr>
            </w:pPr>
            <w:r>
              <w:rPr>
                <w:rFonts w:hint="eastAsia" w:ascii="宋体" w:hAnsi="宋体" w:cs="宋体"/>
                <w:kern w:val="0"/>
                <w:sz w:val="24"/>
              </w:rPr>
              <w:t>方案完整合理、内容详细，专门针对本项目，满足采购需求和实际情况视为符合；方案内容属于通用类，非专门针对本项目，部分符合实际情况视为部分符合；方案内容复制粘贴采购需求，非专门针对本项目，不符合实际情况或未提供视为不符合。</w:t>
            </w:r>
          </w:p>
          <w:p>
            <w:pPr>
              <w:widowControl/>
              <w:spacing w:line="360" w:lineRule="auto"/>
              <w:jc w:val="left"/>
              <w:rPr>
                <w:rFonts w:ascii="宋体" w:hAnsi="宋体" w:cs="宋体"/>
                <w:kern w:val="0"/>
                <w:sz w:val="24"/>
              </w:rPr>
            </w:pPr>
            <w:r>
              <w:rPr>
                <w:rFonts w:hint="eastAsia" w:ascii="宋体" w:hAnsi="宋体" w:cs="宋体"/>
                <w:kern w:val="0"/>
                <w:sz w:val="24"/>
              </w:rPr>
              <w:t>以上四项，每符合一项得2分，部分符合得1分，不符合得0分。此项最多得8分。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8</w:t>
            </w:r>
          </w:p>
        </w:tc>
        <w:tc>
          <w:tcPr>
            <w:tcW w:w="463" w:type="pct"/>
            <w:vAlign w:val="center"/>
          </w:tcPr>
          <w:p>
            <w:pPr>
              <w:spacing w:line="360" w:lineRule="auto"/>
              <w:jc w:val="center"/>
              <w:rPr>
                <w:rFonts w:ascii="宋体" w:hAnsi="宋体" w:cs="宋体"/>
                <w:sz w:val="24"/>
              </w:rPr>
            </w:pPr>
            <w:r>
              <w:rPr>
                <w:rFonts w:hint="eastAsia" w:ascii="宋体" w:hAnsi="宋体" w:cs="宋体"/>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14</w:t>
            </w:r>
          </w:p>
        </w:tc>
        <w:tc>
          <w:tcPr>
            <w:tcW w:w="423" w:type="pct"/>
            <w:vMerge w:val="continue"/>
            <w:vAlign w:val="center"/>
          </w:tcPr>
          <w:p>
            <w:pPr>
              <w:spacing w:line="360" w:lineRule="auto"/>
              <w:jc w:val="center"/>
              <w:rPr>
                <w:rFonts w:ascii="宋体" w:hAnsi="宋体" w:cs="宋体"/>
                <w:sz w:val="24"/>
              </w:rPr>
            </w:pPr>
          </w:p>
        </w:tc>
        <w:tc>
          <w:tcPr>
            <w:tcW w:w="459" w:type="pct"/>
            <w:vAlign w:val="center"/>
          </w:tcPr>
          <w:p>
            <w:pPr>
              <w:spacing w:line="360" w:lineRule="auto"/>
              <w:jc w:val="center"/>
              <w:rPr>
                <w:rFonts w:ascii="宋体" w:hAnsi="宋体" w:cs="宋体"/>
                <w:sz w:val="24"/>
              </w:rPr>
            </w:pPr>
            <w:r>
              <w:rPr>
                <w:rFonts w:hint="eastAsia" w:ascii="宋体" w:hAnsi="宋体" w:cs="宋体"/>
                <w:sz w:val="24"/>
              </w:rPr>
              <w:t>云平台技术服务方案</w:t>
            </w:r>
          </w:p>
        </w:tc>
        <w:tc>
          <w:tcPr>
            <w:tcW w:w="3040"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投标人提供云平台技术服务方案，包含：</w:t>
            </w:r>
          </w:p>
          <w:p>
            <w:pPr>
              <w:widowControl/>
              <w:spacing w:line="360" w:lineRule="auto"/>
              <w:jc w:val="left"/>
              <w:rPr>
                <w:rFonts w:ascii="宋体" w:hAnsi="宋体" w:cs="宋体"/>
                <w:kern w:val="0"/>
                <w:sz w:val="24"/>
              </w:rPr>
            </w:pPr>
            <w:r>
              <w:rPr>
                <w:rFonts w:hint="eastAsia" w:ascii="宋体" w:hAnsi="宋体" w:cs="宋体"/>
                <w:kern w:val="0"/>
                <w:sz w:val="24"/>
              </w:rPr>
              <w:t>（1）计算服务</w:t>
            </w:r>
          </w:p>
          <w:p>
            <w:pPr>
              <w:widowControl/>
              <w:spacing w:line="360" w:lineRule="auto"/>
              <w:jc w:val="left"/>
              <w:rPr>
                <w:rFonts w:ascii="宋体" w:hAnsi="宋体" w:cs="宋体"/>
                <w:kern w:val="0"/>
                <w:sz w:val="24"/>
              </w:rPr>
            </w:pPr>
            <w:r>
              <w:rPr>
                <w:rFonts w:hint="eastAsia" w:ascii="宋体" w:hAnsi="宋体" w:cs="宋体"/>
                <w:kern w:val="0"/>
                <w:sz w:val="24"/>
              </w:rPr>
              <w:t>（2）存储服务</w:t>
            </w:r>
          </w:p>
          <w:p>
            <w:pPr>
              <w:widowControl/>
              <w:spacing w:line="360" w:lineRule="auto"/>
              <w:jc w:val="left"/>
              <w:rPr>
                <w:rFonts w:ascii="宋体" w:hAnsi="宋体" w:cs="宋体"/>
                <w:kern w:val="0"/>
                <w:sz w:val="24"/>
              </w:rPr>
            </w:pPr>
            <w:r>
              <w:rPr>
                <w:rFonts w:hint="eastAsia" w:ascii="宋体" w:hAnsi="宋体" w:cs="宋体"/>
                <w:kern w:val="0"/>
                <w:sz w:val="24"/>
              </w:rPr>
              <w:t>（3）网络服务</w:t>
            </w:r>
          </w:p>
          <w:p>
            <w:pPr>
              <w:widowControl/>
              <w:spacing w:line="360" w:lineRule="auto"/>
              <w:jc w:val="left"/>
              <w:rPr>
                <w:rFonts w:ascii="宋体" w:hAnsi="宋体" w:cs="宋体"/>
                <w:kern w:val="0"/>
                <w:sz w:val="24"/>
              </w:rPr>
            </w:pPr>
            <w:r>
              <w:rPr>
                <w:rFonts w:hint="eastAsia" w:ascii="宋体" w:hAnsi="宋体" w:cs="宋体"/>
                <w:kern w:val="0"/>
                <w:sz w:val="24"/>
              </w:rPr>
              <w:t>（4）基础软件支撑服务</w:t>
            </w:r>
          </w:p>
          <w:p>
            <w:pPr>
              <w:widowControl/>
              <w:spacing w:line="360" w:lineRule="auto"/>
              <w:jc w:val="left"/>
              <w:rPr>
                <w:rFonts w:ascii="宋体" w:hAnsi="宋体" w:cs="宋体"/>
                <w:kern w:val="0"/>
                <w:sz w:val="24"/>
              </w:rPr>
            </w:pPr>
            <w:r>
              <w:rPr>
                <w:rFonts w:hint="eastAsia" w:ascii="宋体" w:hAnsi="宋体" w:cs="宋体"/>
                <w:kern w:val="0"/>
                <w:sz w:val="24"/>
              </w:rPr>
              <w:t>（5）安全服务</w:t>
            </w:r>
          </w:p>
          <w:p>
            <w:pPr>
              <w:widowControl/>
              <w:spacing w:line="360" w:lineRule="auto"/>
              <w:jc w:val="left"/>
              <w:rPr>
                <w:rFonts w:ascii="宋体" w:hAnsi="宋体" w:cs="宋体"/>
                <w:kern w:val="0"/>
                <w:sz w:val="24"/>
              </w:rPr>
            </w:pPr>
            <w:r>
              <w:rPr>
                <w:rFonts w:hint="eastAsia" w:ascii="宋体" w:hAnsi="宋体" w:cs="宋体"/>
                <w:kern w:val="0"/>
                <w:sz w:val="24"/>
              </w:rPr>
              <w:t>（6）安全检测监测、审计服务</w:t>
            </w:r>
          </w:p>
          <w:p>
            <w:pPr>
              <w:widowControl/>
              <w:spacing w:line="360" w:lineRule="auto"/>
              <w:jc w:val="left"/>
              <w:rPr>
                <w:rFonts w:ascii="宋体" w:hAnsi="宋体" w:cs="宋体"/>
                <w:kern w:val="0"/>
                <w:sz w:val="24"/>
              </w:rPr>
            </w:pPr>
            <w:r>
              <w:rPr>
                <w:rFonts w:hint="eastAsia" w:ascii="宋体" w:hAnsi="宋体" w:cs="宋体"/>
                <w:kern w:val="0"/>
                <w:sz w:val="24"/>
              </w:rPr>
              <w:t>（7）数字签名验签服务器设备租用服务</w:t>
            </w:r>
          </w:p>
          <w:p>
            <w:pPr>
              <w:widowControl/>
              <w:spacing w:line="360" w:lineRule="auto"/>
              <w:jc w:val="left"/>
              <w:rPr>
                <w:rFonts w:ascii="宋体" w:hAnsi="宋体" w:cs="宋体"/>
                <w:kern w:val="0"/>
                <w:sz w:val="24"/>
              </w:rPr>
            </w:pPr>
            <w:r>
              <w:rPr>
                <w:rFonts w:hint="eastAsia" w:ascii="宋体" w:hAnsi="宋体" w:cs="宋体"/>
                <w:kern w:val="0"/>
                <w:sz w:val="24"/>
              </w:rPr>
              <w:t xml:space="preserve">（8）CDN服务  </w:t>
            </w:r>
          </w:p>
          <w:p>
            <w:pPr>
              <w:widowControl/>
              <w:spacing w:line="360" w:lineRule="auto"/>
              <w:jc w:val="left"/>
              <w:rPr>
                <w:rFonts w:ascii="宋体" w:hAnsi="宋体" w:cs="宋体"/>
                <w:kern w:val="0"/>
                <w:sz w:val="24"/>
              </w:rPr>
            </w:pPr>
            <w:r>
              <w:rPr>
                <w:rFonts w:hint="eastAsia" w:ascii="宋体" w:hAnsi="宋体" w:cs="宋体"/>
                <w:kern w:val="0"/>
                <w:sz w:val="24"/>
              </w:rPr>
              <w:t>方案完整合理、内容详细，专门针对本项目，满足采购需求和实际情况视为符合；方案内容属于通用类，非专门针对本项目，部分符合实际情况视为部分符合；方案内容复制粘贴采购需求，非专门针对本项目，不符合实际情况或未提供视为不符合；</w:t>
            </w:r>
          </w:p>
          <w:p>
            <w:pPr>
              <w:widowControl/>
              <w:spacing w:line="360" w:lineRule="auto"/>
              <w:jc w:val="left"/>
              <w:rPr>
                <w:rFonts w:ascii="宋体" w:hAnsi="宋体" w:cs="宋体"/>
                <w:kern w:val="0"/>
                <w:sz w:val="24"/>
              </w:rPr>
            </w:pPr>
            <w:r>
              <w:rPr>
                <w:rFonts w:hint="eastAsia" w:ascii="宋体" w:hAnsi="宋体" w:cs="宋体"/>
                <w:kern w:val="0"/>
                <w:sz w:val="24"/>
              </w:rPr>
              <w:t xml:space="preserve">以上八项，每符合一项得1分，部分符合得0.5分，不符合得0分。此项最高得8分。 </w:t>
            </w:r>
          </w:p>
        </w:tc>
        <w:tc>
          <w:tcPr>
            <w:tcW w:w="274" w:type="pct"/>
            <w:vAlign w:val="center"/>
          </w:tcPr>
          <w:p>
            <w:pPr>
              <w:spacing w:line="360" w:lineRule="auto"/>
              <w:jc w:val="center"/>
              <w:rPr>
                <w:rFonts w:ascii="宋体" w:hAnsi="宋体" w:cs="宋体"/>
                <w:sz w:val="24"/>
              </w:rPr>
            </w:pPr>
            <w:r>
              <w:rPr>
                <w:rFonts w:hint="eastAsia" w:ascii="宋体" w:hAnsi="宋体" w:cs="宋体"/>
                <w:sz w:val="24"/>
              </w:rPr>
              <w:t>8</w:t>
            </w:r>
          </w:p>
        </w:tc>
        <w:tc>
          <w:tcPr>
            <w:tcW w:w="463" w:type="pct"/>
            <w:vAlign w:val="center"/>
          </w:tcPr>
          <w:p>
            <w:pPr>
              <w:spacing w:line="360" w:lineRule="auto"/>
              <w:jc w:val="center"/>
              <w:rPr>
                <w:rFonts w:ascii="宋体" w:hAnsi="宋体" w:cs="宋体"/>
                <w:sz w:val="24"/>
              </w:rPr>
            </w:pPr>
            <w:r>
              <w:rPr>
                <w:rFonts w:hint="eastAsia" w:ascii="宋体" w:hAnsi="宋体" w:cs="宋体"/>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38" w:type="pct"/>
            <w:vAlign w:val="center"/>
          </w:tcPr>
          <w:p>
            <w:pPr>
              <w:spacing w:line="360" w:lineRule="auto"/>
              <w:jc w:val="center"/>
              <w:rPr>
                <w:rFonts w:ascii="宋体" w:hAnsi="宋体" w:cs="宋体"/>
                <w:sz w:val="24"/>
                <w:highlight w:val="none"/>
              </w:rPr>
            </w:pPr>
            <w:r>
              <w:rPr>
                <w:rFonts w:hint="eastAsia" w:ascii="宋体" w:hAnsi="宋体" w:cs="宋体"/>
                <w:sz w:val="24"/>
                <w:highlight w:val="none"/>
              </w:rPr>
              <w:t>15</w:t>
            </w:r>
          </w:p>
        </w:tc>
        <w:tc>
          <w:tcPr>
            <w:tcW w:w="423" w:type="pct"/>
            <w:vMerge w:val="continue"/>
            <w:vAlign w:val="center"/>
          </w:tcPr>
          <w:p>
            <w:pPr>
              <w:spacing w:line="360" w:lineRule="auto"/>
              <w:jc w:val="center"/>
              <w:rPr>
                <w:rFonts w:ascii="宋体" w:hAnsi="宋体" w:cs="宋体"/>
                <w:sz w:val="24"/>
                <w:highlight w:val="none"/>
              </w:rPr>
            </w:pPr>
          </w:p>
        </w:tc>
        <w:tc>
          <w:tcPr>
            <w:tcW w:w="459" w:type="pct"/>
            <w:vAlign w:val="center"/>
          </w:tcPr>
          <w:p>
            <w:pPr>
              <w:spacing w:line="360" w:lineRule="auto"/>
              <w:jc w:val="center"/>
              <w:rPr>
                <w:rFonts w:ascii="宋体" w:hAnsi="宋体" w:cs="宋体"/>
                <w:sz w:val="24"/>
                <w:highlight w:val="none"/>
              </w:rPr>
            </w:pPr>
            <w:r>
              <w:rPr>
                <w:rFonts w:hint="eastAsia" w:ascii="宋体" w:hAnsi="宋体" w:cs="宋体"/>
                <w:kern w:val="0"/>
                <w:sz w:val="24"/>
                <w:highlight w:val="none"/>
              </w:rPr>
              <w:t>技术指标响应能力</w:t>
            </w:r>
          </w:p>
        </w:tc>
        <w:tc>
          <w:tcPr>
            <w:tcW w:w="3040" w:type="pct"/>
            <w:vAlign w:val="center"/>
          </w:tcPr>
          <w:p>
            <w:pPr>
              <w:widowControl/>
              <w:spacing w:line="360" w:lineRule="auto"/>
              <w:jc w:val="left"/>
              <w:rPr>
                <w:rFonts w:ascii="宋体" w:hAnsi="宋体" w:cs="宋体"/>
                <w:sz w:val="24"/>
                <w:highlight w:val="none"/>
              </w:rPr>
            </w:pPr>
            <w:r>
              <w:rPr>
                <w:rFonts w:hint="eastAsia" w:ascii="宋体" w:hAnsi="宋体" w:cs="宋体"/>
                <w:kern w:val="0"/>
                <w:sz w:val="24"/>
                <w:highlight w:val="none"/>
              </w:rPr>
              <w:t>投标人对采购需求</w:t>
            </w:r>
            <w:r>
              <w:rPr>
                <w:rFonts w:hint="eastAsia" w:ascii="宋体" w:hAnsi="宋体" w:cs="宋体"/>
                <w:kern w:val="0"/>
                <w:sz w:val="24"/>
                <w:highlight w:val="none"/>
                <w:lang w:val="en-US" w:eastAsia="zh-CN"/>
              </w:rPr>
              <w:t>三、技术要求</w:t>
            </w:r>
            <w:r>
              <w:rPr>
                <w:rFonts w:hint="eastAsia" w:ascii="宋体" w:hAnsi="宋体" w:cs="宋体"/>
                <w:kern w:val="0"/>
                <w:sz w:val="24"/>
                <w:highlight w:val="none"/>
              </w:rPr>
              <w:t>中2.3技术指标要求</w:t>
            </w:r>
            <w:r>
              <w:rPr>
                <w:rFonts w:hint="eastAsia" w:ascii="宋体" w:hAnsi="宋体" w:cs="宋体"/>
                <w:kern w:val="0"/>
                <w:sz w:val="24"/>
                <w:highlight w:val="none"/>
                <w:lang w:val="en-US" w:eastAsia="zh-CN"/>
              </w:rPr>
              <w:t>完全响应，</w:t>
            </w:r>
            <w:r>
              <w:rPr>
                <w:rFonts w:hint="eastAsia" w:ascii="宋体" w:hAnsi="宋体" w:cs="宋体"/>
                <w:kern w:val="0"/>
                <w:sz w:val="24"/>
                <w:highlight w:val="none"/>
              </w:rPr>
              <w:t>提供</w:t>
            </w:r>
            <w:r>
              <w:rPr>
                <w:rFonts w:hint="eastAsia" w:ascii="宋体" w:hAnsi="宋体" w:cs="宋体"/>
                <w:sz w:val="24"/>
                <w:highlight w:val="none"/>
              </w:rPr>
              <w:t>加盖投标人公章的承诺函</w:t>
            </w:r>
            <w:r>
              <w:rPr>
                <w:rFonts w:hint="eastAsia" w:ascii="宋体" w:hAnsi="宋体" w:cs="宋体"/>
                <w:kern w:val="0"/>
                <w:sz w:val="24"/>
                <w:highlight w:val="none"/>
              </w:rPr>
              <w:t>得4分，</w:t>
            </w:r>
            <w:r>
              <w:rPr>
                <w:rFonts w:hint="eastAsia" w:ascii="宋体" w:hAnsi="宋体" w:cs="宋体"/>
                <w:kern w:val="0"/>
                <w:sz w:val="24"/>
                <w:highlight w:val="none"/>
                <w:lang w:val="en-US" w:eastAsia="zh-CN"/>
              </w:rPr>
              <w:t>无法完全响应全部要求或未按要求提供承诺函</w:t>
            </w:r>
            <w:r>
              <w:rPr>
                <w:rFonts w:hint="eastAsia" w:ascii="宋体" w:hAnsi="宋体" w:cs="宋体"/>
                <w:kern w:val="0"/>
                <w:sz w:val="24"/>
                <w:highlight w:val="none"/>
              </w:rPr>
              <w:t>不得分。</w:t>
            </w:r>
          </w:p>
        </w:tc>
        <w:tc>
          <w:tcPr>
            <w:tcW w:w="274" w:type="pct"/>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463" w:type="pct"/>
            <w:vAlign w:val="center"/>
          </w:tcPr>
          <w:p>
            <w:pPr>
              <w:spacing w:line="360" w:lineRule="auto"/>
              <w:jc w:val="center"/>
              <w:rPr>
                <w:rFonts w:ascii="宋体" w:hAnsi="宋体" w:cs="宋体"/>
                <w:sz w:val="24"/>
                <w:highlight w:val="none"/>
              </w:rPr>
            </w:pPr>
            <w:r>
              <w:rPr>
                <w:rFonts w:hint="eastAsia" w:ascii="宋体" w:hAnsi="宋体" w:cs="宋体"/>
                <w:sz w:val="24"/>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16</w:t>
            </w:r>
          </w:p>
        </w:tc>
        <w:tc>
          <w:tcPr>
            <w:tcW w:w="423" w:type="pct"/>
            <w:vMerge w:val="continue"/>
            <w:vAlign w:val="center"/>
          </w:tcPr>
          <w:p>
            <w:pPr>
              <w:spacing w:line="360" w:lineRule="auto"/>
              <w:jc w:val="center"/>
              <w:rPr>
                <w:rFonts w:ascii="宋体" w:hAnsi="宋体" w:cs="宋体"/>
                <w:sz w:val="24"/>
              </w:rPr>
            </w:pPr>
          </w:p>
        </w:tc>
        <w:tc>
          <w:tcPr>
            <w:tcW w:w="459" w:type="pct"/>
            <w:vAlign w:val="center"/>
          </w:tcPr>
          <w:p>
            <w:pPr>
              <w:spacing w:line="360" w:lineRule="auto"/>
              <w:jc w:val="center"/>
              <w:rPr>
                <w:rFonts w:ascii="宋体" w:hAnsi="宋体" w:cs="宋体"/>
                <w:sz w:val="24"/>
              </w:rPr>
            </w:pPr>
            <w:r>
              <w:rPr>
                <w:rFonts w:hint="eastAsia" w:ascii="宋体" w:hAnsi="宋体" w:cs="宋体"/>
                <w:sz w:val="24"/>
              </w:rPr>
              <w:t>业务连续性服务方案</w:t>
            </w:r>
          </w:p>
        </w:tc>
        <w:tc>
          <w:tcPr>
            <w:tcW w:w="3040" w:type="pct"/>
            <w:vAlign w:val="center"/>
          </w:tcPr>
          <w:p>
            <w:pPr>
              <w:widowControl/>
              <w:spacing w:line="360" w:lineRule="auto"/>
              <w:jc w:val="left"/>
              <w:rPr>
                <w:rFonts w:ascii="宋体" w:hAnsi="宋体" w:cs="宋体"/>
                <w:sz w:val="24"/>
              </w:rPr>
            </w:pPr>
            <w:r>
              <w:rPr>
                <w:rFonts w:hint="eastAsia" w:ascii="宋体" w:hAnsi="宋体" w:cs="宋体"/>
                <w:kern w:val="0"/>
                <w:sz w:val="24"/>
              </w:rPr>
              <w:t>从迁移时间维度对业务连续性服务方案进行评估。（10分）</w:t>
            </w:r>
          </w:p>
          <w:p>
            <w:pPr>
              <w:widowControl/>
              <w:spacing w:line="360" w:lineRule="auto"/>
              <w:jc w:val="left"/>
              <w:rPr>
                <w:rFonts w:ascii="宋体" w:hAnsi="宋体" w:cs="宋体"/>
                <w:kern w:val="0"/>
                <w:sz w:val="24"/>
              </w:rPr>
            </w:pPr>
            <w:r>
              <w:rPr>
                <w:rFonts w:hint="eastAsia" w:ascii="宋体" w:hAnsi="宋体" w:cs="宋体"/>
                <w:kern w:val="0"/>
                <w:sz w:val="24"/>
              </w:rPr>
              <w:t>（1）投标人迁移部署上线时间在1个工作日以内并提供</w:t>
            </w:r>
            <w:r>
              <w:rPr>
                <w:rFonts w:hint="eastAsia" w:ascii="宋体" w:hAnsi="宋体" w:cs="宋体"/>
                <w:sz w:val="24"/>
              </w:rPr>
              <w:t>加盖投标人公章的承诺函，</w:t>
            </w:r>
            <w:r>
              <w:rPr>
                <w:rFonts w:hint="eastAsia" w:ascii="宋体" w:hAnsi="宋体" w:cs="宋体"/>
                <w:kern w:val="0"/>
                <w:sz w:val="24"/>
              </w:rPr>
              <w:t>得10分；</w:t>
            </w:r>
          </w:p>
          <w:p>
            <w:pPr>
              <w:widowControl/>
              <w:spacing w:line="360" w:lineRule="auto"/>
              <w:jc w:val="left"/>
              <w:rPr>
                <w:rFonts w:ascii="宋体" w:hAnsi="宋体" w:cs="宋体"/>
                <w:kern w:val="0"/>
                <w:sz w:val="24"/>
              </w:rPr>
            </w:pPr>
            <w:r>
              <w:rPr>
                <w:rFonts w:hint="eastAsia" w:ascii="宋体" w:hAnsi="宋体" w:cs="宋体"/>
                <w:kern w:val="0"/>
                <w:sz w:val="24"/>
              </w:rPr>
              <w:t>（2）投标人迁移部署上线时间在2-3个工作日之间，并提供</w:t>
            </w:r>
            <w:r>
              <w:rPr>
                <w:rFonts w:hint="eastAsia" w:ascii="宋体" w:hAnsi="宋体" w:cs="宋体"/>
                <w:sz w:val="24"/>
              </w:rPr>
              <w:t>加盖投标人公章的承诺函</w:t>
            </w:r>
            <w:r>
              <w:rPr>
                <w:rFonts w:hint="eastAsia" w:ascii="宋体" w:hAnsi="宋体" w:cs="宋体"/>
                <w:kern w:val="0"/>
                <w:sz w:val="24"/>
              </w:rPr>
              <w:t>，得8分；</w:t>
            </w:r>
          </w:p>
          <w:p>
            <w:pPr>
              <w:widowControl/>
              <w:spacing w:line="360" w:lineRule="auto"/>
              <w:jc w:val="left"/>
              <w:rPr>
                <w:rFonts w:ascii="宋体" w:hAnsi="宋体" w:cs="宋体"/>
                <w:kern w:val="0"/>
                <w:sz w:val="24"/>
              </w:rPr>
            </w:pPr>
            <w:r>
              <w:rPr>
                <w:rFonts w:hint="eastAsia" w:ascii="宋体" w:hAnsi="宋体" w:cs="宋体"/>
                <w:kern w:val="0"/>
                <w:sz w:val="24"/>
              </w:rPr>
              <w:t>（3）投标人迁移部署上线时间在4-5个工作日之间，并提供</w:t>
            </w:r>
            <w:r>
              <w:rPr>
                <w:rFonts w:hint="eastAsia" w:ascii="宋体" w:hAnsi="宋体" w:cs="宋体"/>
                <w:sz w:val="24"/>
              </w:rPr>
              <w:t>加盖投标人公章的承诺函</w:t>
            </w:r>
            <w:r>
              <w:rPr>
                <w:rFonts w:hint="eastAsia" w:ascii="宋体" w:hAnsi="宋体" w:cs="宋体"/>
                <w:kern w:val="0"/>
                <w:sz w:val="24"/>
              </w:rPr>
              <w:t>，得6分；</w:t>
            </w:r>
          </w:p>
          <w:p>
            <w:pPr>
              <w:widowControl/>
              <w:spacing w:line="360" w:lineRule="auto"/>
              <w:jc w:val="left"/>
              <w:rPr>
                <w:rFonts w:ascii="宋体" w:hAnsi="宋体" w:cs="宋体"/>
                <w:kern w:val="0"/>
                <w:sz w:val="24"/>
              </w:rPr>
            </w:pPr>
            <w:r>
              <w:rPr>
                <w:rFonts w:hint="eastAsia" w:ascii="宋体" w:hAnsi="宋体" w:cs="宋体"/>
                <w:kern w:val="0"/>
                <w:sz w:val="24"/>
              </w:rPr>
              <w:t>（4）投标人迁移部署上线时间在6-7个工作日之间，并提供</w:t>
            </w:r>
            <w:r>
              <w:rPr>
                <w:rFonts w:hint="eastAsia" w:ascii="宋体" w:hAnsi="宋体" w:cs="宋体"/>
                <w:sz w:val="24"/>
              </w:rPr>
              <w:t>加盖投标人公章的承诺函</w:t>
            </w:r>
            <w:r>
              <w:rPr>
                <w:rFonts w:hint="eastAsia" w:ascii="宋体" w:hAnsi="宋体" w:cs="宋体"/>
                <w:kern w:val="0"/>
                <w:sz w:val="24"/>
              </w:rPr>
              <w:t>，得4分；</w:t>
            </w:r>
          </w:p>
          <w:p>
            <w:pPr>
              <w:widowControl/>
              <w:spacing w:line="360" w:lineRule="auto"/>
              <w:jc w:val="left"/>
              <w:rPr>
                <w:rFonts w:ascii="宋体" w:hAnsi="宋体" w:cs="宋体"/>
                <w:kern w:val="0"/>
                <w:sz w:val="24"/>
              </w:rPr>
            </w:pPr>
            <w:r>
              <w:rPr>
                <w:rFonts w:hint="eastAsia" w:ascii="宋体" w:hAnsi="宋体" w:cs="宋体"/>
                <w:kern w:val="0"/>
                <w:sz w:val="24"/>
              </w:rPr>
              <w:t>（5）投标人迁移部署上线时间在8-9个工作日之间，并提供</w:t>
            </w:r>
            <w:r>
              <w:rPr>
                <w:rFonts w:hint="eastAsia" w:ascii="宋体" w:hAnsi="宋体" w:cs="宋体"/>
                <w:sz w:val="24"/>
              </w:rPr>
              <w:t>加盖投标人公章的承诺函</w:t>
            </w:r>
            <w:r>
              <w:rPr>
                <w:rFonts w:hint="eastAsia" w:ascii="宋体" w:hAnsi="宋体" w:cs="宋体"/>
                <w:kern w:val="0"/>
                <w:sz w:val="24"/>
              </w:rPr>
              <w:t>，得2分；</w:t>
            </w:r>
          </w:p>
          <w:p>
            <w:pPr>
              <w:widowControl/>
              <w:spacing w:line="360" w:lineRule="auto"/>
              <w:jc w:val="left"/>
              <w:rPr>
                <w:rFonts w:hint="eastAsia" w:ascii="宋体" w:hAnsi="宋体" w:cs="宋体"/>
                <w:kern w:val="0"/>
                <w:sz w:val="24"/>
              </w:rPr>
            </w:pPr>
            <w:r>
              <w:rPr>
                <w:rFonts w:hint="eastAsia" w:ascii="宋体" w:hAnsi="宋体" w:cs="宋体"/>
                <w:kern w:val="0"/>
                <w:sz w:val="24"/>
              </w:rPr>
              <w:t>（6）投标人在系统迁移过程中迁移部署上线时间超过9个工作日或未明确迁移部署上线时间，得0分。</w:t>
            </w:r>
          </w:p>
          <w:p>
            <w:pPr>
              <w:pStyle w:val="2"/>
              <w:rPr>
                <w:rFonts w:hint="eastAsia" w:ascii="宋体" w:hAnsi="宋体" w:cs="宋体"/>
                <w:kern w:val="0"/>
                <w:sz w:val="24"/>
              </w:rPr>
            </w:pPr>
          </w:p>
          <w:p>
            <w:pPr>
              <w:pStyle w:val="2"/>
              <w:rPr>
                <w:rFonts w:hint="eastAsia" w:ascii="宋体" w:hAnsi="宋体" w:cs="宋体"/>
                <w:kern w:val="0"/>
                <w:sz w:val="24"/>
              </w:rPr>
            </w:pPr>
          </w:p>
        </w:tc>
        <w:tc>
          <w:tcPr>
            <w:tcW w:w="274" w:type="pct"/>
            <w:vAlign w:val="center"/>
          </w:tcPr>
          <w:p>
            <w:pPr>
              <w:spacing w:line="360" w:lineRule="auto"/>
              <w:jc w:val="center"/>
              <w:rPr>
                <w:rFonts w:ascii="宋体" w:hAnsi="宋体" w:cs="宋体"/>
                <w:sz w:val="24"/>
              </w:rPr>
            </w:pPr>
            <w:r>
              <w:rPr>
                <w:rFonts w:hint="eastAsia" w:ascii="宋体" w:hAnsi="宋体" w:cs="宋体"/>
                <w:sz w:val="24"/>
              </w:rPr>
              <w:t>10</w:t>
            </w:r>
          </w:p>
        </w:tc>
        <w:tc>
          <w:tcPr>
            <w:tcW w:w="463" w:type="pct"/>
            <w:vAlign w:val="center"/>
          </w:tcPr>
          <w:p>
            <w:pPr>
              <w:spacing w:line="360" w:lineRule="auto"/>
              <w:jc w:val="center"/>
              <w:rPr>
                <w:rFonts w:ascii="宋体" w:hAnsi="宋体" w:cs="宋体"/>
                <w:sz w:val="24"/>
              </w:rPr>
            </w:pPr>
            <w:r>
              <w:rPr>
                <w:rFonts w:hint="eastAsia" w:ascii="宋体" w:hAnsi="宋体" w:cs="宋体"/>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17</w:t>
            </w:r>
          </w:p>
        </w:tc>
        <w:tc>
          <w:tcPr>
            <w:tcW w:w="423" w:type="pct"/>
            <w:vMerge w:val="continue"/>
            <w:vAlign w:val="center"/>
          </w:tcPr>
          <w:p>
            <w:pPr>
              <w:spacing w:line="360" w:lineRule="auto"/>
              <w:jc w:val="center"/>
              <w:rPr>
                <w:rFonts w:ascii="宋体" w:hAnsi="宋体" w:cs="宋体"/>
                <w:sz w:val="24"/>
              </w:rPr>
            </w:pPr>
          </w:p>
        </w:tc>
        <w:tc>
          <w:tcPr>
            <w:tcW w:w="459" w:type="pct"/>
            <w:vAlign w:val="center"/>
          </w:tcPr>
          <w:p>
            <w:pPr>
              <w:spacing w:line="360" w:lineRule="auto"/>
              <w:jc w:val="center"/>
              <w:rPr>
                <w:rFonts w:ascii="宋体" w:hAnsi="宋体" w:cs="宋体"/>
                <w:sz w:val="24"/>
              </w:rPr>
            </w:pPr>
            <w:r>
              <w:rPr>
                <w:rFonts w:hint="eastAsia" w:ascii="宋体" w:hAnsi="宋体" w:cs="宋体"/>
                <w:bCs/>
                <w:sz w:val="24"/>
              </w:rPr>
              <w:t>业务连续性服务承诺书</w:t>
            </w:r>
          </w:p>
        </w:tc>
        <w:tc>
          <w:tcPr>
            <w:tcW w:w="3040" w:type="pct"/>
            <w:vAlign w:val="center"/>
          </w:tcPr>
          <w:p>
            <w:pPr>
              <w:widowControl/>
              <w:spacing w:line="360" w:lineRule="auto"/>
              <w:jc w:val="left"/>
              <w:rPr>
                <w:rFonts w:ascii="宋体" w:hAnsi="宋体" w:cs="宋体"/>
                <w:sz w:val="24"/>
              </w:rPr>
            </w:pPr>
            <w:r>
              <w:rPr>
                <w:rFonts w:hint="eastAsia" w:ascii="宋体" w:hAnsi="宋体" w:cs="宋体"/>
                <w:bCs/>
                <w:sz w:val="24"/>
                <w:highlight w:val="none"/>
              </w:rPr>
              <w:t>投标人须出具业务连续性服务承诺书（加盖投标人公章），如涉及系统迁入，须保证系统迁入后安全、稳定、连续运行，同时承诺承担迁移过程中可能发生的第三方迁移费用。提供上述承诺</w:t>
            </w:r>
            <w:r>
              <w:rPr>
                <w:rFonts w:hint="eastAsia" w:ascii="宋体" w:hAnsi="宋体" w:cs="宋体"/>
                <w:bCs/>
                <w:sz w:val="24"/>
                <w:highlight w:val="none"/>
                <w:lang w:val="en-US" w:eastAsia="zh-CN"/>
              </w:rPr>
              <w:t>函并加盖投标人公章</w:t>
            </w:r>
            <w:r>
              <w:rPr>
                <w:rFonts w:hint="eastAsia" w:ascii="宋体" w:hAnsi="宋体" w:cs="宋体"/>
                <w:bCs/>
                <w:sz w:val="24"/>
                <w:highlight w:val="none"/>
              </w:rPr>
              <w:t>得2分，未</w:t>
            </w:r>
            <w:r>
              <w:rPr>
                <w:rFonts w:hint="eastAsia" w:ascii="宋体" w:hAnsi="宋体" w:cs="宋体"/>
                <w:bCs/>
                <w:sz w:val="24"/>
                <w:highlight w:val="none"/>
                <w:lang w:val="en-US" w:eastAsia="zh-CN"/>
              </w:rPr>
              <w:t>按要求</w:t>
            </w:r>
            <w:r>
              <w:rPr>
                <w:rFonts w:hint="eastAsia" w:ascii="宋体" w:hAnsi="宋体" w:cs="宋体"/>
                <w:bCs/>
                <w:sz w:val="24"/>
                <w:highlight w:val="none"/>
              </w:rPr>
              <w:t>提供得0分。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2</w:t>
            </w:r>
          </w:p>
        </w:tc>
        <w:tc>
          <w:tcPr>
            <w:tcW w:w="463" w:type="pct"/>
            <w:vAlign w:val="center"/>
          </w:tcPr>
          <w:p>
            <w:pPr>
              <w:spacing w:line="360" w:lineRule="auto"/>
              <w:jc w:val="center"/>
              <w:rPr>
                <w:rFonts w:ascii="宋体" w:hAnsi="宋体" w:cs="宋体"/>
                <w:sz w:val="24"/>
              </w:rPr>
            </w:pPr>
            <w:r>
              <w:rPr>
                <w:rFonts w:hint="eastAsia" w:ascii="宋体" w:hAnsi="宋体" w:cs="宋体"/>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8" w:type="pct"/>
            <w:vAlign w:val="center"/>
          </w:tcPr>
          <w:p>
            <w:pPr>
              <w:spacing w:line="360" w:lineRule="auto"/>
              <w:jc w:val="center"/>
              <w:rPr>
                <w:rFonts w:ascii="宋体" w:hAnsi="宋体" w:cs="宋体"/>
                <w:sz w:val="24"/>
              </w:rPr>
            </w:pPr>
            <w:r>
              <w:rPr>
                <w:rFonts w:hint="eastAsia" w:ascii="宋体" w:hAnsi="宋体" w:cs="宋体"/>
                <w:sz w:val="24"/>
              </w:rPr>
              <w:t>18</w:t>
            </w:r>
          </w:p>
        </w:tc>
        <w:tc>
          <w:tcPr>
            <w:tcW w:w="423" w:type="pct"/>
            <w:vMerge w:val="continue"/>
            <w:vAlign w:val="center"/>
          </w:tcPr>
          <w:p>
            <w:pPr>
              <w:spacing w:line="360" w:lineRule="auto"/>
              <w:jc w:val="center"/>
              <w:rPr>
                <w:rFonts w:ascii="宋体" w:hAnsi="宋体" w:cs="宋体"/>
                <w:sz w:val="24"/>
              </w:rPr>
            </w:pPr>
          </w:p>
        </w:tc>
        <w:tc>
          <w:tcPr>
            <w:tcW w:w="459" w:type="pct"/>
            <w:vAlign w:val="center"/>
          </w:tcPr>
          <w:p>
            <w:pPr>
              <w:spacing w:line="360" w:lineRule="auto"/>
              <w:jc w:val="center"/>
              <w:rPr>
                <w:rFonts w:ascii="宋体" w:hAnsi="宋体" w:cs="宋体"/>
                <w:sz w:val="24"/>
              </w:rPr>
            </w:pPr>
            <w:r>
              <w:rPr>
                <w:rFonts w:hint="eastAsia" w:ascii="宋体" w:hAnsi="宋体" w:cs="宋体"/>
                <w:sz w:val="24"/>
              </w:rPr>
              <w:t>安全服务方案</w:t>
            </w:r>
          </w:p>
        </w:tc>
        <w:tc>
          <w:tcPr>
            <w:tcW w:w="3040" w:type="pct"/>
            <w:vAlign w:val="center"/>
          </w:tcPr>
          <w:p>
            <w:pPr>
              <w:widowControl/>
              <w:spacing w:line="360" w:lineRule="auto"/>
              <w:rPr>
                <w:rFonts w:ascii="宋体" w:hAnsi="宋体" w:cs="宋体"/>
                <w:b w:val="0"/>
                <w:bCs w:val="0"/>
                <w:sz w:val="24"/>
              </w:rPr>
            </w:pPr>
            <w:r>
              <w:rPr>
                <w:rFonts w:hint="eastAsia" w:ascii="宋体" w:hAnsi="宋体" w:cs="宋体"/>
                <w:b w:val="0"/>
                <w:bCs w:val="0"/>
                <w:sz w:val="24"/>
              </w:rPr>
              <w:t>投标人提供安全服务方案，包含：</w:t>
            </w:r>
          </w:p>
          <w:p>
            <w:pPr>
              <w:widowControl/>
              <w:spacing w:line="360" w:lineRule="auto"/>
              <w:rPr>
                <w:rFonts w:ascii="宋体" w:hAnsi="宋体" w:cs="宋体"/>
                <w:sz w:val="24"/>
              </w:rPr>
            </w:pPr>
            <w:r>
              <w:rPr>
                <w:rFonts w:hint="eastAsia" w:ascii="宋体" w:hAnsi="宋体" w:cs="宋体"/>
                <w:sz w:val="24"/>
              </w:rPr>
              <w:t>1、各业务系统云端安全防护方案</w:t>
            </w:r>
          </w:p>
          <w:p>
            <w:pPr>
              <w:widowControl/>
              <w:spacing w:line="360" w:lineRule="auto"/>
              <w:rPr>
                <w:rFonts w:ascii="宋体" w:hAnsi="宋体" w:cs="宋体"/>
                <w:sz w:val="24"/>
              </w:rPr>
            </w:pPr>
            <w:r>
              <w:rPr>
                <w:rFonts w:hint="eastAsia" w:ascii="宋体" w:hAnsi="宋体" w:cs="宋体"/>
                <w:sz w:val="24"/>
              </w:rPr>
              <w:t>2、安全管理体系（包括安全组织架构与责任划分、安全基线管理及安全流程制度）</w:t>
            </w:r>
          </w:p>
          <w:p>
            <w:pPr>
              <w:widowControl/>
              <w:spacing w:line="360" w:lineRule="auto"/>
              <w:rPr>
                <w:rFonts w:ascii="宋体" w:hAnsi="宋体" w:cs="宋体"/>
                <w:sz w:val="24"/>
              </w:rPr>
            </w:pPr>
            <w:r>
              <w:rPr>
                <w:rFonts w:hint="eastAsia" w:ascii="宋体" w:hAnsi="宋体" w:cs="宋体"/>
                <w:sz w:val="24"/>
              </w:rPr>
              <w:t>3、安全运营服务方案（事前、事中、事后安全服务）</w:t>
            </w:r>
          </w:p>
          <w:p>
            <w:pPr>
              <w:widowControl/>
              <w:spacing w:line="360" w:lineRule="auto"/>
              <w:rPr>
                <w:rFonts w:ascii="宋体" w:hAnsi="宋体" w:cs="宋体"/>
                <w:sz w:val="24"/>
              </w:rPr>
            </w:pPr>
            <w:r>
              <w:rPr>
                <w:rFonts w:hint="eastAsia" w:ascii="宋体" w:hAnsi="宋体" w:cs="宋体"/>
                <w:sz w:val="24"/>
              </w:rPr>
              <w:t>4、应急保障服务方案</w:t>
            </w:r>
          </w:p>
          <w:p>
            <w:pPr>
              <w:widowControl/>
              <w:spacing w:line="360" w:lineRule="auto"/>
              <w:rPr>
                <w:rFonts w:ascii="宋体" w:hAnsi="宋体" w:cs="宋体"/>
                <w:sz w:val="24"/>
              </w:rPr>
            </w:pPr>
            <w:r>
              <w:rPr>
                <w:rFonts w:hint="eastAsia" w:ascii="宋体" w:hAnsi="宋体" w:cs="宋体"/>
                <w:sz w:val="24"/>
              </w:rPr>
              <w:t>5、重要时期服务保障方案</w:t>
            </w:r>
          </w:p>
          <w:p>
            <w:pPr>
              <w:widowControl/>
              <w:spacing w:line="360" w:lineRule="auto"/>
              <w:rPr>
                <w:rFonts w:ascii="宋体" w:hAnsi="宋体" w:cs="宋体"/>
                <w:sz w:val="24"/>
              </w:rPr>
            </w:pPr>
            <w:r>
              <w:rPr>
                <w:rFonts w:hint="eastAsia" w:ascii="宋体" w:hAnsi="宋体" w:cs="宋体"/>
                <w:bCs/>
                <w:sz w:val="24"/>
              </w:rPr>
              <w:t>方案完整合理、内容详细，专门针对本项目，满足采购需求和实际情况视为符合；方案内容属于通用类，</w:t>
            </w:r>
            <w:r>
              <w:rPr>
                <w:rFonts w:hint="eastAsia" w:ascii="宋体" w:hAnsi="宋体" w:cs="宋体"/>
                <w:sz w:val="24"/>
              </w:rPr>
              <w:t>非专门针对本项目，部分符合实际情况视为部分符合；方案内容复制粘贴采购需求，非专门针对本项目，不符合实际情况或未提供视为不符合；</w:t>
            </w:r>
          </w:p>
          <w:p>
            <w:pPr>
              <w:widowControl/>
              <w:spacing w:line="360" w:lineRule="auto"/>
              <w:rPr>
                <w:rFonts w:ascii="宋体" w:hAnsi="宋体" w:cs="宋体"/>
                <w:sz w:val="24"/>
              </w:rPr>
            </w:pPr>
            <w:r>
              <w:rPr>
                <w:rFonts w:hint="eastAsia" w:ascii="宋体" w:hAnsi="宋体" w:cs="宋体"/>
                <w:sz w:val="24"/>
              </w:rPr>
              <w:t>以上五项，每符合一项得2分，部分符合得1分，不符合得0分。</w:t>
            </w:r>
            <w:r>
              <w:rPr>
                <w:rFonts w:hint="eastAsia" w:ascii="宋体" w:hAnsi="宋体" w:cs="宋体"/>
                <w:bCs/>
                <w:sz w:val="24"/>
              </w:rPr>
              <w:t>此项最高得10分。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10</w:t>
            </w:r>
          </w:p>
        </w:tc>
        <w:tc>
          <w:tcPr>
            <w:tcW w:w="463" w:type="pct"/>
            <w:vAlign w:val="center"/>
          </w:tcPr>
          <w:p>
            <w:pPr>
              <w:spacing w:line="360" w:lineRule="auto"/>
              <w:jc w:val="center"/>
              <w:rPr>
                <w:rFonts w:ascii="宋体" w:hAnsi="宋体" w:cs="宋体"/>
                <w:sz w:val="24"/>
              </w:rPr>
            </w:pPr>
            <w:r>
              <w:rPr>
                <w:rFonts w:hint="eastAsia" w:ascii="宋体" w:hAnsi="宋体" w:cs="宋体"/>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8" w:type="pct"/>
            <w:vAlign w:val="center"/>
          </w:tcPr>
          <w:p>
            <w:pPr>
              <w:spacing w:line="360" w:lineRule="auto"/>
              <w:jc w:val="center"/>
              <w:rPr>
                <w:rFonts w:hint="eastAsia" w:ascii="宋体" w:hAnsi="宋体" w:cs="宋体"/>
                <w:sz w:val="24"/>
              </w:rPr>
            </w:pPr>
            <w:r>
              <w:rPr>
                <w:rFonts w:hint="eastAsia" w:ascii="宋体" w:hAnsi="宋体" w:cs="宋体"/>
                <w:sz w:val="24"/>
              </w:rPr>
              <w:t>19</w:t>
            </w:r>
          </w:p>
        </w:tc>
        <w:tc>
          <w:tcPr>
            <w:tcW w:w="423" w:type="pct"/>
            <w:vMerge w:val="continue"/>
            <w:vAlign w:val="center"/>
          </w:tcPr>
          <w:p>
            <w:pPr>
              <w:spacing w:line="360" w:lineRule="auto"/>
              <w:jc w:val="center"/>
              <w:rPr>
                <w:rFonts w:ascii="宋体" w:hAnsi="宋体" w:cs="宋体"/>
                <w:sz w:val="24"/>
              </w:rPr>
            </w:pPr>
          </w:p>
        </w:tc>
        <w:tc>
          <w:tcPr>
            <w:tcW w:w="459" w:type="pct"/>
            <w:vAlign w:val="center"/>
          </w:tcPr>
          <w:p>
            <w:pPr>
              <w:spacing w:line="360" w:lineRule="auto"/>
              <w:jc w:val="center"/>
              <w:rPr>
                <w:rFonts w:ascii="宋体" w:hAnsi="宋体" w:cs="宋体"/>
                <w:sz w:val="24"/>
              </w:rPr>
            </w:pPr>
            <w:r>
              <w:rPr>
                <w:rFonts w:hint="eastAsia" w:ascii="宋体" w:hAnsi="宋体" w:cs="宋体"/>
                <w:sz w:val="24"/>
              </w:rPr>
              <w:t>运维服务方案</w:t>
            </w:r>
          </w:p>
        </w:tc>
        <w:tc>
          <w:tcPr>
            <w:tcW w:w="3040" w:type="pct"/>
            <w:vAlign w:val="center"/>
          </w:tcPr>
          <w:p>
            <w:pPr>
              <w:widowControl/>
              <w:spacing w:line="360" w:lineRule="auto"/>
              <w:rPr>
                <w:rFonts w:ascii="宋体" w:hAnsi="宋体" w:cs="宋体"/>
                <w:b w:val="0"/>
                <w:bCs w:val="0"/>
                <w:kern w:val="0"/>
                <w:sz w:val="24"/>
              </w:rPr>
            </w:pPr>
            <w:r>
              <w:rPr>
                <w:rFonts w:hint="eastAsia" w:ascii="宋体" w:hAnsi="宋体" w:cs="宋体"/>
                <w:b w:val="0"/>
                <w:bCs w:val="0"/>
                <w:kern w:val="0"/>
                <w:sz w:val="24"/>
              </w:rPr>
              <w:t>投标人提供运维服务方案，包含：</w:t>
            </w:r>
          </w:p>
          <w:p>
            <w:pPr>
              <w:widowControl/>
              <w:spacing w:line="360" w:lineRule="auto"/>
              <w:rPr>
                <w:rFonts w:ascii="宋体" w:hAnsi="宋体" w:cs="宋体"/>
                <w:kern w:val="0"/>
                <w:sz w:val="24"/>
              </w:rPr>
            </w:pPr>
            <w:r>
              <w:rPr>
                <w:rFonts w:hint="eastAsia" w:ascii="宋体" w:hAnsi="宋体" w:cs="宋体"/>
                <w:kern w:val="0"/>
                <w:sz w:val="24"/>
              </w:rPr>
              <w:t>1、运维服务制度及流程</w:t>
            </w:r>
          </w:p>
          <w:p>
            <w:pPr>
              <w:widowControl/>
              <w:spacing w:line="360" w:lineRule="auto"/>
              <w:rPr>
                <w:rFonts w:ascii="宋体" w:hAnsi="宋体" w:cs="宋体"/>
                <w:kern w:val="0"/>
                <w:sz w:val="24"/>
              </w:rPr>
            </w:pPr>
            <w:r>
              <w:rPr>
                <w:rFonts w:hint="eastAsia" w:ascii="宋体" w:hAnsi="宋体" w:cs="宋体"/>
                <w:kern w:val="0"/>
                <w:sz w:val="24"/>
              </w:rPr>
              <w:t xml:space="preserve">2、运维表单 </w:t>
            </w:r>
          </w:p>
          <w:p>
            <w:pPr>
              <w:widowControl/>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3、云资源动态调整方案</w:t>
            </w:r>
          </w:p>
          <w:p>
            <w:pPr>
              <w:widowControl/>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4、技术支持与售后服务体系</w:t>
            </w:r>
          </w:p>
          <w:p>
            <w:pPr>
              <w:widowControl/>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5、运维服务团队</w:t>
            </w:r>
            <w:r>
              <w:rPr>
                <w:rFonts w:hint="eastAsia" w:ascii="宋体" w:hAnsi="宋体" w:cs="宋体"/>
                <w:kern w:val="0"/>
                <w:sz w:val="24"/>
              </w:rPr>
              <w:t xml:space="preserve"> </w:t>
            </w:r>
          </w:p>
          <w:p>
            <w:pPr>
              <w:widowControl/>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6、运维服务承诺及合理化建议</w:t>
            </w:r>
          </w:p>
          <w:p>
            <w:pPr>
              <w:widowControl/>
              <w:spacing w:line="360" w:lineRule="auto"/>
              <w:rPr>
                <w:rFonts w:ascii="宋体" w:hAnsi="宋体" w:cs="宋体"/>
                <w:kern w:val="0"/>
                <w:sz w:val="24"/>
              </w:rPr>
            </w:pPr>
            <w:r>
              <w:rPr>
                <w:rFonts w:hint="eastAsia" w:ascii="宋体" w:hAnsi="宋体" w:cs="宋体"/>
                <w:bCs w:val="0"/>
                <w:kern w:val="0"/>
                <w:sz w:val="24"/>
              </w:rPr>
              <w:t>方案完整合理、内容详细，专门针对本项目，满足采购需求和实际情况视为符合；方案内容属于通用类，</w:t>
            </w:r>
            <w:r>
              <w:rPr>
                <w:rFonts w:hint="eastAsia" w:ascii="宋体" w:hAnsi="宋体" w:cs="宋体"/>
                <w:kern w:val="0"/>
                <w:sz w:val="24"/>
              </w:rPr>
              <w:t>非专门针对本项目，部分符合实际情况视为部分符合；方案内容复制粘贴采购需求，非专门针对本项目，不符合实际情况或未提供视为不符合；</w:t>
            </w:r>
          </w:p>
          <w:p>
            <w:pPr>
              <w:widowControl/>
              <w:spacing w:line="360" w:lineRule="auto"/>
              <w:rPr>
                <w:rFonts w:hint="eastAsia" w:ascii="宋体" w:hAnsi="宋体" w:cs="宋体"/>
                <w:kern w:val="0"/>
                <w:sz w:val="24"/>
              </w:rPr>
            </w:pPr>
            <w:r>
              <w:rPr>
                <w:rFonts w:hint="eastAsia" w:ascii="宋体" w:hAnsi="宋体" w:cs="宋体"/>
                <w:kern w:val="0"/>
                <w:sz w:val="24"/>
              </w:rPr>
              <w:t>以上</w:t>
            </w:r>
            <w:r>
              <w:rPr>
                <w:rFonts w:hint="eastAsia" w:ascii="宋体" w:hAnsi="宋体" w:cs="宋体"/>
                <w:kern w:val="0"/>
                <w:sz w:val="24"/>
                <w:lang w:val="en-US" w:eastAsia="zh-CN"/>
              </w:rPr>
              <w:t>六</w:t>
            </w:r>
            <w:r>
              <w:rPr>
                <w:rFonts w:hint="eastAsia" w:ascii="宋体" w:hAnsi="宋体" w:cs="宋体"/>
                <w:kern w:val="0"/>
                <w:sz w:val="24"/>
              </w:rPr>
              <w:t>项，每符合一项得2分，部分符合得1分，不符合得0分。</w:t>
            </w:r>
            <w:r>
              <w:rPr>
                <w:rFonts w:hint="eastAsia" w:ascii="宋体" w:hAnsi="宋体" w:cs="宋体"/>
                <w:bCs w:val="0"/>
                <w:kern w:val="0"/>
                <w:sz w:val="24"/>
              </w:rPr>
              <w:t>此项最高得</w:t>
            </w:r>
            <w:r>
              <w:rPr>
                <w:rFonts w:hint="eastAsia" w:ascii="宋体" w:hAnsi="宋体" w:cs="宋体"/>
                <w:kern w:val="0"/>
                <w:sz w:val="24"/>
              </w:rPr>
              <w:t>12</w:t>
            </w:r>
            <w:r>
              <w:rPr>
                <w:rFonts w:hint="eastAsia" w:ascii="宋体" w:hAnsi="宋体" w:cs="宋体"/>
                <w:bCs w:val="0"/>
                <w:kern w:val="0"/>
                <w:sz w:val="24"/>
              </w:rPr>
              <w:t>分。</w:t>
            </w:r>
          </w:p>
        </w:tc>
        <w:tc>
          <w:tcPr>
            <w:tcW w:w="274" w:type="pct"/>
            <w:vAlign w:val="center"/>
          </w:tcPr>
          <w:p>
            <w:pPr>
              <w:spacing w:line="360" w:lineRule="auto"/>
              <w:jc w:val="center"/>
              <w:rPr>
                <w:rFonts w:ascii="宋体" w:hAnsi="宋体" w:cs="宋体"/>
                <w:sz w:val="24"/>
              </w:rPr>
            </w:pPr>
            <w:r>
              <w:rPr>
                <w:rFonts w:hint="eastAsia" w:ascii="宋体" w:hAnsi="宋体" w:cs="宋体"/>
                <w:sz w:val="24"/>
              </w:rPr>
              <w:t>12</w:t>
            </w:r>
          </w:p>
        </w:tc>
        <w:tc>
          <w:tcPr>
            <w:tcW w:w="463" w:type="pct"/>
            <w:vAlign w:val="center"/>
          </w:tcPr>
          <w:p>
            <w:pPr>
              <w:spacing w:line="360" w:lineRule="auto"/>
              <w:jc w:val="center"/>
              <w:rPr>
                <w:rFonts w:ascii="宋体" w:hAnsi="宋体" w:cs="宋体"/>
                <w:sz w:val="24"/>
              </w:rPr>
            </w:pPr>
            <w:r>
              <w:rPr>
                <w:rFonts w:hint="eastAsia" w:ascii="宋体" w:hAnsi="宋体" w:cs="宋体"/>
                <w:sz w:val="24"/>
              </w:rPr>
              <w:t>主观</w:t>
            </w:r>
          </w:p>
        </w:tc>
      </w:tr>
    </w:tbl>
    <w:p>
      <w:pPr>
        <w:numPr>
          <w:ilvl w:val="0"/>
          <w:numId w:val="0"/>
        </w:numPr>
        <w:spacing w:line="360" w:lineRule="auto"/>
        <w:jc w:val="both"/>
        <w:rPr>
          <w:rFonts w:hint="eastAsia" w:asciiTheme="minorEastAsia" w:hAnsiTheme="minorEastAsia" w:eastAsiaTheme="minorEastAsia" w:cstheme="minorEastAsia"/>
          <w:b w:val="0"/>
          <w:bCs/>
          <w:color w:val="auto"/>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B1B6"/>
    <w:multiLevelType w:val="singleLevel"/>
    <w:tmpl w:val="8346B1B6"/>
    <w:lvl w:ilvl="0" w:tentative="0">
      <w:start w:val="1"/>
      <w:numFmt w:val="decimal"/>
      <w:lvlText w:val="%1."/>
      <w:lvlJc w:val="left"/>
      <w:pPr>
        <w:ind w:left="425" w:hanging="425"/>
      </w:pPr>
      <w:rPr>
        <w:rFonts w:hint="default"/>
      </w:rPr>
    </w:lvl>
  </w:abstractNum>
  <w:abstractNum w:abstractNumId="1">
    <w:nsid w:val="A8F0F940"/>
    <w:multiLevelType w:val="singleLevel"/>
    <w:tmpl w:val="A8F0F940"/>
    <w:lvl w:ilvl="0" w:tentative="0">
      <w:start w:val="1"/>
      <w:numFmt w:val="decimal"/>
      <w:pStyle w:val="7"/>
      <w:lvlText w:val="%1."/>
      <w:lvlJc w:val="left"/>
      <w:pPr>
        <w:tabs>
          <w:tab w:val="left" w:pos="312"/>
        </w:tabs>
      </w:pPr>
    </w:lvl>
  </w:abstractNum>
  <w:abstractNum w:abstractNumId="2">
    <w:nsid w:val="B0D18832"/>
    <w:multiLevelType w:val="singleLevel"/>
    <w:tmpl w:val="B0D18832"/>
    <w:lvl w:ilvl="0" w:tentative="0">
      <w:start w:val="2"/>
      <w:numFmt w:val="decimal"/>
      <w:suff w:val="nothing"/>
      <w:lvlText w:val="%1、"/>
      <w:lvlJc w:val="left"/>
    </w:lvl>
  </w:abstractNum>
  <w:abstractNum w:abstractNumId="3">
    <w:nsid w:val="DCAEF716"/>
    <w:multiLevelType w:val="singleLevel"/>
    <w:tmpl w:val="DCAEF716"/>
    <w:lvl w:ilvl="0" w:tentative="0">
      <w:start w:val="6"/>
      <w:numFmt w:val="decimal"/>
      <w:suff w:val="nothing"/>
      <w:lvlText w:val="%1、"/>
      <w:lvlJc w:val="left"/>
    </w:lvl>
  </w:abstractNum>
  <w:abstractNum w:abstractNumId="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k1ZjM0MDA1ODRiMjA1ZTdmNmEzMGU2ZTAzMmUifQ=="/>
  </w:docVars>
  <w:rsids>
    <w:rsidRoot w:val="7EC166F2"/>
    <w:rsid w:val="008A010F"/>
    <w:rsid w:val="00F62B9B"/>
    <w:rsid w:val="05C07898"/>
    <w:rsid w:val="09012917"/>
    <w:rsid w:val="093C406B"/>
    <w:rsid w:val="0B9F6417"/>
    <w:rsid w:val="0C1343FB"/>
    <w:rsid w:val="0CCC4F7E"/>
    <w:rsid w:val="0F6109BF"/>
    <w:rsid w:val="110505F3"/>
    <w:rsid w:val="14DE41B0"/>
    <w:rsid w:val="15DA1B2F"/>
    <w:rsid w:val="1AED5037"/>
    <w:rsid w:val="2954764D"/>
    <w:rsid w:val="2E556795"/>
    <w:rsid w:val="32EC694D"/>
    <w:rsid w:val="3334248D"/>
    <w:rsid w:val="3351594C"/>
    <w:rsid w:val="335B08B2"/>
    <w:rsid w:val="35D00535"/>
    <w:rsid w:val="39222C63"/>
    <w:rsid w:val="3CD2192B"/>
    <w:rsid w:val="3D9D0DAA"/>
    <w:rsid w:val="3DC3604A"/>
    <w:rsid w:val="41E33AEE"/>
    <w:rsid w:val="46942157"/>
    <w:rsid w:val="4C0D084F"/>
    <w:rsid w:val="4EA16E8D"/>
    <w:rsid w:val="52D07390"/>
    <w:rsid w:val="52F21C71"/>
    <w:rsid w:val="56BB2643"/>
    <w:rsid w:val="593B1280"/>
    <w:rsid w:val="5B58486A"/>
    <w:rsid w:val="5E113BD7"/>
    <w:rsid w:val="5E241BC2"/>
    <w:rsid w:val="6151078F"/>
    <w:rsid w:val="6460285A"/>
    <w:rsid w:val="67CBE842"/>
    <w:rsid w:val="6E3D4575"/>
    <w:rsid w:val="71C072FD"/>
    <w:rsid w:val="764F3097"/>
    <w:rsid w:val="77F94A4B"/>
    <w:rsid w:val="7C0C59FB"/>
    <w:rsid w:val="7C391524"/>
    <w:rsid w:val="7E135A11"/>
    <w:rsid w:val="7EC166F2"/>
    <w:rsid w:val="BD7B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annotation text"/>
    <w:basedOn w:val="1"/>
    <w:autoRedefine/>
    <w:qFormat/>
    <w:uiPriority w:val="0"/>
    <w:pPr>
      <w:jc w:val="left"/>
    </w:pPr>
  </w:style>
  <w:style w:type="paragraph" w:styleId="4">
    <w:name w:val="Body Text"/>
    <w:basedOn w:val="1"/>
    <w:autoRedefine/>
    <w:unhideWhenUsed/>
    <w:qFormat/>
    <w:uiPriority w:val="0"/>
    <w:pPr>
      <w:adjustRightInd/>
      <w:spacing w:after="120" w:line="240" w:lineRule="auto"/>
      <w:jc w:val="both"/>
      <w:textAlignment w:val="auto"/>
    </w:pPr>
    <w:rPr>
      <w:rFonts w:ascii="Times New Roman" w:hAnsi="Times New Roman"/>
      <w:kern w:val="2"/>
      <w:sz w:val="21"/>
      <w:szCs w:val="24"/>
      <w:lang w:val="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6"/>
    <w:autoRedefine/>
    <w:unhideWhenUsed/>
    <w:qFormat/>
    <w:uiPriority w:val="0"/>
    <w:pPr>
      <w:numPr>
        <w:ilvl w:val="0"/>
        <w:numId w:val="1"/>
      </w:numPr>
      <w:snapToGrid w:val="0"/>
      <w:jc w:val="left"/>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paragraph" w:styleId="12">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10643</Words>
  <Characters>11680</Characters>
  <Lines>0</Lines>
  <Paragraphs>0</Paragraphs>
  <TotalTime>3</TotalTime>
  <ScaleCrop>false</ScaleCrop>
  <LinksUpToDate>false</LinksUpToDate>
  <CharactersWithSpaces>11807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2024-02-24T16:19:00Z</dcterms:created>
  <dc:creator>侯禹</dc:creator>
  <cp:lastModifiedBy>Administrator</cp:lastModifiedBy>
  <cp:lastPrinted>2024-03-29T15:39:00Z</cp:lastPrinted>
  <dcterms:modified xsi:type="dcterms:W3CDTF">2024-06-20T07:14:47Z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BAD264B32A8E4DC2B677EA412462C280_13</vt:lpwstr>
  </property>
</Properties>
</file>