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87B" w:rsidRDefault="00F2627B">
      <w:pPr>
        <w:spacing w:line="360" w:lineRule="auto"/>
        <w:jc w:val="center"/>
        <w:outlineLvl w:val="0"/>
        <w:rPr>
          <w:sz w:val="24"/>
        </w:rPr>
      </w:pPr>
      <w:bookmarkStart w:id="0" w:name="_Toc24225"/>
      <w:bookmarkStart w:id="1" w:name="_Toc99301424"/>
      <w:bookmarkStart w:id="2" w:name="_GoBack"/>
      <w:bookmarkEnd w:id="2"/>
      <w:r>
        <w:rPr>
          <w:b/>
          <w:sz w:val="36"/>
          <w:szCs w:val="36"/>
        </w:rPr>
        <w:t>采购需求</w:t>
      </w:r>
      <w:bookmarkEnd w:id="0"/>
      <w:bookmarkEnd w:id="1"/>
    </w:p>
    <w:p w:rsidR="00203CA5" w:rsidRPr="00EB75AA" w:rsidRDefault="00225377" w:rsidP="00203CA5">
      <w:pPr>
        <w:adjustRightInd w:val="0"/>
        <w:spacing w:line="360" w:lineRule="auto"/>
        <w:ind w:firstLineChars="196" w:firstLine="472"/>
        <w:jc w:val="left"/>
        <w:textAlignment w:val="baseline"/>
        <w:rPr>
          <w:rFonts w:ascii="宋体" w:hAnsi="宋体" w:cs="宋体"/>
          <w:b/>
          <w:kern w:val="0"/>
          <w:sz w:val="24"/>
        </w:rPr>
      </w:pPr>
      <w:r>
        <w:rPr>
          <w:rFonts w:ascii="宋体" w:hAnsi="宋体" w:cs="宋体" w:hint="eastAsia"/>
          <w:b/>
          <w:kern w:val="0"/>
          <w:sz w:val="24"/>
        </w:rPr>
        <w:t>一、</w:t>
      </w:r>
      <w:r w:rsidR="00203CA5" w:rsidRPr="00EB75AA">
        <w:rPr>
          <w:rFonts w:ascii="宋体" w:hAnsi="宋体" w:cs="宋体" w:hint="eastAsia"/>
          <w:b/>
          <w:kern w:val="0"/>
          <w:sz w:val="24"/>
        </w:rPr>
        <w:t>项目简要情况</w:t>
      </w:r>
    </w:p>
    <w:p w:rsidR="00203CA5" w:rsidRDefault="00203CA5" w:rsidP="00203CA5">
      <w:pPr>
        <w:adjustRightInd w:val="0"/>
        <w:spacing w:line="360" w:lineRule="auto"/>
        <w:ind w:firstLineChars="200" w:firstLine="480"/>
        <w:jc w:val="left"/>
        <w:textAlignment w:val="baseline"/>
        <w:rPr>
          <w:rFonts w:ascii="宋体" w:hAnsi="宋体" w:cs="宋体"/>
          <w:kern w:val="0"/>
          <w:sz w:val="24"/>
        </w:rPr>
      </w:pPr>
      <w:r w:rsidRPr="0026695C">
        <w:rPr>
          <w:rFonts w:ascii="宋体" w:hAnsi="宋体" w:cs="宋体" w:hint="eastAsia"/>
          <w:kern w:val="0"/>
          <w:sz w:val="24"/>
        </w:rPr>
        <w:t>北京市公安局公安交通管理局2024年度公务用车、铁骑摩托车加油服务项目主要是为北京市公安局公安交通管理局2000余辆公务用车、摩托车提供日常加油服务，确保公务用车及摩托车的有效使用,日常汽油需求以92#、95#为主，柴油以 0#、-10#为主。</w:t>
      </w:r>
    </w:p>
    <w:p w:rsidR="00203CA5" w:rsidRPr="00EB75AA" w:rsidRDefault="00203CA5" w:rsidP="00203CA5">
      <w:pPr>
        <w:adjustRightInd w:val="0"/>
        <w:spacing w:line="360" w:lineRule="auto"/>
        <w:ind w:firstLineChars="200" w:firstLine="482"/>
        <w:jc w:val="left"/>
        <w:textAlignment w:val="baseline"/>
        <w:rPr>
          <w:rFonts w:ascii="宋体" w:hAnsi="宋体" w:cs="宋体"/>
          <w:b/>
          <w:kern w:val="0"/>
          <w:sz w:val="24"/>
        </w:rPr>
      </w:pPr>
      <w:r w:rsidRPr="00EB75AA">
        <w:rPr>
          <w:rFonts w:ascii="宋体" w:hAnsi="宋体" w:cs="宋体" w:hint="eastAsia"/>
          <w:b/>
          <w:kern w:val="0"/>
          <w:sz w:val="24"/>
        </w:rPr>
        <w:t>二、对投标人的要求</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（一）投标人具有提供全年、每天24小时的加油服务能力。</w:t>
      </w:r>
    </w:p>
    <w:p w:rsidR="00203CA5" w:rsidRPr="00854A9B" w:rsidRDefault="00203CA5" w:rsidP="00203CA5">
      <w:pPr>
        <w:adjustRightInd w:val="0"/>
        <w:spacing w:line="360" w:lineRule="auto"/>
        <w:ind w:firstLineChars="200" w:firstLine="480"/>
        <w:jc w:val="left"/>
        <w:textAlignment w:val="baseline"/>
        <w:rPr>
          <w:rFonts w:ascii="宋体" w:hAnsi="宋体" w:cs="宋体"/>
          <w:kern w:val="0"/>
          <w:sz w:val="24"/>
        </w:rPr>
      </w:pPr>
      <w:r w:rsidRPr="00854A9B">
        <w:rPr>
          <w:rFonts w:ascii="宋体" w:hAnsi="宋体" w:cs="宋体" w:hint="eastAsia"/>
          <w:kern w:val="0"/>
          <w:sz w:val="24"/>
        </w:rPr>
        <w:t>（二）投标人提供的油品须符合相关国家现行质量标准。</w:t>
      </w:r>
    </w:p>
    <w:p w:rsidR="00203CA5" w:rsidRPr="00854A9B" w:rsidRDefault="00203CA5" w:rsidP="00203CA5">
      <w:pPr>
        <w:adjustRightInd w:val="0"/>
        <w:spacing w:line="360" w:lineRule="auto"/>
        <w:ind w:firstLineChars="200" w:firstLine="480"/>
        <w:jc w:val="left"/>
        <w:textAlignment w:val="baseline"/>
        <w:rPr>
          <w:rFonts w:ascii="宋体" w:hAnsi="宋体" w:cs="宋体"/>
          <w:kern w:val="0"/>
          <w:sz w:val="24"/>
        </w:rPr>
      </w:pPr>
      <w:r w:rsidRPr="00854A9B">
        <w:rPr>
          <w:rFonts w:ascii="宋体" w:hAnsi="宋体" w:cs="宋体" w:hint="eastAsia"/>
          <w:kern w:val="0"/>
          <w:sz w:val="24"/>
        </w:rPr>
        <w:t>（三）</w:t>
      </w:r>
      <w:r w:rsidRPr="00854A9B">
        <w:rPr>
          <w:rFonts w:ascii="Segoe UI Symbol" w:hAnsi="Segoe UI Symbol" w:cs="Segoe UI Symbol"/>
          <w:color w:val="000000"/>
          <w:kern w:val="0"/>
          <w:sz w:val="24"/>
        </w:rPr>
        <w:t>★</w:t>
      </w:r>
      <w:r w:rsidRPr="00854A9B">
        <w:rPr>
          <w:rFonts w:ascii="宋体" w:hAnsi="宋体" w:cs="宋体" w:hint="eastAsia"/>
          <w:kern w:val="0"/>
          <w:sz w:val="24"/>
        </w:rPr>
        <w:t>投标人须承诺若中标，为采购人提供有明显标识的加油卡、必要的业务设备及人员培训，需提供承诺书。</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854A9B">
        <w:rPr>
          <w:rFonts w:ascii="宋体" w:hAnsi="宋体" w:cs="宋体" w:hint="eastAsia"/>
          <w:kern w:val="0"/>
          <w:sz w:val="24"/>
        </w:rPr>
        <w:t>（四）</w:t>
      </w:r>
      <w:r w:rsidRPr="00854A9B">
        <w:rPr>
          <w:rFonts w:ascii="Segoe UI Symbol" w:hAnsi="Segoe UI Symbol" w:cs="Segoe UI Symbol"/>
          <w:color w:val="000000"/>
          <w:kern w:val="0"/>
          <w:sz w:val="24"/>
        </w:rPr>
        <w:t>★</w:t>
      </w:r>
      <w:r w:rsidRPr="00854A9B">
        <w:rPr>
          <w:rFonts w:ascii="宋体" w:hAnsi="宋体" w:cs="宋体" w:hint="eastAsia"/>
          <w:kern w:val="0"/>
          <w:sz w:val="24"/>
        </w:rPr>
        <w:t>投标人须承诺按要求为采购人提供加油资金即时生效服务，需提供承诺书。</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（五）投标人须提供日常加油服务管理制度：如管理标准、加油工作流程、安全作业规范、加油服务标准及相关管理制度。</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（六）投标人须提供针对本项目的培训计划、培训方案等，如按车辆燃油标号进行加油，一车一卡，严禁使用加油卡给非本车以外的其他车辆加油等。</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（七）投标人需承诺提供如下服务：拥有综合服务平台，可进行车辆加油数据汇总分析及综合信息查询、下载。</w:t>
      </w:r>
    </w:p>
    <w:p w:rsidR="00203CA5" w:rsidRPr="00EB75AA" w:rsidRDefault="00203CA5" w:rsidP="00203CA5">
      <w:pPr>
        <w:adjustRightInd w:val="0"/>
        <w:spacing w:line="360" w:lineRule="auto"/>
        <w:ind w:firstLineChars="200" w:firstLine="482"/>
        <w:jc w:val="left"/>
        <w:textAlignment w:val="baseline"/>
        <w:rPr>
          <w:rFonts w:ascii="宋体" w:hAnsi="宋体" w:cs="宋体"/>
          <w:b/>
          <w:kern w:val="0"/>
          <w:sz w:val="24"/>
        </w:rPr>
      </w:pPr>
      <w:r w:rsidRPr="00EB75AA">
        <w:rPr>
          <w:rFonts w:ascii="宋体" w:hAnsi="宋体" w:cs="宋体" w:hint="eastAsia"/>
          <w:b/>
          <w:kern w:val="0"/>
          <w:sz w:val="24"/>
        </w:rPr>
        <w:t>三、服务期限</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（一）服务期限：两年。</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（二）付款</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1、由采购人根据经费支出情况自行到中标人充值网点办理加油资金存入业务。中标人充值网点在收到采购人存入的加油资金后，即向采购人开具相等金额的正式发票。</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（三）售后服务</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1、中标人按照要求和数据格式，48小时内提供车辆加油的明细信息。</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格式如下：</w:t>
      </w:r>
    </w:p>
    <w:p w:rsidR="00203CA5" w:rsidRPr="00EB75AA" w:rsidRDefault="00203CA5" w:rsidP="00203CA5">
      <w:pPr>
        <w:adjustRightInd w:val="0"/>
        <w:spacing w:line="360" w:lineRule="auto"/>
        <w:jc w:val="left"/>
        <w:textAlignment w:val="baseline"/>
        <w:rPr>
          <w:rFonts w:ascii="宋体" w:hAnsi="宋体" w:cs="宋体"/>
          <w:b/>
          <w:bCs/>
          <w:kern w:val="0"/>
          <w:sz w:val="24"/>
        </w:rPr>
      </w:pPr>
      <w:r w:rsidRPr="00EB75AA">
        <w:rPr>
          <w:rFonts w:ascii="宋体" w:hAnsi="宋体" w:cs="宋体" w:hint="eastAsia"/>
          <w:b/>
          <w:bCs/>
          <w:kern w:val="0"/>
          <w:sz w:val="24"/>
        </w:rPr>
        <w:lastRenderedPageBreak/>
        <w:t>北京市市级行政事业单位IC卡加油台帐对帐单（按卡明细统计）</w:t>
      </w:r>
    </w:p>
    <w:p w:rsidR="00203CA5" w:rsidRPr="00EB75AA" w:rsidRDefault="00203CA5" w:rsidP="00203CA5">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客户名称：</w:t>
      </w:r>
    </w:p>
    <w:p w:rsidR="00203CA5" w:rsidRPr="00EB75AA" w:rsidRDefault="00203CA5" w:rsidP="00203CA5">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客户编码：</w:t>
      </w:r>
    </w:p>
    <w:p w:rsidR="00203CA5" w:rsidRPr="00EB75AA" w:rsidRDefault="00203CA5" w:rsidP="00203CA5">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网点名称：</w:t>
      </w:r>
    </w:p>
    <w:p w:rsidR="00203CA5" w:rsidRPr="00EB75AA" w:rsidRDefault="00203CA5" w:rsidP="00203CA5">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起止时间：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624"/>
        <w:gridCol w:w="479"/>
        <w:gridCol w:w="951"/>
        <w:gridCol w:w="932"/>
        <w:gridCol w:w="953"/>
        <w:gridCol w:w="624"/>
        <w:gridCol w:w="1024"/>
        <w:gridCol w:w="951"/>
        <w:gridCol w:w="479"/>
        <w:gridCol w:w="552"/>
        <w:gridCol w:w="476"/>
      </w:tblGrid>
      <w:tr w:rsidR="00203CA5" w:rsidRPr="00EB75AA" w:rsidTr="002D4D06">
        <w:tc>
          <w:tcPr>
            <w:tcW w:w="477"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时间</w:t>
            </w:r>
          </w:p>
        </w:tc>
        <w:tc>
          <w:tcPr>
            <w:tcW w:w="624"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业务类型</w:t>
            </w:r>
          </w:p>
        </w:tc>
        <w:tc>
          <w:tcPr>
            <w:tcW w:w="479"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品种</w:t>
            </w:r>
          </w:p>
        </w:tc>
        <w:tc>
          <w:tcPr>
            <w:tcW w:w="951"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数量（升）</w:t>
            </w:r>
          </w:p>
        </w:tc>
        <w:tc>
          <w:tcPr>
            <w:tcW w:w="932"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单价（元/升）</w:t>
            </w:r>
          </w:p>
        </w:tc>
        <w:tc>
          <w:tcPr>
            <w:tcW w:w="953"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金额（元）</w:t>
            </w:r>
          </w:p>
        </w:tc>
        <w:tc>
          <w:tcPr>
            <w:tcW w:w="624"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奖励分值</w:t>
            </w:r>
          </w:p>
        </w:tc>
        <w:tc>
          <w:tcPr>
            <w:tcW w:w="1024"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优惠价（元）</w:t>
            </w:r>
          </w:p>
        </w:tc>
        <w:tc>
          <w:tcPr>
            <w:tcW w:w="951"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余额（元）</w:t>
            </w:r>
          </w:p>
        </w:tc>
        <w:tc>
          <w:tcPr>
            <w:tcW w:w="479"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地点</w:t>
            </w:r>
          </w:p>
        </w:tc>
        <w:tc>
          <w:tcPr>
            <w:tcW w:w="552"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操作员</w:t>
            </w:r>
          </w:p>
        </w:tc>
        <w:tc>
          <w:tcPr>
            <w:tcW w:w="476" w:type="dxa"/>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备注</w:t>
            </w:r>
          </w:p>
        </w:tc>
      </w:tr>
      <w:tr w:rsidR="00203CA5" w:rsidRPr="00EB75AA" w:rsidTr="002D4D06">
        <w:trPr>
          <w:cantSplit/>
        </w:trPr>
        <w:tc>
          <w:tcPr>
            <w:tcW w:w="1580" w:type="dxa"/>
            <w:gridSpan w:val="3"/>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卡号：</w:t>
            </w:r>
          </w:p>
        </w:tc>
        <w:tc>
          <w:tcPr>
            <w:tcW w:w="2836" w:type="dxa"/>
            <w:gridSpan w:val="3"/>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车牌号：</w:t>
            </w:r>
          </w:p>
        </w:tc>
        <w:tc>
          <w:tcPr>
            <w:tcW w:w="2599" w:type="dxa"/>
            <w:gridSpan w:val="3"/>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预存金额（元）：</w:t>
            </w:r>
          </w:p>
        </w:tc>
        <w:tc>
          <w:tcPr>
            <w:tcW w:w="1507" w:type="dxa"/>
            <w:gridSpan w:val="3"/>
            <w:vAlign w:val="center"/>
          </w:tcPr>
          <w:p w:rsidR="00203CA5" w:rsidRPr="00EB75AA" w:rsidRDefault="00203CA5" w:rsidP="002D4D06">
            <w:pPr>
              <w:adjustRightInd w:val="0"/>
              <w:spacing w:line="360" w:lineRule="auto"/>
              <w:jc w:val="left"/>
              <w:textAlignment w:val="baseline"/>
              <w:rPr>
                <w:rFonts w:ascii="宋体" w:hAnsi="宋体" w:cs="宋体"/>
                <w:kern w:val="0"/>
                <w:sz w:val="24"/>
              </w:rPr>
            </w:pPr>
            <w:r w:rsidRPr="00EB75AA">
              <w:rPr>
                <w:rFonts w:ascii="宋体" w:hAnsi="宋体" w:cs="宋体" w:hint="eastAsia"/>
                <w:kern w:val="0"/>
                <w:sz w:val="24"/>
              </w:rPr>
              <w:t>加油量（升）：</w:t>
            </w:r>
          </w:p>
        </w:tc>
      </w:tr>
      <w:tr w:rsidR="00203CA5" w:rsidRPr="00EB75AA" w:rsidTr="002D4D06">
        <w:tc>
          <w:tcPr>
            <w:tcW w:w="477"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624"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479"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951"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932"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953"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624"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1024"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951"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479"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552"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476" w:type="dxa"/>
          </w:tcPr>
          <w:p w:rsidR="00203CA5" w:rsidRPr="00EB75AA" w:rsidRDefault="00203CA5" w:rsidP="002D4D06">
            <w:pPr>
              <w:adjustRightInd w:val="0"/>
              <w:spacing w:line="360" w:lineRule="auto"/>
              <w:jc w:val="left"/>
              <w:textAlignment w:val="baseline"/>
              <w:rPr>
                <w:rFonts w:ascii="宋体" w:hAnsi="宋体" w:cs="宋体"/>
                <w:kern w:val="0"/>
                <w:sz w:val="24"/>
              </w:rPr>
            </w:pPr>
          </w:p>
        </w:tc>
      </w:tr>
      <w:tr w:rsidR="00203CA5" w:rsidRPr="00EB75AA" w:rsidTr="002D4D06">
        <w:tc>
          <w:tcPr>
            <w:tcW w:w="477"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624"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479"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951"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932"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953"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624"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1024"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951"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479"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552" w:type="dxa"/>
          </w:tcPr>
          <w:p w:rsidR="00203CA5" w:rsidRPr="00EB75AA" w:rsidRDefault="00203CA5" w:rsidP="002D4D06">
            <w:pPr>
              <w:adjustRightInd w:val="0"/>
              <w:spacing w:line="360" w:lineRule="auto"/>
              <w:jc w:val="left"/>
              <w:textAlignment w:val="baseline"/>
              <w:rPr>
                <w:rFonts w:ascii="宋体" w:hAnsi="宋体" w:cs="宋体"/>
                <w:kern w:val="0"/>
                <w:sz w:val="24"/>
              </w:rPr>
            </w:pPr>
          </w:p>
        </w:tc>
        <w:tc>
          <w:tcPr>
            <w:tcW w:w="476" w:type="dxa"/>
          </w:tcPr>
          <w:p w:rsidR="00203CA5" w:rsidRPr="00EB75AA" w:rsidRDefault="00203CA5" w:rsidP="002D4D06">
            <w:pPr>
              <w:adjustRightInd w:val="0"/>
              <w:spacing w:line="360" w:lineRule="auto"/>
              <w:jc w:val="left"/>
              <w:textAlignment w:val="baseline"/>
              <w:rPr>
                <w:rFonts w:ascii="宋体" w:hAnsi="宋体" w:cs="宋体"/>
                <w:kern w:val="0"/>
                <w:sz w:val="24"/>
              </w:rPr>
            </w:pPr>
          </w:p>
        </w:tc>
      </w:tr>
    </w:tbl>
    <w:p w:rsidR="00203CA5" w:rsidRPr="00EB75AA" w:rsidRDefault="00203CA5" w:rsidP="00203CA5">
      <w:pPr>
        <w:adjustRightInd w:val="0"/>
        <w:spacing w:line="360" w:lineRule="auto"/>
        <w:jc w:val="left"/>
        <w:textAlignment w:val="baseline"/>
        <w:rPr>
          <w:rFonts w:ascii="宋体" w:hAnsi="宋体" w:cs="宋体"/>
          <w:kern w:val="0"/>
          <w:sz w:val="24"/>
        </w:rPr>
      </w:pP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2、系统数据维护由专人负责，如有任何相关信息变更，应及时（24小时以内）书面告知采购人。</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3、中标人向采购人提供加油主卡和副卡。</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4、中标人为采购人购油付款后提供由主卡向副卡分配额度的服务。</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5、中标人定期将优惠金额报表提供给各采购人，并将优惠金额返回到采购人的主卡。</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6、中标人提供的加油副卡，可在中标人提供的全国定点加油站使用。</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7、中标人为采购人提供定点加油手册和加油点分布图。</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8、中标人对加油卡相关信息负有保密责任，未经同意不得向第三方泄露。</w:t>
      </w:r>
    </w:p>
    <w:p w:rsidR="00203CA5" w:rsidRPr="00EB75AA" w:rsidRDefault="00203CA5" w:rsidP="00203CA5">
      <w:pPr>
        <w:adjustRightInd w:val="0"/>
        <w:spacing w:line="360" w:lineRule="auto"/>
        <w:ind w:firstLineChars="200" w:firstLine="480"/>
        <w:jc w:val="left"/>
        <w:textAlignment w:val="baseline"/>
        <w:rPr>
          <w:rFonts w:ascii="宋体" w:hAnsi="宋体" w:cs="宋体"/>
          <w:kern w:val="0"/>
          <w:sz w:val="24"/>
        </w:rPr>
      </w:pPr>
      <w:r w:rsidRPr="00EB75AA">
        <w:rPr>
          <w:rFonts w:ascii="宋体" w:hAnsi="宋体" w:cs="宋体" w:hint="eastAsia"/>
          <w:kern w:val="0"/>
          <w:sz w:val="24"/>
        </w:rPr>
        <w:t>9、中标人加强对员工的日常培训和管理，严格执行车、卡信息一致的一车一卡加油制度。</w:t>
      </w:r>
    </w:p>
    <w:p w:rsidR="00F9787B" w:rsidRPr="00203CA5" w:rsidRDefault="00F9787B" w:rsidP="00203CA5">
      <w:pPr>
        <w:adjustRightInd w:val="0"/>
        <w:spacing w:line="360" w:lineRule="auto"/>
        <w:ind w:firstLineChars="196" w:firstLine="413"/>
        <w:jc w:val="left"/>
        <w:textAlignment w:val="baseline"/>
        <w:rPr>
          <w:b/>
        </w:rPr>
      </w:pPr>
    </w:p>
    <w:sectPr w:rsidR="00F9787B" w:rsidRPr="00203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997" w:rsidRDefault="00676997" w:rsidP="00D3605C">
      <w:r>
        <w:separator/>
      </w:r>
    </w:p>
  </w:endnote>
  <w:endnote w:type="continuationSeparator" w:id="0">
    <w:p w:rsidR="00676997" w:rsidRDefault="00676997" w:rsidP="00D3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997" w:rsidRDefault="00676997" w:rsidP="00D3605C">
      <w:r>
        <w:separator/>
      </w:r>
    </w:p>
  </w:footnote>
  <w:footnote w:type="continuationSeparator" w:id="0">
    <w:p w:rsidR="00676997" w:rsidRDefault="00676997" w:rsidP="00D3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9" w15:restartNumberingAfterBreak="0">
    <w:nsid w:val="03F7ADF3"/>
    <w:multiLevelType w:val="singleLevel"/>
    <w:tmpl w:val="03F7ADF3"/>
    <w:lvl w:ilvl="0">
      <w:start w:val="1"/>
      <w:numFmt w:val="decimal"/>
      <w:lvlText w:val="%1."/>
      <w:lvlJc w:val="left"/>
      <w:pPr>
        <w:tabs>
          <w:tab w:val="left" w:pos="312"/>
        </w:tabs>
      </w:pPr>
    </w:lvl>
  </w:abstractNum>
  <w:abstractNum w:abstractNumId="10"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1"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623CBDEC"/>
    <w:multiLevelType w:val="singleLevel"/>
    <w:tmpl w:val="623CBDEC"/>
    <w:lvl w:ilvl="0">
      <w:start w:val="1"/>
      <w:numFmt w:val="decimal"/>
      <w:lvlText w:val="%1."/>
      <w:lvlJc w:val="left"/>
      <w:pPr>
        <w:tabs>
          <w:tab w:val="left" w:pos="312"/>
        </w:tabs>
      </w:pPr>
    </w:lvl>
  </w:abstractNum>
  <w:abstractNum w:abstractNumId="20"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10"/>
  </w:num>
  <w:num w:numId="5">
    <w:abstractNumId w:val="3"/>
  </w:num>
  <w:num w:numId="6">
    <w:abstractNumId w:val="5"/>
  </w:num>
  <w:num w:numId="7">
    <w:abstractNumId w:val="2"/>
  </w:num>
  <w:num w:numId="8">
    <w:abstractNumId w:val="6"/>
  </w:num>
  <w:num w:numId="9">
    <w:abstractNumId w:val="0"/>
  </w:num>
  <w:num w:numId="10">
    <w:abstractNumId w:val="15"/>
  </w:num>
  <w:num w:numId="11">
    <w:abstractNumId w:val="11"/>
  </w:num>
  <w:num w:numId="12">
    <w:abstractNumId w:val="20"/>
  </w:num>
  <w:num w:numId="13">
    <w:abstractNumId w:val="19"/>
  </w:num>
  <w:num w:numId="14">
    <w:abstractNumId w:val="9"/>
  </w:num>
  <w:num w:numId="15">
    <w:abstractNumId w:val="12"/>
  </w:num>
  <w:num w:numId="16">
    <w:abstractNumId w:val="18"/>
  </w:num>
  <w:num w:numId="17">
    <w:abstractNumId w:val="13"/>
  </w:num>
  <w:num w:numId="18">
    <w:abstractNumId w:val="16"/>
  </w:num>
  <w:num w:numId="19">
    <w:abstractNumId w:val="14"/>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203CA5"/>
    <w:rsid w:val="00225377"/>
    <w:rsid w:val="00560208"/>
    <w:rsid w:val="00676997"/>
    <w:rsid w:val="008F7299"/>
    <w:rsid w:val="00AC6F69"/>
    <w:rsid w:val="00D3605C"/>
    <w:rsid w:val="00F2627B"/>
    <w:rsid w:val="00F639C9"/>
    <w:rsid w:val="00F9787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uiPriority="99"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qFormat/>
  </w:style>
  <w:style w:type="paragraph" w:styleId="ad">
    <w:name w:val="Body Text"/>
    <w:basedOn w:val="a6"/>
    <w:next w:val="110"/>
    <w:link w:val="ae"/>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
    <w:name w:val="Body Text Indent"/>
    <w:basedOn w:val="a6"/>
    <w:next w:val="af0"/>
    <w:link w:val="af1"/>
    <w:qFormat/>
    <w:pPr>
      <w:spacing w:line="360" w:lineRule="auto"/>
      <w:ind w:firstLine="570"/>
    </w:pPr>
    <w:rPr>
      <w:sz w:val="24"/>
    </w:rPr>
  </w:style>
  <w:style w:type="paragraph" w:styleId="af0">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2">
    <w:name w:val="footnote text"/>
    <w:basedOn w:val="a6"/>
    <w:uiPriority w:val="99"/>
    <w:unhideWhenUsed/>
    <w:qFormat/>
    <w:pPr>
      <w:snapToGrid w:val="0"/>
      <w:jc w:val="left"/>
    </w:pPr>
    <w:rPr>
      <w:sz w:val="18"/>
    </w:rPr>
  </w:style>
  <w:style w:type="paragraph" w:styleId="24">
    <w:name w:val="Body Text First Indent 2"/>
    <w:basedOn w:val="af"/>
    <w:link w:val="25"/>
    <w:qFormat/>
    <w:pPr>
      <w:spacing w:after="120" w:line="480" w:lineRule="exact"/>
      <w:ind w:leftChars="200" w:left="420" w:firstLineChars="200" w:firstLine="420"/>
    </w:pPr>
    <w:rPr>
      <w:szCs w:val="20"/>
    </w:rPr>
  </w:style>
  <w:style w:type="table" w:styleId="a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5">
    <w:name w:val="List Paragraph"/>
    <w:basedOn w:val="a6"/>
    <w:link w:val="af6"/>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7">
    <w:name w:val="caption"/>
    <w:basedOn w:val="a6"/>
    <w:next w:val="a6"/>
    <w:qFormat/>
    <w:rsid w:val="00F2627B"/>
    <w:pPr>
      <w:spacing w:line="480" w:lineRule="auto"/>
    </w:pPr>
    <w:rPr>
      <w:rFonts w:ascii="华文中宋" w:eastAsia="华文中宋" w:hAnsi="华文中宋"/>
      <w:sz w:val="36"/>
      <w:szCs w:val="20"/>
    </w:rPr>
  </w:style>
  <w:style w:type="paragraph" w:styleId="af8">
    <w:name w:val="Document Map"/>
    <w:basedOn w:val="a6"/>
    <w:link w:val="af9"/>
    <w:qFormat/>
    <w:rsid w:val="00F2627B"/>
    <w:pPr>
      <w:shd w:val="clear" w:color="auto" w:fill="000080"/>
    </w:pPr>
  </w:style>
  <w:style w:type="character" w:customStyle="1" w:styleId="af9">
    <w:name w:val="文档结构图 字符"/>
    <w:basedOn w:val="a8"/>
    <w:link w:val="af8"/>
    <w:qFormat/>
    <w:rsid w:val="00F2627B"/>
    <w:rPr>
      <w:rFonts w:ascii="Times New Roman" w:hAnsi="Times New Roman"/>
      <w:kern w:val="2"/>
      <w:sz w:val="21"/>
      <w:szCs w:val="24"/>
      <w:shd w:val="clear" w:color="auto" w:fill="000080"/>
    </w:rPr>
  </w:style>
  <w:style w:type="paragraph" w:styleId="afa">
    <w:name w:val="annotation text"/>
    <w:basedOn w:val="a6"/>
    <w:link w:val="13"/>
    <w:uiPriority w:val="99"/>
    <w:qFormat/>
    <w:rsid w:val="00F2627B"/>
    <w:pPr>
      <w:jc w:val="left"/>
    </w:pPr>
  </w:style>
  <w:style w:type="character" w:customStyle="1" w:styleId="afb">
    <w:name w:val="批注文字 字符"/>
    <w:basedOn w:val="a8"/>
    <w:uiPriority w:val="99"/>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c">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d">
    <w:name w:val="Plain Text"/>
    <w:basedOn w:val="a6"/>
    <w:link w:val="26"/>
    <w:qFormat/>
    <w:rsid w:val="00F2627B"/>
    <w:rPr>
      <w:rFonts w:ascii="宋体" w:hAnsi="Courier New"/>
      <w:szCs w:val="20"/>
    </w:rPr>
  </w:style>
  <w:style w:type="character" w:customStyle="1" w:styleId="afe">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
    <w:name w:val="Date"/>
    <w:basedOn w:val="a6"/>
    <w:next w:val="a6"/>
    <w:link w:val="aff0"/>
    <w:qFormat/>
    <w:rsid w:val="00F2627B"/>
    <w:pPr>
      <w:ind w:leftChars="2500" w:left="100"/>
    </w:pPr>
    <w:rPr>
      <w:rFonts w:ascii="仿宋_GB2312" w:eastAsia="仿宋_GB2312" w:hAnsi="宋体"/>
      <w:color w:val="000000"/>
      <w:sz w:val="24"/>
    </w:rPr>
  </w:style>
  <w:style w:type="character" w:customStyle="1" w:styleId="aff0">
    <w:name w:val="日期 字符"/>
    <w:basedOn w:val="a8"/>
    <w:link w:val="aff"/>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1">
    <w:name w:val="Balloon Text"/>
    <w:basedOn w:val="a6"/>
    <w:link w:val="aff2"/>
    <w:qFormat/>
    <w:rsid w:val="00F2627B"/>
    <w:rPr>
      <w:sz w:val="18"/>
      <w:szCs w:val="18"/>
    </w:rPr>
  </w:style>
  <w:style w:type="character" w:customStyle="1" w:styleId="aff2">
    <w:name w:val="批注框文本 字符"/>
    <w:basedOn w:val="a8"/>
    <w:link w:val="aff1"/>
    <w:qFormat/>
    <w:rsid w:val="00F2627B"/>
    <w:rPr>
      <w:rFonts w:ascii="Times New Roman" w:hAnsi="Times New Roman"/>
      <w:kern w:val="2"/>
      <w:sz w:val="18"/>
      <w:szCs w:val="18"/>
    </w:rPr>
  </w:style>
  <w:style w:type="paragraph" w:styleId="aff3">
    <w:name w:val="footer"/>
    <w:basedOn w:val="a6"/>
    <w:link w:val="aff4"/>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4">
    <w:name w:val="页脚 字符"/>
    <w:basedOn w:val="a8"/>
    <w:link w:val="aff3"/>
    <w:uiPriority w:val="99"/>
    <w:qFormat/>
    <w:rsid w:val="00F2627B"/>
    <w:rPr>
      <w:rFonts w:ascii="宋体" w:hAnsi="Times New Roman"/>
      <w:sz w:val="18"/>
    </w:rPr>
  </w:style>
  <w:style w:type="paragraph" w:styleId="aff5">
    <w:name w:val="header"/>
    <w:basedOn w:val="a6"/>
    <w:link w:val="aff6"/>
    <w:qFormat/>
    <w:rsid w:val="00F2627B"/>
    <w:pPr>
      <w:pBdr>
        <w:bottom w:val="single" w:sz="6" w:space="1" w:color="auto"/>
      </w:pBdr>
      <w:tabs>
        <w:tab w:val="center" w:pos="4153"/>
        <w:tab w:val="right" w:pos="8306"/>
      </w:tabs>
      <w:snapToGrid w:val="0"/>
      <w:jc w:val="center"/>
    </w:pPr>
    <w:rPr>
      <w:sz w:val="18"/>
      <w:szCs w:val="18"/>
    </w:rPr>
  </w:style>
  <w:style w:type="character" w:customStyle="1" w:styleId="aff6">
    <w:name w:val="页眉 字符"/>
    <w:basedOn w:val="a8"/>
    <w:link w:val="aff5"/>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7">
    <w:name w:val="Normal (Web)"/>
    <w:basedOn w:val="a6"/>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8">
    <w:name w:val="Title"/>
    <w:basedOn w:val="a6"/>
    <w:link w:val="aff9"/>
    <w:qFormat/>
    <w:rsid w:val="00F2627B"/>
    <w:pPr>
      <w:jc w:val="center"/>
      <w:outlineLvl w:val="0"/>
    </w:pPr>
    <w:rPr>
      <w:b/>
      <w:sz w:val="32"/>
      <w:szCs w:val="20"/>
    </w:rPr>
  </w:style>
  <w:style w:type="character" w:customStyle="1" w:styleId="aff9">
    <w:name w:val="标题 字符"/>
    <w:basedOn w:val="a8"/>
    <w:link w:val="aff8"/>
    <w:qFormat/>
    <w:rsid w:val="00F2627B"/>
    <w:rPr>
      <w:rFonts w:ascii="Times New Roman" w:hAnsi="Times New Roman"/>
      <w:b/>
      <w:kern w:val="2"/>
      <w:sz w:val="32"/>
    </w:rPr>
  </w:style>
  <w:style w:type="paragraph" w:styleId="affa">
    <w:name w:val="annotation subject"/>
    <w:basedOn w:val="afa"/>
    <w:next w:val="afa"/>
    <w:link w:val="affb"/>
    <w:qFormat/>
    <w:rsid w:val="00F2627B"/>
    <w:rPr>
      <w:b/>
      <w:bCs/>
    </w:rPr>
  </w:style>
  <w:style w:type="character" w:customStyle="1" w:styleId="affb">
    <w:name w:val="批注主题 字符"/>
    <w:basedOn w:val="afb"/>
    <w:link w:val="affa"/>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c">
    <w:name w:val="Strong"/>
    <w:qFormat/>
    <w:rsid w:val="00F2627B"/>
    <w:rPr>
      <w:b/>
      <w:bCs/>
    </w:rPr>
  </w:style>
  <w:style w:type="character" w:styleId="affd">
    <w:name w:val="page number"/>
    <w:qFormat/>
    <w:rsid w:val="00F2627B"/>
  </w:style>
  <w:style w:type="character" w:styleId="affe">
    <w:name w:val="FollowedHyperlink"/>
    <w:qFormat/>
    <w:rsid w:val="00F2627B"/>
    <w:rPr>
      <w:color w:val="800080"/>
      <w:u w:val="single"/>
    </w:rPr>
  </w:style>
  <w:style w:type="character" w:styleId="afff">
    <w:name w:val="Emphasis"/>
    <w:qFormat/>
    <w:rsid w:val="00F2627B"/>
    <w:rPr>
      <w:color w:val="CC0033"/>
    </w:rPr>
  </w:style>
  <w:style w:type="character" w:styleId="afff0">
    <w:name w:val="Hyperlink"/>
    <w:uiPriority w:val="99"/>
    <w:qFormat/>
    <w:rsid w:val="00F2627B"/>
    <w:rPr>
      <w:color w:val="0000FF"/>
      <w:u w:val="single"/>
    </w:rPr>
  </w:style>
  <w:style w:type="character" w:styleId="afff1">
    <w:name w:val="annotation reference"/>
    <w:uiPriority w:val="99"/>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2"/>
    <w:qFormat/>
    <w:locked/>
    <w:rsid w:val="00F2627B"/>
    <w:rPr>
      <w:rFonts w:ascii="宋体" w:hAnsi="宋体"/>
      <w:sz w:val="24"/>
      <w:szCs w:val="24"/>
      <w:lang w:val="en-GB"/>
    </w:rPr>
  </w:style>
  <w:style w:type="paragraph" w:customStyle="1" w:styleId="afff2">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3"/>
    <w:qFormat/>
    <w:rsid w:val="00F2627B"/>
    <w:rPr>
      <w:rFonts w:ascii="宋体" w:hAnsi="宋体"/>
      <w:color w:val="000000"/>
      <w:kern w:val="2"/>
      <w:sz w:val="21"/>
      <w:szCs w:val="21"/>
    </w:rPr>
  </w:style>
  <w:style w:type="paragraph" w:customStyle="1" w:styleId="afff3">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4"/>
    <w:qFormat/>
    <w:rsid w:val="00F2627B"/>
    <w:rPr>
      <w:rFonts w:ascii="宋体" w:hAnsi="宋体"/>
      <w:kern w:val="2"/>
      <w:sz w:val="21"/>
      <w:szCs w:val="21"/>
    </w:rPr>
  </w:style>
  <w:style w:type="paragraph" w:customStyle="1" w:styleId="afff4">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d"/>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5"/>
    <w:qFormat/>
    <w:rsid w:val="00F2627B"/>
    <w:rPr>
      <w:b/>
      <w:sz w:val="24"/>
    </w:rPr>
  </w:style>
  <w:style w:type="paragraph" w:customStyle="1" w:styleId="afff5">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a"/>
    <w:uiPriority w:val="99"/>
    <w:qFormat/>
    <w:rsid w:val="00F2627B"/>
    <w:rPr>
      <w:rFonts w:ascii="Times New Roman" w:hAnsi="Times New Roman"/>
      <w:kern w:val="2"/>
      <w:sz w:val="21"/>
      <w:szCs w:val="24"/>
    </w:rPr>
  </w:style>
  <w:style w:type="character" w:customStyle="1" w:styleId="Char6">
    <w:name w:val="正文小标题 Char"/>
    <w:link w:val="afff6"/>
    <w:qFormat/>
    <w:rsid w:val="00F2627B"/>
    <w:rPr>
      <w:rFonts w:ascii="宋体" w:hAnsi="宋体"/>
      <w:b/>
      <w:i/>
      <w:color w:val="FF0000"/>
      <w:kern w:val="2"/>
      <w:sz w:val="24"/>
    </w:rPr>
  </w:style>
  <w:style w:type="paragraph" w:customStyle="1" w:styleId="afff6">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6">
    <w:name w:val="列出段落 字符"/>
    <w:link w:val="af5"/>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7"/>
    <w:qFormat/>
    <w:rsid w:val="00F2627B"/>
    <w:rPr>
      <w:rFonts w:ascii="宋体" w:hAnsi="宋体"/>
      <w:b/>
      <w:color w:val="000000"/>
      <w:kern w:val="2"/>
      <w:sz w:val="28"/>
      <w:szCs w:val="21"/>
    </w:rPr>
  </w:style>
  <w:style w:type="paragraph" w:customStyle="1" w:styleId="afff7">
    <w:name w:val="正文大标题"/>
    <w:basedOn w:val="afff6"/>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e">
    <w:name w:val="正文文本 字符"/>
    <w:link w:val="ad"/>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1">
    <w:name w:val="正文文本缩进 字符"/>
    <w:link w:val="af"/>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8">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a">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b"/>
    <w:next w:val="a6"/>
    <w:qFormat/>
    <w:rsid w:val="00F2627B"/>
    <w:pPr>
      <w:numPr>
        <w:ilvl w:val="3"/>
        <w:numId w:val="1"/>
      </w:numPr>
      <w:ind w:left="0" w:hanging="840"/>
      <w:outlineLvl w:val="3"/>
    </w:pPr>
  </w:style>
  <w:style w:type="paragraph" w:customStyle="1" w:styleId="afffb">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c">
    <w:name w:val="缺省文本"/>
    <w:basedOn w:val="a6"/>
    <w:qFormat/>
    <w:rsid w:val="00F2627B"/>
    <w:pPr>
      <w:autoSpaceDE w:val="0"/>
      <w:autoSpaceDN w:val="0"/>
      <w:adjustRightInd w:val="0"/>
      <w:jc w:val="left"/>
    </w:pPr>
    <w:rPr>
      <w:kern w:val="0"/>
      <w:sz w:val="24"/>
    </w:rPr>
  </w:style>
  <w:style w:type="paragraph" w:customStyle="1" w:styleId="afffd">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e">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0">
    <w:name w:val="正文文本样式 加粗"/>
    <w:basedOn w:val="affff1"/>
    <w:qFormat/>
    <w:rsid w:val="00F2627B"/>
    <w:rPr>
      <w:b/>
    </w:rPr>
  </w:style>
  <w:style w:type="paragraph" w:customStyle="1" w:styleId="affff1">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2">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3">
    <w:name w:val="No Spacing"/>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8"/>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4">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1"/>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5">
    <w:name w:val="表格文字"/>
    <w:basedOn w:val="af"/>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6">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1"/>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sid w:val="00F2627B"/>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2024-03-08T03:39:00Z</dcterms:created>
  <dcterms:modified xsi:type="dcterms:W3CDTF">2024-07-31T01:09:00Z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