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248600">
      <w:pPr>
        <w:spacing w:line="360" w:lineRule="auto"/>
        <w:ind w:firstLine="300" w:firstLineChars="50"/>
        <w:rPr>
          <w:color w:val="auto"/>
          <w:sz w:val="60"/>
          <w:szCs w:val="60"/>
          <w:highlight w:val="none"/>
        </w:rPr>
      </w:pPr>
    </w:p>
    <w:p w14:paraId="05D56EBF">
      <w:pPr>
        <w:spacing w:line="360" w:lineRule="auto"/>
        <w:ind w:firstLine="300" w:firstLineChars="50"/>
        <w:rPr>
          <w:color w:val="auto"/>
          <w:sz w:val="60"/>
          <w:szCs w:val="60"/>
          <w:highlight w:val="none"/>
        </w:rPr>
      </w:pPr>
    </w:p>
    <w:p w14:paraId="50535165">
      <w:pPr>
        <w:jc w:val="center"/>
        <w:rPr>
          <w:b/>
          <w:bCs/>
          <w:color w:val="auto"/>
          <w:sz w:val="60"/>
          <w:szCs w:val="60"/>
          <w:highlight w:val="none"/>
        </w:rPr>
      </w:pPr>
      <w:r>
        <w:rPr>
          <w:b/>
          <w:bCs/>
          <w:color w:val="auto"/>
          <w:sz w:val="60"/>
          <w:szCs w:val="60"/>
          <w:highlight w:val="none"/>
        </w:rPr>
        <w:t>北京市政府采购项目</w:t>
      </w:r>
    </w:p>
    <w:p w14:paraId="205C63E5">
      <w:pPr>
        <w:jc w:val="center"/>
        <w:rPr>
          <w:b/>
          <w:bCs/>
          <w:color w:val="auto"/>
          <w:sz w:val="60"/>
          <w:szCs w:val="60"/>
          <w:highlight w:val="none"/>
        </w:rPr>
      </w:pPr>
      <w:r>
        <w:rPr>
          <w:b/>
          <w:bCs/>
          <w:color w:val="auto"/>
          <w:sz w:val="60"/>
          <w:szCs w:val="60"/>
          <w:highlight w:val="none"/>
        </w:rPr>
        <w:t>公开招标文件</w:t>
      </w:r>
    </w:p>
    <w:p w14:paraId="74E7A3DA">
      <w:pPr>
        <w:spacing w:line="360" w:lineRule="auto"/>
        <w:jc w:val="center"/>
        <w:rPr>
          <w:color w:val="auto"/>
          <w:sz w:val="60"/>
          <w:szCs w:val="60"/>
          <w:highlight w:val="none"/>
        </w:rPr>
      </w:pPr>
    </w:p>
    <w:p w14:paraId="380414FE">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项目名称：</w:t>
      </w:r>
      <w:r>
        <w:rPr>
          <w:rFonts w:hint="eastAsia"/>
          <w:bCs/>
          <w:color w:val="auto"/>
          <w:sz w:val="36"/>
          <w:szCs w:val="36"/>
          <w:highlight w:val="none"/>
        </w:rPr>
        <w:t>北京肿瘤医院保洁服务采购项目</w:t>
      </w:r>
    </w:p>
    <w:p w14:paraId="0F90F506">
      <w:pPr>
        <w:tabs>
          <w:tab w:val="left" w:pos="3240"/>
          <w:tab w:val="left" w:pos="3420"/>
        </w:tabs>
        <w:spacing w:line="360" w:lineRule="auto"/>
        <w:ind w:left="2832" w:leftChars="444" w:hanging="1900" w:hangingChars="528"/>
        <w:jc w:val="left"/>
        <w:rPr>
          <w:bCs/>
          <w:color w:val="auto"/>
          <w:sz w:val="36"/>
          <w:szCs w:val="36"/>
          <w:highlight w:val="none"/>
        </w:rPr>
      </w:pPr>
      <w:r>
        <w:rPr>
          <w:rFonts w:hint="eastAsia"/>
          <w:bCs/>
          <w:color w:val="auto"/>
          <w:sz w:val="36"/>
          <w:szCs w:val="36"/>
          <w:highlight w:val="none"/>
        </w:rPr>
        <w:t>采购编号</w:t>
      </w:r>
      <w:r>
        <w:rPr>
          <w:bCs/>
          <w:color w:val="auto"/>
          <w:sz w:val="36"/>
          <w:szCs w:val="36"/>
          <w:highlight w:val="none"/>
        </w:rPr>
        <w:t>：</w:t>
      </w:r>
      <w:r>
        <w:rPr>
          <w:rFonts w:hint="eastAsia"/>
          <w:bCs/>
          <w:color w:val="auto"/>
          <w:sz w:val="36"/>
          <w:szCs w:val="36"/>
          <w:highlight w:val="none"/>
        </w:rPr>
        <w:t>BGPC-G24229</w:t>
      </w:r>
    </w:p>
    <w:p w14:paraId="6BF2DAF4">
      <w:pPr>
        <w:tabs>
          <w:tab w:val="left" w:pos="3240"/>
          <w:tab w:val="left" w:pos="3420"/>
        </w:tabs>
        <w:spacing w:line="360" w:lineRule="auto"/>
        <w:ind w:left="2832" w:leftChars="444" w:hanging="1900" w:hangingChars="528"/>
        <w:jc w:val="left"/>
        <w:rPr>
          <w:bCs/>
          <w:color w:val="auto"/>
          <w:sz w:val="36"/>
          <w:szCs w:val="36"/>
          <w:highlight w:val="none"/>
        </w:rPr>
      </w:pPr>
      <w:r>
        <w:rPr>
          <w:bCs/>
          <w:color w:val="auto"/>
          <w:sz w:val="36"/>
          <w:szCs w:val="36"/>
          <w:highlight w:val="none"/>
        </w:rPr>
        <w:t>采 购 人：</w:t>
      </w:r>
      <w:r>
        <w:rPr>
          <w:rFonts w:hint="eastAsia"/>
          <w:bCs/>
          <w:color w:val="auto"/>
          <w:sz w:val="36"/>
          <w:szCs w:val="36"/>
          <w:highlight w:val="none"/>
        </w:rPr>
        <w:t>北京肿瘤医院</w:t>
      </w:r>
    </w:p>
    <w:p w14:paraId="0A2FD32E">
      <w:pPr>
        <w:tabs>
          <w:tab w:val="left" w:pos="3240"/>
          <w:tab w:val="left" w:pos="3420"/>
        </w:tabs>
        <w:spacing w:line="360" w:lineRule="auto"/>
        <w:ind w:left="3452" w:leftChars="444" w:hanging="2520" w:hangingChars="700"/>
        <w:jc w:val="left"/>
        <w:rPr>
          <w:bCs/>
          <w:color w:val="auto"/>
          <w:sz w:val="36"/>
          <w:szCs w:val="36"/>
          <w:highlight w:val="none"/>
        </w:rPr>
      </w:pPr>
      <w:r>
        <w:rPr>
          <w:bCs/>
          <w:color w:val="auto"/>
          <w:sz w:val="36"/>
          <w:szCs w:val="36"/>
          <w:highlight w:val="none"/>
        </w:rPr>
        <w:t>采购代理机构：</w:t>
      </w:r>
      <w:r>
        <w:rPr>
          <w:rFonts w:hint="eastAsia"/>
          <w:bCs/>
          <w:color w:val="auto"/>
          <w:sz w:val="36"/>
          <w:szCs w:val="36"/>
          <w:highlight w:val="none"/>
        </w:rPr>
        <w:t>北京市公共资源交易中心</w:t>
      </w:r>
    </w:p>
    <w:p w14:paraId="2EF77AA8">
      <w:pPr>
        <w:tabs>
          <w:tab w:val="left" w:pos="3240"/>
          <w:tab w:val="left" w:pos="3420"/>
        </w:tabs>
        <w:spacing w:line="360" w:lineRule="auto"/>
        <w:ind w:left="3446" w:leftChars="1641"/>
        <w:jc w:val="left"/>
        <w:rPr>
          <w:bCs/>
          <w:color w:val="auto"/>
          <w:sz w:val="36"/>
          <w:szCs w:val="36"/>
          <w:highlight w:val="none"/>
        </w:rPr>
      </w:pPr>
      <w:r>
        <w:rPr>
          <w:rFonts w:hint="eastAsia"/>
          <w:bCs/>
          <w:color w:val="auto"/>
          <w:sz w:val="36"/>
          <w:szCs w:val="36"/>
          <w:highlight w:val="none"/>
        </w:rPr>
        <w:t>（北京市政府采购中心）</w:t>
      </w:r>
    </w:p>
    <w:p w14:paraId="092BAC3C">
      <w:pPr>
        <w:widowControl/>
        <w:jc w:val="left"/>
        <w:rPr>
          <w:b/>
          <w:bCs/>
          <w:color w:val="auto"/>
          <w:sz w:val="44"/>
          <w:highlight w:val="none"/>
        </w:rPr>
      </w:pPr>
      <w:r>
        <w:rPr>
          <w:b/>
          <w:bCs/>
          <w:color w:val="auto"/>
          <w:sz w:val="44"/>
          <w:highlight w:val="none"/>
        </w:rPr>
        <w:br w:type="page"/>
      </w:r>
    </w:p>
    <w:p w14:paraId="30826DEB">
      <w:pPr>
        <w:spacing w:line="360" w:lineRule="auto"/>
        <w:jc w:val="center"/>
        <w:outlineLvl w:val="0"/>
        <w:rPr>
          <w:b/>
          <w:color w:val="auto"/>
          <w:sz w:val="36"/>
          <w:szCs w:val="36"/>
          <w:highlight w:val="none"/>
        </w:rPr>
      </w:pPr>
      <w:bookmarkStart w:id="0" w:name="_Toc26721"/>
      <w:bookmarkStart w:id="1" w:name="_Toc99301418"/>
      <w:r>
        <w:rPr>
          <w:b/>
          <w:color w:val="auto"/>
          <w:sz w:val="36"/>
          <w:szCs w:val="36"/>
          <w:highlight w:val="none"/>
        </w:rPr>
        <w:t>目      录</w:t>
      </w:r>
      <w:bookmarkEnd w:id="0"/>
      <w:bookmarkEnd w:id="1"/>
    </w:p>
    <w:p w14:paraId="648EC10D">
      <w:pPr>
        <w:rPr>
          <w:color w:val="auto"/>
          <w:highlight w:val="none"/>
        </w:rPr>
      </w:pPr>
    </w:p>
    <w:p w14:paraId="2D753A01">
      <w:pPr>
        <w:rPr>
          <w:color w:val="auto"/>
          <w:highlight w:val="none"/>
        </w:rPr>
      </w:pPr>
    </w:p>
    <w:p w14:paraId="66759669">
      <w:pPr>
        <w:rPr>
          <w:color w:val="auto"/>
          <w:highlight w:val="none"/>
        </w:rPr>
      </w:pPr>
    </w:p>
    <w:p w14:paraId="13196A86">
      <w:pPr>
        <w:pStyle w:val="31"/>
        <w:tabs>
          <w:tab w:val="right" w:leader="dot" w:pos="9072"/>
          <w:tab w:val="clear" w:pos="1050"/>
          <w:tab w:val="clear" w:pos="8937"/>
        </w:tabs>
        <w:spacing w:line="360" w:lineRule="auto"/>
        <w:rPr>
          <w:color w:val="auto"/>
          <w:highlight w:val="none"/>
        </w:rPr>
      </w:pPr>
      <w:r>
        <w:rPr>
          <w:rFonts w:ascii="Times New Roman" w:hAnsi="Times New Roman"/>
          <w:b w:val="0"/>
          <w:color w:val="auto"/>
          <w:highlight w:val="none"/>
        </w:rPr>
        <w:fldChar w:fldCharType="begin"/>
      </w:r>
      <w:r>
        <w:rPr>
          <w:rFonts w:ascii="Times New Roman" w:hAnsi="Times New Roman"/>
          <w:b w:val="0"/>
          <w:color w:val="auto"/>
          <w:highlight w:val="none"/>
        </w:rPr>
        <w:instrText xml:space="preserve"> TOC \o "1-1" \h \z \u </w:instrText>
      </w:r>
      <w:r>
        <w:rPr>
          <w:rFonts w:ascii="Times New Roman" w:hAnsi="Times New Roman"/>
          <w:b w:val="0"/>
          <w:color w:val="auto"/>
          <w:highlight w:val="none"/>
        </w:rPr>
        <w:fldChar w:fldCharType="separate"/>
      </w:r>
      <w:r>
        <w:rPr>
          <w:color w:val="auto"/>
          <w:highlight w:val="none"/>
        </w:rPr>
        <w:fldChar w:fldCharType="begin"/>
      </w:r>
      <w:r>
        <w:rPr>
          <w:color w:val="auto"/>
          <w:highlight w:val="none"/>
        </w:rPr>
        <w:instrText xml:space="preserve"> HYPERLINK \l "_Toc10799" </w:instrText>
      </w:r>
      <w:r>
        <w:rPr>
          <w:color w:val="auto"/>
          <w:highlight w:val="none"/>
        </w:rPr>
        <w:fldChar w:fldCharType="separate"/>
      </w:r>
      <w:r>
        <w:rPr>
          <w:color w:val="auto"/>
          <w:szCs w:val="36"/>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_Toc10799 \h </w:instrText>
      </w:r>
      <w:r>
        <w:rPr>
          <w:color w:val="auto"/>
          <w:highlight w:val="none"/>
        </w:rPr>
        <w:fldChar w:fldCharType="separate"/>
      </w:r>
      <w:r>
        <w:rPr>
          <w:color w:val="auto"/>
          <w:highlight w:val="none"/>
          <w:lang/>
        </w:rPr>
        <w:t>2</w:t>
      </w:r>
      <w:r>
        <w:rPr>
          <w:color w:val="auto"/>
          <w:highlight w:val="none"/>
        </w:rPr>
        <w:fldChar w:fldCharType="end"/>
      </w:r>
      <w:r>
        <w:rPr>
          <w:color w:val="auto"/>
          <w:highlight w:val="none"/>
        </w:rPr>
        <w:fldChar w:fldCharType="end"/>
      </w:r>
    </w:p>
    <w:p w14:paraId="35F96A3B">
      <w:pPr>
        <w:pStyle w:val="31"/>
        <w:tabs>
          <w:tab w:val="right" w:leader="dot" w:pos="9072"/>
          <w:tab w:val="clear" w:pos="1050"/>
          <w:tab w:val="clear" w:pos="8937"/>
        </w:tabs>
        <w:spacing w:line="360" w:lineRule="auto"/>
        <w:rPr>
          <w:color w:val="auto"/>
          <w:highlight w:val="none"/>
        </w:rPr>
      </w:pPr>
      <w:r>
        <w:rPr>
          <w:color w:val="auto"/>
          <w:highlight w:val="none"/>
        </w:rPr>
        <w:fldChar w:fldCharType="begin"/>
      </w:r>
      <w:r>
        <w:rPr>
          <w:color w:val="auto"/>
          <w:highlight w:val="none"/>
        </w:rPr>
        <w:instrText xml:space="preserve"> HYPERLINK \l "_Toc19924" </w:instrText>
      </w:r>
      <w:r>
        <w:rPr>
          <w:color w:val="auto"/>
          <w:highlight w:val="none"/>
        </w:rPr>
        <w:fldChar w:fldCharType="separate"/>
      </w:r>
      <w:r>
        <w:rPr>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_Toc19924 \h </w:instrText>
      </w:r>
      <w:r>
        <w:rPr>
          <w:color w:val="auto"/>
          <w:highlight w:val="none"/>
        </w:rPr>
        <w:fldChar w:fldCharType="separate"/>
      </w:r>
      <w:r>
        <w:rPr>
          <w:color w:val="auto"/>
          <w:highlight w:val="none"/>
          <w:lang/>
        </w:rPr>
        <w:t>6</w:t>
      </w:r>
      <w:r>
        <w:rPr>
          <w:color w:val="auto"/>
          <w:highlight w:val="none"/>
        </w:rPr>
        <w:fldChar w:fldCharType="end"/>
      </w:r>
      <w:r>
        <w:rPr>
          <w:color w:val="auto"/>
          <w:highlight w:val="none"/>
        </w:rPr>
        <w:fldChar w:fldCharType="end"/>
      </w:r>
    </w:p>
    <w:p w14:paraId="39E862D3">
      <w:pPr>
        <w:pStyle w:val="31"/>
        <w:tabs>
          <w:tab w:val="right" w:leader="dot" w:pos="9072"/>
          <w:tab w:val="clear" w:pos="1050"/>
          <w:tab w:val="clear" w:pos="8937"/>
        </w:tabs>
        <w:spacing w:line="360" w:lineRule="auto"/>
        <w:rPr>
          <w:color w:val="auto"/>
          <w:highlight w:val="none"/>
        </w:rPr>
      </w:pPr>
      <w:r>
        <w:rPr>
          <w:color w:val="auto"/>
          <w:highlight w:val="none"/>
        </w:rPr>
        <w:fldChar w:fldCharType="begin"/>
      </w:r>
      <w:r>
        <w:rPr>
          <w:color w:val="auto"/>
          <w:highlight w:val="none"/>
        </w:rPr>
        <w:instrText xml:space="preserve"> HYPERLINK \l "_Toc29864" </w:instrText>
      </w:r>
      <w:r>
        <w:rPr>
          <w:color w:val="auto"/>
          <w:highlight w:val="none"/>
        </w:rPr>
        <w:fldChar w:fldCharType="separate"/>
      </w:r>
      <w:r>
        <w:rPr>
          <w:color w:val="auto"/>
          <w:szCs w:val="36"/>
          <w:highlight w:val="none"/>
        </w:rPr>
        <w:t>第三章   资格审查</w:t>
      </w:r>
      <w:r>
        <w:rPr>
          <w:color w:val="auto"/>
          <w:highlight w:val="none"/>
        </w:rPr>
        <w:tab/>
      </w:r>
      <w:r>
        <w:rPr>
          <w:color w:val="auto"/>
          <w:highlight w:val="none"/>
        </w:rPr>
        <w:fldChar w:fldCharType="begin"/>
      </w:r>
      <w:r>
        <w:rPr>
          <w:color w:val="auto"/>
          <w:highlight w:val="none"/>
        </w:rPr>
        <w:instrText xml:space="preserve"> PAGEREF _Toc29864 \h </w:instrText>
      </w:r>
      <w:r>
        <w:rPr>
          <w:color w:val="auto"/>
          <w:highlight w:val="none"/>
        </w:rPr>
        <w:fldChar w:fldCharType="separate"/>
      </w:r>
      <w:r>
        <w:rPr>
          <w:color w:val="auto"/>
          <w:highlight w:val="none"/>
          <w:lang/>
        </w:rPr>
        <w:t>20</w:t>
      </w:r>
      <w:r>
        <w:rPr>
          <w:color w:val="auto"/>
          <w:highlight w:val="none"/>
        </w:rPr>
        <w:fldChar w:fldCharType="end"/>
      </w:r>
      <w:r>
        <w:rPr>
          <w:color w:val="auto"/>
          <w:highlight w:val="none"/>
        </w:rPr>
        <w:fldChar w:fldCharType="end"/>
      </w:r>
    </w:p>
    <w:p w14:paraId="2767D109">
      <w:pPr>
        <w:pStyle w:val="31"/>
        <w:tabs>
          <w:tab w:val="right" w:leader="dot" w:pos="9072"/>
          <w:tab w:val="clear" w:pos="1050"/>
          <w:tab w:val="clear" w:pos="8937"/>
        </w:tabs>
        <w:spacing w:line="360" w:lineRule="auto"/>
        <w:rPr>
          <w:color w:val="auto"/>
          <w:highlight w:val="none"/>
        </w:rPr>
      </w:pPr>
      <w:r>
        <w:rPr>
          <w:color w:val="auto"/>
          <w:highlight w:val="none"/>
        </w:rPr>
        <w:fldChar w:fldCharType="begin"/>
      </w:r>
      <w:r>
        <w:rPr>
          <w:color w:val="auto"/>
          <w:highlight w:val="none"/>
        </w:rPr>
        <w:instrText xml:space="preserve"> HYPERLINK \l "_Toc9232" </w:instrText>
      </w:r>
      <w:r>
        <w:rPr>
          <w:color w:val="auto"/>
          <w:highlight w:val="none"/>
        </w:rPr>
        <w:fldChar w:fldCharType="separate"/>
      </w:r>
      <w:r>
        <w:rPr>
          <w:color w:val="auto"/>
          <w:szCs w:val="36"/>
          <w:highlight w:val="none"/>
        </w:rPr>
        <w:t>第四章   评标程序、评标方法和评标标准</w:t>
      </w:r>
      <w:r>
        <w:rPr>
          <w:color w:val="auto"/>
          <w:highlight w:val="none"/>
        </w:rPr>
        <w:tab/>
      </w:r>
      <w:r>
        <w:rPr>
          <w:color w:val="auto"/>
          <w:highlight w:val="none"/>
        </w:rPr>
        <w:fldChar w:fldCharType="begin"/>
      </w:r>
      <w:r>
        <w:rPr>
          <w:color w:val="auto"/>
          <w:highlight w:val="none"/>
        </w:rPr>
        <w:instrText xml:space="preserve"> PAGEREF _Toc9232 \h </w:instrText>
      </w:r>
      <w:r>
        <w:rPr>
          <w:color w:val="auto"/>
          <w:highlight w:val="none"/>
        </w:rPr>
        <w:fldChar w:fldCharType="separate"/>
      </w:r>
      <w:r>
        <w:rPr>
          <w:color w:val="auto"/>
          <w:highlight w:val="none"/>
          <w:lang/>
        </w:rPr>
        <w:t>22</w:t>
      </w:r>
      <w:r>
        <w:rPr>
          <w:color w:val="auto"/>
          <w:highlight w:val="none"/>
        </w:rPr>
        <w:fldChar w:fldCharType="end"/>
      </w:r>
      <w:r>
        <w:rPr>
          <w:color w:val="auto"/>
          <w:highlight w:val="none"/>
        </w:rPr>
        <w:fldChar w:fldCharType="end"/>
      </w:r>
    </w:p>
    <w:p w14:paraId="770F9F48">
      <w:pPr>
        <w:pStyle w:val="31"/>
        <w:tabs>
          <w:tab w:val="right" w:leader="dot" w:pos="9072"/>
          <w:tab w:val="clear" w:pos="1050"/>
          <w:tab w:val="clear" w:pos="8937"/>
        </w:tabs>
        <w:spacing w:line="360" w:lineRule="auto"/>
        <w:rPr>
          <w:color w:val="auto"/>
          <w:highlight w:val="none"/>
        </w:rPr>
      </w:pPr>
      <w:r>
        <w:rPr>
          <w:color w:val="auto"/>
          <w:highlight w:val="none"/>
        </w:rPr>
        <w:fldChar w:fldCharType="begin"/>
      </w:r>
      <w:r>
        <w:rPr>
          <w:color w:val="auto"/>
          <w:highlight w:val="none"/>
        </w:rPr>
        <w:instrText xml:space="preserve"> HYPERLINK \l "_Toc24225" </w:instrText>
      </w:r>
      <w:r>
        <w:rPr>
          <w:color w:val="auto"/>
          <w:highlight w:val="none"/>
        </w:rPr>
        <w:fldChar w:fldCharType="separate"/>
      </w:r>
      <w:r>
        <w:rPr>
          <w:color w:val="auto"/>
          <w:szCs w:val="36"/>
          <w:highlight w:val="none"/>
        </w:rPr>
        <w:t>第五章   采购需求</w:t>
      </w:r>
      <w:r>
        <w:rPr>
          <w:color w:val="auto"/>
          <w:highlight w:val="none"/>
        </w:rPr>
        <w:tab/>
      </w:r>
      <w:r>
        <w:rPr>
          <w:color w:val="auto"/>
          <w:highlight w:val="none"/>
        </w:rPr>
        <w:fldChar w:fldCharType="begin"/>
      </w:r>
      <w:r>
        <w:rPr>
          <w:color w:val="auto"/>
          <w:highlight w:val="none"/>
        </w:rPr>
        <w:instrText xml:space="preserve"> PAGEREF _Toc24225 \h </w:instrText>
      </w:r>
      <w:r>
        <w:rPr>
          <w:color w:val="auto"/>
          <w:highlight w:val="none"/>
        </w:rPr>
        <w:fldChar w:fldCharType="separate"/>
      </w:r>
      <w:r>
        <w:rPr>
          <w:color w:val="auto"/>
          <w:highlight w:val="none"/>
          <w:lang/>
        </w:rPr>
        <w:t>30</w:t>
      </w:r>
      <w:r>
        <w:rPr>
          <w:color w:val="auto"/>
          <w:highlight w:val="none"/>
        </w:rPr>
        <w:fldChar w:fldCharType="end"/>
      </w:r>
      <w:r>
        <w:rPr>
          <w:color w:val="auto"/>
          <w:highlight w:val="none"/>
        </w:rPr>
        <w:fldChar w:fldCharType="end"/>
      </w:r>
    </w:p>
    <w:p w14:paraId="6D5A1952">
      <w:pPr>
        <w:pStyle w:val="31"/>
        <w:tabs>
          <w:tab w:val="right" w:leader="dot" w:pos="9072"/>
          <w:tab w:val="clear" w:pos="1050"/>
          <w:tab w:val="clear" w:pos="8937"/>
        </w:tabs>
        <w:spacing w:line="360" w:lineRule="auto"/>
        <w:rPr>
          <w:color w:val="auto"/>
          <w:highlight w:val="none"/>
        </w:rPr>
      </w:pPr>
      <w:r>
        <w:rPr>
          <w:color w:val="auto"/>
          <w:highlight w:val="none"/>
        </w:rPr>
        <w:fldChar w:fldCharType="begin"/>
      </w:r>
      <w:r>
        <w:rPr>
          <w:color w:val="auto"/>
          <w:highlight w:val="none"/>
        </w:rPr>
        <w:instrText xml:space="preserve"> HYPERLINK \l "_Toc30531" </w:instrText>
      </w:r>
      <w:r>
        <w:rPr>
          <w:color w:val="auto"/>
          <w:highlight w:val="none"/>
        </w:rPr>
        <w:fldChar w:fldCharType="separate"/>
      </w:r>
      <w:r>
        <w:rPr>
          <w:color w:val="auto"/>
          <w:szCs w:val="36"/>
          <w:highlight w:val="none"/>
        </w:rPr>
        <w:t>第六章   拟签订的合同文本</w:t>
      </w:r>
      <w:r>
        <w:rPr>
          <w:color w:val="auto"/>
          <w:highlight w:val="none"/>
        </w:rPr>
        <w:tab/>
      </w:r>
      <w:r>
        <w:rPr>
          <w:color w:val="auto"/>
          <w:highlight w:val="none"/>
        </w:rPr>
        <w:fldChar w:fldCharType="begin"/>
      </w:r>
      <w:r>
        <w:rPr>
          <w:color w:val="auto"/>
          <w:highlight w:val="none"/>
        </w:rPr>
        <w:instrText xml:space="preserve"> PAGEREF _Toc30531 \h </w:instrText>
      </w:r>
      <w:r>
        <w:rPr>
          <w:color w:val="auto"/>
          <w:highlight w:val="none"/>
        </w:rPr>
        <w:fldChar w:fldCharType="separate"/>
      </w:r>
      <w:r>
        <w:rPr>
          <w:color w:val="auto"/>
          <w:highlight w:val="none"/>
          <w:lang/>
        </w:rPr>
        <w:t>51</w:t>
      </w:r>
      <w:r>
        <w:rPr>
          <w:color w:val="auto"/>
          <w:highlight w:val="none"/>
        </w:rPr>
        <w:fldChar w:fldCharType="end"/>
      </w:r>
      <w:r>
        <w:rPr>
          <w:color w:val="auto"/>
          <w:highlight w:val="none"/>
        </w:rPr>
        <w:fldChar w:fldCharType="end"/>
      </w:r>
    </w:p>
    <w:p w14:paraId="36B35CFB">
      <w:pPr>
        <w:pStyle w:val="31"/>
        <w:tabs>
          <w:tab w:val="right" w:leader="dot" w:pos="9072"/>
          <w:tab w:val="clear" w:pos="1050"/>
          <w:tab w:val="clear" w:pos="8937"/>
        </w:tabs>
        <w:spacing w:line="360" w:lineRule="auto"/>
        <w:rPr>
          <w:color w:val="auto"/>
          <w:highlight w:val="none"/>
        </w:rPr>
      </w:pPr>
      <w:r>
        <w:rPr>
          <w:rFonts w:hint="eastAsia"/>
          <w:color w:val="auto"/>
          <w:highlight w:val="none"/>
        </w:rPr>
        <w:fldChar w:fldCharType="begin"/>
      </w:r>
      <w:r>
        <w:rPr>
          <w:color w:val="auto"/>
          <w:highlight w:val="none"/>
        </w:rPr>
        <w:instrText xml:space="preserve"> HYPERLINK \l "_Toc11342" </w:instrText>
      </w:r>
      <w:r>
        <w:rPr>
          <w:rFonts w:hint="eastAsia"/>
          <w:color w:val="auto"/>
          <w:highlight w:val="none"/>
        </w:rPr>
        <w:fldChar w:fldCharType="separate"/>
      </w:r>
      <w:r>
        <w:rPr>
          <w:color w:val="auto"/>
          <w:szCs w:val="36"/>
          <w:highlight w:val="none"/>
        </w:rPr>
        <w:t>第七章   投标文件格式</w:t>
      </w:r>
      <w:r>
        <w:rPr>
          <w:color w:val="auto"/>
          <w:highlight w:val="none"/>
        </w:rPr>
        <w:tab/>
      </w:r>
      <w:r>
        <w:rPr>
          <w:rFonts w:hint="eastAsia"/>
          <w:color w:val="auto"/>
          <w:highlight w:val="none"/>
        </w:rPr>
        <w:fldChar w:fldCharType="end"/>
      </w:r>
      <w:r>
        <w:rPr>
          <w:rFonts w:hint="eastAsia"/>
          <w:color w:val="auto"/>
          <w:highlight w:val="none"/>
        </w:rPr>
        <w:t>71</w:t>
      </w:r>
    </w:p>
    <w:p w14:paraId="32FD73D6">
      <w:pPr>
        <w:pStyle w:val="31"/>
        <w:spacing w:line="360" w:lineRule="auto"/>
        <w:rPr>
          <w:rFonts w:ascii="Times New Roman" w:hAnsi="Times New Roman"/>
          <w:b w:val="0"/>
          <w:color w:val="auto"/>
          <w:highlight w:val="none"/>
        </w:rPr>
      </w:pPr>
      <w:r>
        <w:rPr>
          <w:rFonts w:ascii="Times New Roman" w:hAnsi="Times New Roman"/>
          <w:b w:val="0"/>
          <w:color w:val="auto"/>
          <w:highlight w:val="none"/>
        </w:rPr>
        <w:fldChar w:fldCharType="end"/>
      </w:r>
    </w:p>
    <w:p w14:paraId="5A395919">
      <w:pPr>
        <w:spacing w:line="360" w:lineRule="auto"/>
        <w:jc w:val="center"/>
        <w:outlineLvl w:val="0"/>
        <w:rPr>
          <w:b/>
          <w:color w:val="auto"/>
          <w:sz w:val="36"/>
          <w:szCs w:val="36"/>
          <w:highlight w:val="none"/>
        </w:rPr>
      </w:pPr>
      <w:r>
        <w:rPr>
          <w:color w:val="auto"/>
          <w:sz w:val="24"/>
          <w:highlight w:val="none"/>
        </w:rPr>
        <w:br w:type="page"/>
      </w:r>
      <w:bookmarkStart w:id="2" w:name="_Toc99301419"/>
      <w:bookmarkStart w:id="3" w:name="_Toc10799"/>
      <w:r>
        <w:rPr>
          <w:b/>
          <w:color w:val="auto"/>
          <w:sz w:val="36"/>
          <w:szCs w:val="36"/>
          <w:highlight w:val="none"/>
        </w:rPr>
        <w:t>第一章   投标邀请</w:t>
      </w:r>
      <w:bookmarkEnd w:id="2"/>
      <w:bookmarkEnd w:id="3"/>
    </w:p>
    <w:p w14:paraId="27F21C8D">
      <w:pPr>
        <w:spacing w:line="360" w:lineRule="auto"/>
        <w:ind w:firstLine="640" w:firstLineChars="200"/>
        <w:rPr>
          <w:color w:val="auto"/>
          <w:sz w:val="32"/>
          <w:szCs w:val="32"/>
          <w:highlight w:val="none"/>
        </w:rPr>
      </w:pPr>
    </w:p>
    <w:p w14:paraId="684EFE34">
      <w:pPr>
        <w:pStyle w:val="3"/>
        <w:spacing w:before="0" w:line="360" w:lineRule="auto"/>
        <w:jc w:val="left"/>
        <w:rPr>
          <w:rFonts w:ascii="Times New Roman" w:hAnsi="Times New Roman" w:eastAsia="宋体"/>
          <w:color w:val="auto"/>
          <w:sz w:val="24"/>
          <w:szCs w:val="24"/>
          <w:highlight w:val="none"/>
        </w:rPr>
      </w:pPr>
      <w:bookmarkStart w:id="4" w:name="_Toc35393621"/>
      <w:bookmarkStart w:id="5" w:name="_Toc28359079"/>
      <w:bookmarkStart w:id="6" w:name="_Toc28359002"/>
      <w:bookmarkStart w:id="7" w:name="_Toc35393790"/>
      <w:bookmarkStart w:id="8" w:name="_Hlk24379207"/>
      <w:r>
        <w:rPr>
          <w:rFonts w:ascii="Times New Roman" w:hAnsi="Times New Roman" w:eastAsia="宋体"/>
          <w:color w:val="auto"/>
          <w:sz w:val="24"/>
          <w:szCs w:val="24"/>
          <w:highlight w:val="none"/>
        </w:rPr>
        <w:t>一、项目基本情况</w:t>
      </w:r>
      <w:bookmarkEnd w:id="4"/>
      <w:bookmarkEnd w:id="5"/>
      <w:bookmarkEnd w:id="6"/>
      <w:bookmarkEnd w:id="7"/>
    </w:p>
    <w:p w14:paraId="480F844F">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采购编号</w:t>
      </w:r>
      <w:r>
        <w:rPr>
          <w:color w:val="auto"/>
          <w:sz w:val="24"/>
          <w:highlight w:val="none"/>
        </w:rPr>
        <w:t>：</w:t>
      </w:r>
      <w:r>
        <w:rPr>
          <w:rFonts w:hint="eastAsia"/>
          <w:color w:val="auto"/>
          <w:sz w:val="24"/>
          <w:highlight w:val="none"/>
        </w:rPr>
        <w:t>BGPC-G24229</w:t>
      </w:r>
    </w:p>
    <w:p w14:paraId="26116B27">
      <w:pPr>
        <w:spacing w:line="360" w:lineRule="auto"/>
        <w:ind w:firstLine="480" w:firstLineChars="200"/>
        <w:rPr>
          <w:color w:val="auto"/>
          <w:sz w:val="24"/>
          <w:highlight w:val="none"/>
        </w:rPr>
      </w:pPr>
      <w:r>
        <w:rPr>
          <w:color w:val="auto"/>
          <w:sz w:val="24"/>
          <w:highlight w:val="none"/>
        </w:rPr>
        <w:t>2.项目名称：</w:t>
      </w:r>
      <w:bookmarkEnd w:id="8"/>
      <w:r>
        <w:rPr>
          <w:rFonts w:hint="eastAsia"/>
          <w:color w:val="auto"/>
          <w:sz w:val="24"/>
          <w:highlight w:val="none"/>
        </w:rPr>
        <w:t>北京肿瘤医院保洁服务采购项目</w:t>
      </w:r>
    </w:p>
    <w:p w14:paraId="4C197793">
      <w:pPr>
        <w:spacing w:line="360" w:lineRule="auto"/>
        <w:ind w:firstLine="480" w:firstLineChars="200"/>
        <w:rPr>
          <w:color w:val="auto"/>
          <w:sz w:val="24"/>
          <w:highlight w:val="none"/>
        </w:rPr>
      </w:pPr>
      <w:r>
        <w:rPr>
          <w:color w:val="auto"/>
          <w:sz w:val="24"/>
          <w:highlight w:val="none"/>
        </w:rPr>
        <w:t>3.项目预算金额：</w:t>
      </w:r>
      <w:r>
        <w:rPr>
          <w:rFonts w:hint="eastAsia"/>
          <w:color w:val="auto"/>
          <w:sz w:val="24"/>
          <w:highlight w:val="none"/>
        </w:rPr>
        <w:t>2218.13328</w:t>
      </w:r>
      <w:r>
        <w:rPr>
          <w:color w:val="auto"/>
          <w:sz w:val="24"/>
          <w:highlight w:val="none"/>
        </w:rPr>
        <w:t>万元</w:t>
      </w:r>
    </w:p>
    <w:p w14:paraId="34EB63D1">
      <w:pPr>
        <w:spacing w:line="360" w:lineRule="auto"/>
        <w:ind w:firstLine="480" w:firstLineChars="200"/>
        <w:rPr>
          <w:color w:val="auto"/>
          <w:sz w:val="24"/>
          <w:highlight w:val="none"/>
        </w:rPr>
      </w:pPr>
      <w:r>
        <w:rPr>
          <w:color w:val="auto"/>
          <w:sz w:val="24"/>
          <w:highlight w:val="none"/>
        </w:rPr>
        <w:t>4.采购需求：</w:t>
      </w:r>
    </w:p>
    <w:tbl>
      <w:tblPr>
        <w:tblStyle w:val="43"/>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20"/>
        <w:gridCol w:w="1660"/>
        <w:gridCol w:w="973"/>
        <w:gridCol w:w="4170"/>
      </w:tblGrid>
      <w:tr w14:paraId="1AB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8" w:type="dxa"/>
            <w:noWrap w:val="0"/>
            <w:vAlign w:val="center"/>
          </w:tcPr>
          <w:p w14:paraId="633B0954">
            <w:pPr>
              <w:jc w:val="center"/>
              <w:rPr>
                <w:bCs/>
                <w:color w:val="auto"/>
                <w:szCs w:val="21"/>
                <w:highlight w:val="none"/>
              </w:rPr>
            </w:pPr>
            <w:r>
              <w:rPr>
                <w:bCs/>
                <w:color w:val="auto"/>
                <w:szCs w:val="21"/>
                <w:highlight w:val="none"/>
              </w:rPr>
              <w:t>包号</w:t>
            </w:r>
          </w:p>
        </w:tc>
        <w:tc>
          <w:tcPr>
            <w:tcW w:w="1520" w:type="dxa"/>
            <w:noWrap w:val="0"/>
            <w:vAlign w:val="center"/>
          </w:tcPr>
          <w:p w14:paraId="21904A06">
            <w:pPr>
              <w:jc w:val="center"/>
              <w:rPr>
                <w:bCs/>
                <w:color w:val="auto"/>
                <w:szCs w:val="21"/>
                <w:highlight w:val="none"/>
              </w:rPr>
            </w:pPr>
            <w:r>
              <w:rPr>
                <w:bCs/>
                <w:color w:val="auto"/>
                <w:szCs w:val="21"/>
                <w:highlight w:val="none"/>
              </w:rPr>
              <w:t>标的名称</w:t>
            </w:r>
          </w:p>
        </w:tc>
        <w:tc>
          <w:tcPr>
            <w:tcW w:w="1660" w:type="dxa"/>
            <w:noWrap w:val="0"/>
            <w:vAlign w:val="center"/>
          </w:tcPr>
          <w:p w14:paraId="636CB4CF">
            <w:pPr>
              <w:jc w:val="center"/>
              <w:rPr>
                <w:bCs/>
                <w:color w:val="auto"/>
                <w:szCs w:val="21"/>
                <w:highlight w:val="none"/>
              </w:rPr>
            </w:pPr>
            <w:r>
              <w:rPr>
                <w:bCs/>
                <w:color w:val="auto"/>
                <w:szCs w:val="21"/>
                <w:highlight w:val="none"/>
              </w:rPr>
              <w:t>采购包预算金额</w:t>
            </w:r>
          </w:p>
          <w:p w14:paraId="3A53676F">
            <w:pPr>
              <w:jc w:val="center"/>
              <w:rPr>
                <w:bCs/>
                <w:color w:val="auto"/>
                <w:szCs w:val="21"/>
                <w:highlight w:val="none"/>
              </w:rPr>
            </w:pPr>
            <w:r>
              <w:rPr>
                <w:bCs/>
                <w:color w:val="auto"/>
                <w:szCs w:val="21"/>
                <w:highlight w:val="none"/>
              </w:rPr>
              <w:t>（万元）</w:t>
            </w:r>
          </w:p>
        </w:tc>
        <w:tc>
          <w:tcPr>
            <w:tcW w:w="973" w:type="dxa"/>
            <w:noWrap w:val="0"/>
            <w:vAlign w:val="center"/>
          </w:tcPr>
          <w:p w14:paraId="7436F562">
            <w:pPr>
              <w:jc w:val="center"/>
              <w:rPr>
                <w:bCs/>
                <w:color w:val="auto"/>
                <w:szCs w:val="21"/>
                <w:highlight w:val="none"/>
              </w:rPr>
            </w:pPr>
            <w:r>
              <w:rPr>
                <w:bCs/>
                <w:color w:val="auto"/>
                <w:szCs w:val="21"/>
                <w:highlight w:val="none"/>
              </w:rPr>
              <w:t>数量</w:t>
            </w:r>
          </w:p>
        </w:tc>
        <w:tc>
          <w:tcPr>
            <w:tcW w:w="4170" w:type="dxa"/>
            <w:noWrap w:val="0"/>
            <w:vAlign w:val="center"/>
          </w:tcPr>
          <w:p w14:paraId="32C297FD">
            <w:pPr>
              <w:jc w:val="center"/>
              <w:rPr>
                <w:color w:val="auto"/>
                <w:szCs w:val="21"/>
                <w:highlight w:val="none"/>
              </w:rPr>
            </w:pPr>
            <w:r>
              <w:rPr>
                <w:color w:val="auto"/>
                <w:szCs w:val="21"/>
                <w:highlight w:val="none"/>
              </w:rPr>
              <w:t>简要技术需求或服务要求</w:t>
            </w:r>
          </w:p>
        </w:tc>
      </w:tr>
      <w:tr w14:paraId="7210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14:paraId="5FB09DFB">
            <w:pPr>
              <w:jc w:val="center"/>
              <w:rPr>
                <w:bCs/>
                <w:color w:val="auto"/>
                <w:szCs w:val="21"/>
                <w:highlight w:val="none"/>
              </w:rPr>
            </w:pPr>
            <w:r>
              <w:rPr>
                <w:bCs/>
                <w:color w:val="auto"/>
                <w:szCs w:val="21"/>
                <w:highlight w:val="none"/>
              </w:rPr>
              <w:t>01</w:t>
            </w:r>
          </w:p>
        </w:tc>
        <w:tc>
          <w:tcPr>
            <w:tcW w:w="1520" w:type="dxa"/>
            <w:noWrap w:val="0"/>
            <w:vAlign w:val="center"/>
          </w:tcPr>
          <w:p w14:paraId="31782FAA">
            <w:pPr>
              <w:jc w:val="center"/>
              <w:rPr>
                <w:bCs/>
                <w:color w:val="auto"/>
                <w:szCs w:val="21"/>
                <w:highlight w:val="none"/>
              </w:rPr>
            </w:pPr>
            <w:r>
              <w:rPr>
                <w:rFonts w:hint="eastAsia"/>
                <w:bCs/>
                <w:color w:val="auto"/>
                <w:szCs w:val="21"/>
                <w:highlight w:val="none"/>
              </w:rPr>
              <w:t>保洁服务</w:t>
            </w:r>
          </w:p>
        </w:tc>
        <w:tc>
          <w:tcPr>
            <w:tcW w:w="1660" w:type="dxa"/>
            <w:noWrap w:val="0"/>
            <w:vAlign w:val="center"/>
          </w:tcPr>
          <w:p w14:paraId="10E5F27E">
            <w:pPr>
              <w:jc w:val="center"/>
              <w:rPr>
                <w:bCs/>
                <w:color w:val="auto"/>
                <w:szCs w:val="21"/>
                <w:highlight w:val="none"/>
              </w:rPr>
            </w:pPr>
            <w:bookmarkStart w:id="960" w:name="_GoBack"/>
            <w:r>
              <w:rPr>
                <w:rFonts w:hint="eastAsia"/>
                <w:color w:val="auto"/>
                <w:sz w:val="24"/>
                <w:highlight w:val="none"/>
              </w:rPr>
              <w:t>2218.13328</w:t>
            </w:r>
            <w:bookmarkEnd w:id="960"/>
          </w:p>
        </w:tc>
        <w:tc>
          <w:tcPr>
            <w:tcW w:w="973" w:type="dxa"/>
            <w:noWrap w:val="0"/>
            <w:vAlign w:val="center"/>
          </w:tcPr>
          <w:p w14:paraId="671FFA9A">
            <w:pPr>
              <w:jc w:val="center"/>
              <w:rPr>
                <w:bCs/>
                <w:color w:val="auto"/>
                <w:szCs w:val="21"/>
                <w:highlight w:val="none"/>
              </w:rPr>
            </w:pPr>
            <w:r>
              <w:rPr>
                <w:rFonts w:hint="eastAsia"/>
                <w:bCs/>
                <w:color w:val="auto"/>
                <w:szCs w:val="21"/>
                <w:highlight w:val="none"/>
              </w:rPr>
              <w:t>1</w:t>
            </w:r>
          </w:p>
        </w:tc>
        <w:tc>
          <w:tcPr>
            <w:tcW w:w="4170" w:type="dxa"/>
            <w:noWrap w:val="0"/>
            <w:vAlign w:val="center"/>
          </w:tcPr>
          <w:p w14:paraId="639AF11C">
            <w:pPr>
              <w:jc w:val="center"/>
              <w:rPr>
                <w:color w:val="auto"/>
                <w:kern w:val="0"/>
                <w:szCs w:val="21"/>
                <w:highlight w:val="none"/>
              </w:rPr>
            </w:pPr>
            <w:r>
              <w:rPr>
                <w:rFonts w:hint="eastAsia"/>
                <w:color w:val="auto"/>
                <w:kern w:val="0"/>
                <w:szCs w:val="21"/>
                <w:highlight w:val="none"/>
              </w:rPr>
              <w:t>详见第五章采购需求</w:t>
            </w:r>
          </w:p>
        </w:tc>
      </w:tr>
    </w:tbl>
    <w:p w14:paraId="5D1B6746">
      <w:pPr>
        <w:spacing w:line="360" w:lineRule="auto"/>
        <w:ind w:firstLine="480" w:firstLineChars="200"/>
        <w:rPr>
          <w:color w:val="auto"/>
          <w:sz w:val="24"/>
          <w:highlight w:val="none"/>
          <w:u w:val="single"/>
        </w:rPr>
      </w:pPr>
      <w:r>
        <w:rPr>
          <w:color w:val="auto"/>
          <w:sz w:val="24"/>
          <w:highlight w:val="none"/>
        </w:rPr>
        <w:t>5.合同履行期限：</w:t>
      </w:r>
      <w:r>
        <w:rPr>
          <w:rFonts w:hint="eastAsia"/>
          <w:color w:val="auto"/>
          <w:sz w:val="24"/>
          <w:highlight w:val="none"/>
        </w:rPr>
        <w:t>2年</w:t>
      </w:r>
    </w:p>
    <w:p w14:paraId="7FD43FED">
      <w:pPr>
        <w:spacing w:line="360" w:lineRule="auto"/>
        <w:ind w:firstLine="480" w:firstLineChars="200"/>
        <w:rPr>
          <w:color w:val="auto"/>
          <w:sz w:val="24"/>
          <w:highlight w:val="none"/>
        </w:rPr>
      </w:pPr>
      <w:r>
        <w:rPr>
          <w:color w:val="auto"/>
          <w:sz w:val="24"/>
          <w:highlight w:val="none"/>
        </w:rPr>
        <w:t xml:space="preserve">6.本项目是否接受联合体投标：□是  </w:t>
      </w:r>
      <w:r>
        <w:rPr>
          <w:rFonts w:hint="eastAsia"/>
          <w:color w:val="auto"/>
          <w:sz w:val="24"/>
          <w:highlight w:val="none"/>
        </w:rPr>
        <w:t>☑</w:t>
      </w:r>
      <w:r>
        <w:rPr>
          <w:color w:val="auto"/>
          <w:sz w:val="24"/>
          <w:highlight w:val="none"/>
        </w:rPr>
        <w:t>否。</w:t>
      </w:r>
    </w:p>
    <w:p w14:paraId="0087696A">
      <w:pPr>
        <w:spacing w:line="360" w:lineRule="auto"/>
        <w:ind w:firstLine="480" w:firstLineChars="200"/>
        <w:rPr>
          <w:color w:val="auto"/>
          <w:sz w:val="24"/>
          <w:highlight w:val="none"/>
        </w:rPr>
      </w:pPr>
    </w:p>
    <w:p w14:paraId="4A116D58">
      <w:pPr>
        <w:pStyle w:val="3"/>
        <w:spacing w:before="0" w:line="360" w:lineRule="auto"/>
        <w:jc w:val="left"/>
        <w:rPr>
          <w:rFonts w:ascii="Times New Roman" w:hAnsi="Times New Roman" w:eastAsia="宋体"/>
          <w:color w:val="auto"/>
          <w:sz w:val="24"/>
          <w:szCs w:val="24"/>
          <w:highlight w:val="none"/>
        </w:rPr>
      </w:pPr>
      <w:bookmarkStart w:id="9" w:name="_Toc35393791"/>
      <w:bookmarkStart w:id="10" w:name="_Toc35393622"/>
      <w:bookmarkStart w:id="11" w:name="_Toc28359080"/>
      <w:bookmarkStart w:id="12" w:name="_Toc28359003"/>
      <w:r>
        <w:rPr>
          <w:rFonts w:ascii="Times New Roman" w:hAnsi="Times New Roman" w:eastAsia="宋体"/>
          <w:color w:val="auto"/>
          <w:sz w:val="24"/>
          <w:szCs w:val="24"/>
          <w:highlight w:val="none"/>
        </w:rPr>
        <w:t>二、申请人的资格要求（须同时满足）</w:t>
      </w:r>
      <w:bookmarkEnd w:id="9"/>
      <w:bookmarkEnd w:id="10"/>
      <w:bookmarkEnd w:id="11"/>
      <w:bookmarkEnd w:id="12"/>
    </w:p>
    <w:p w14:paraId="00DA7342">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4404FF04">
      <w:pPr>
        <w:spacing w:line="360" w:lineRule="auto"/>
        <w:ind w:firstLine="480" w:firstLineChars="200"/>
        <w:rPr>
          <w:color w:val="auto"/>
          <w:sz w:val="24"/>
          <w:highlight w:val="none"/>
        </w:rPr>
      </w:pPr>
      <w:bookmarkStart w:id="13" w:name="_Toc28359004"/>
      <w:bookmarkStart w:id="14" w:name="_Toc28359081"/>
      <w:r>
        <w:rPr>
          <w:color w:val="auto"/>
          <w:sz w:val="24"/>
          <w:highlight w:val="none"/>
        </w:rPr>
        <w:t>2.落实政府采购政策需满足的资格要求：</w:t>
      </w:r>
    </w:p>
    <w:p w14:paraId="458FD2C8">
      <w:pPr>
        <w:spacing w:line="360" w:lineRule="auto"/>
        <w:ind w:firstLine="480" w:firstLineChars="200"/>
        <w:rPr>
          <w:color w:val="auto"/>
          <w:sz w:val="24"/>
          <w:highlight w:val="none"/>
        </w:rPr>
      </w:pPr>
      <w:r>
        <w:rPr>
          <w:color w:val="auto"/>
          <w:sz w:val="24"/>
          <w:highlight w:val="none"/>
        </w:rPr>
        <w:t>2.1 中小企业政策</w:t>
      </w:r>
    </w:p>
    <w:p w14:paraId="74C06164">
      <w:pPr>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本项目不专门面向中小企业预留采购份额。</w:t>
      </w:r>
    </w:p>
    <w:p w14:paraId="7A492C42">
      <w:pPr>
        <w:spacing w:line="360" w:lineRule="auto"/>
        <w:ind w:firstLine="480" w:firstLineChars="200"/>
        <w:rPr>
          <w:color w:val="auto"/>
          <w:sz w:val="24"/>
          <w:highlight w:val="none"/>
        </w:rPr>
      </w:pPr>
      <w:r>
        <w:rPr>
          <w:color w:val="auto"/>
          <w:sz w:val="24"/>
          <w:highlight w:val="none"/>
        </w:rPr>
        <w:t>□本项目专门面向  □中小 □小微企业  采购。即：提供的货物全部由符合政策要求的中小/小微企业制造、服务全部由符合政策要求的中小/小微企业承接。</w:t>
      </w:r>
    </w:p>
    <w:p w14:paraId="02430374">
      <w:pPr>
        <w:spacing w:line="360" w:lineRule="auto"/>
        <w:ind w:firstLine="480" w:firstLineChars="200"/>
        <w:rPr>
          <w:color w:val="auto"/>
          <w:sz w:val="24"/>
          <w:highlight w:val="none"/>
        </w:rPr>
      </w:pP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w:t>
      </w:r>
      <w:r>
        <w:rPr>
          <w:rFonts w:hint="eastAsia"/>
          <w:color w:val="auto"/>
          <w:sz w:val="24"/>
          <w:highlight w:val="none"/>
        </w:rPr>
        <w:t>/</w:t>
      </w:r>
      <w:r>
        <w:rPr>
          <w:color w:val="auto"/>
          <w:sz w:val="24"/>
          <w:highlight w:val="none"/>
        </w:rPr>
        <w:t>__________。</w:t>
      </w:r>
    </w:p>
    <w:p w14:paraId="61ABD501">
      <w:pPr>
        <w:spacing w:line="360" w:lineRule="auto"/>
        <w:ind w:firstLine="480" w:firstLineChars="200"/>
        <w:rPr>
          <w:color w:val="auto"/>
          <w:sz w:val="24"/>
          <w:highlight w:val="none"/>
        </w:rPr>
      </w:pPr>
      <w:r>
        <w:rPr>
          <w:color w:val="auto"/>
          <w:sz w:val="24"/>
          <w:highlight w:val="none"/>
        </w:rPr>
        <w:t>2.2 其它落实政府采购政策的资格要求（如有）：_________</w:t>
      </w:r>
      <w:r>
        <w:rPr>
          <w:rFonts w:hint="eastAsia"/>
          <w:color w:val="auto"/>
          <w:sz w:val="24"/>
          <w:highlight w:val="none"/>
        </w:rPr>
        <w:t>/</w:t>
      </w:r>
      <w:r>
        <w:rPr>
          <w:color w:val="auto"/>
          <w:sz w:val="24"/>
          <w:highlight w:val="none"/>
        </w:rPr>
        <w:t>__________。</w:t>
      </w:r>
    </w:p>
    <w:p w14:paraId="51C5C14F">
      <w:pPr>
        <w:spacing w:line="360" w:lineRule="auto"/>
        <w:ind w:firstLine="480" w:firstLineChars="200"/>
        <w:rPr>
          <w:i/>
          <w:iCs/>
          <w:color w:val="auto"/>
          <w:sz w:val="24"/>
          <w:highlight w:val="none"/>
          <w:u w:val="single"/>
        </w:rPr>
      </w:pPr>
      <w:r>
        <w:rPr>
          <w:color w:val="auto"/>
          <w:sz w:val="24"/>
          <w:highlight w:val="none"/>
        </w:rPr>
        <w:t>3.本项目的特定资格要求：</w:t>
      </w:r>
    </w:p>
    <w:p w14:paraId="7551AE01">
      <w:pPr>
        <w:tabs>
          <w:tab w:val="left" w:pos="900"/>
          <w:tab w:val="left" w:pos="1134"/>
          <w:tab w:val="left" w:pos="1589"/>
          <w:tab w:val="left" w:pos="5521"/>
        </w:tabs>
        <w:snapToGrid w:val="0"/>
        <w:spacing w:line="360" w:lineRule="auto"/>
        <w:ind w:firstLine="480" w:firstLineChars="200"/>
        <w:rPr>
          <w:color w:val="auto"/>
          <w:sz w:val="24"/>
          <w:highlight w:val="none"/>
        </w:rPr>
      </w:pPr>
      <w:r>
        <w:rPr>
          <w:color w:val="auto"/>
          <w:sz w:val="24"/>
          <w:highlight w:val="none"/>
        </w:rPr>
        <w:t>3.1本项目是否属于政府购买服务：</w:t>
      </w:r>
    </w:p>
    <w:p w14:paraId="273606F2">
      <w:pPr>
        <w:tabs>
          <w:tab w:val="left" w:pos="900"/>
          <w:tab w:val="left" w:pos="1134"/>
          <w:tab w:val="left" w:pos="1589"/>
          <w:tab w:val="left" w:pos="5521"/>
        </w:tabs>
        <w:snapToGrid w:val="0"/>
        <w:spacing w:line="360" w:lineRule="auto"/>
        <w:ind w:left="991" w:leftChars="472" w:firstLine="2"/>
        <w:rPr>
          <w:color w:val="auto"/>
          <w:sz w:val="24"/>
          <w:highlight w:val="none"/>
        </w:rPr>
      </w:pPr>
      <w:r>
        <w:rPr>
          <w:rFonts w:hint="eastAsia"/>
          <w:color w:val="auto"/>
          <w:sz w:val="24"/>
          <w:highlight w:val="none"/>
        </w:rPr>
        <w:sym w:font="Wingdings 2" w:char="0052"/>
      </w:r>
      <w:r>
        <w:rPr>
          <w:color w:val="auto"/>
          <w:sz w:val="24"/>
          <w:highlight w:val="none"/>
        </w:rPr>
        <w:t>否</w:t>
      </w:r>
    </w:p>
    <w:p w14:paraId="10A9A955">
      <w:pPr>
        <w:tabs>
          <w:tab w:val="left" w:pos="900"/>
          <w:tab w:val="left" w:pos="1134"/>
          <w:tab w:val="left" w:pos="1589"/>
          <w:tab w:val="left" w:pos="5521"/>
        </w:tabs>
        <w:snapToGrid w:val="0"/>
        <w:spacing w:line="360" w:lineRule="auto"/>
        <w:ind w:left="991" w:leftChars="472" w:firstLine="2"/>
        <w:rPr>
          <w:color w:val="auto"/>
          <w:sz w:val="24"/>
          <w:highlight w:val="none"/>
        </w:rPr>
      </w:pPr>
      <w:r>
        <w:rPr>
          <w:color w:val="auto"/>
          <w:sz w:val="24"/>
          <w:highlight w:val="none"/>
        </w:rPr>
        <w:t>□是，公益一类事业单位、使用事业编制且由财政拨款保障的群团组织，不得作为承接主体；</w:t>
      </w:r>
    </w:p>
    <w:p w14:paraId="30706314">
      <w:pPr>
        <w:tabs>
          <w:tab w:val="left" w:pos="900"/>
          <w:tab w:val="left" w:pos="1134"/>
          <w:tab w:val="left" w:pos="1589"/>
          <w:tab w:val="left" w:pos="5521"/>
        </w:tabs>
        <w:snapToGrid w:val="0"/>
        <w:spacing w:line="360" w:lineRule="auto"/>
        <w:ind w:firstLine="480" w:firstLineChars="200"/>
        <w:rPr>
          <w:rFonts w:hint="eastAsia"/>
          <w:color w:val="auto"/>
          <w:sz w:val="24"/>
          <w:highlight w:val="none"/>
        </w:rPr>
      </w:pPr>
      <w:r>
        <w:rPr>
          <w:color w:val="auto"/>
          <w:sz w:val="24"/>
          <w:highlight w:val="none"/>
        </w:rPr>
        <w:t>3.2其他特定资格要求：</w:t>
      </w:r>
      <w:r>
        <w:rPr>
          <w:rFonts w:hint="eastAsia"/>
          <w:color w:val="auto"/>
          <w:sz w:val="24"/>
          <w:highlight w:val="none"/>
        </w:rPr>
        <w:t>无</w:t>
      </w:r>
    </w:p>
    <w:p w14:paraId="2584189B">
      <w:pPr>
        <w:spacing w:line="360" w:lineRule="auto"/>
        <w:rPr>
          <w:i/>
          <w:iCs/>
          <w:color w:val="auto"/>
          <w:sz w:val="24"/>
          <w:highlight w:val="none"/>
          <w:u w:val="single"/>
        </w:rPr>
      </w:pPr>
    </w:p>
    <w:bookmarkEnd w:id="13"/>
    <w:bookmarkEnd w:id="14"/>
    <w:p w14:paraId="61A3472E">
      <w:pPr>
        <w:pStyle w:val="3"/>
        <w:widowControl/>
        <w:spacing w:before="0" w:line="360" w:lineRule="auto"/>
        <w:jc w:val="left"/>
        <w:rPr>
          <w:rFonts w:ascii="Times New Roman" w:hAnsi="Times New Roman" w:eastAsia="宋体"/>
          <w:color w:val="auto"/>
          <w:sz w:val="24"/>
          <w:szCs w:val="24"/>
          <w:highlight w:val="none"/>
        </w:rPr>
      </w:pPr>
      <w:bookmarkStart w:id="15" w:name="_Toc35393792"/>
      <w:bookmarkStart w:id="16" w:name="_Toc35393623"/>
      <w:r>
        <w:rPr>
          <w:rFonts w:ascii="Times New Roman" w:hAnsi="Times New Roman" w:eastAsia="宋体"/>
          <w:color w:val="auto"/>
          <w:sz w:val="24"/>
          <w:szCs w:val="24"/>
          <w:highlight w:val="none"/>
        </w:rPr>
        <w:t>三、获取招标文件</w:t>
      </w:r>
      <w:bookmarkEnd w:id="15"/>
      <w:bookmarkEnd w:id="16"/>
    </w:p>
    <w:p w14:paraId="15BF8B28">
      <w:pPr>
        <w:adjustRightInd w:val="0"/>
        <w:snapToGrid w:val="0"/>
        <w:spacing w:line="360" w:lineRule="auto"/>
        <w:ind w:firstLine="480" w:firstLineChars="200"/>
        <w:rPr>
          <w:color w:val="auto"/>
          <w:sz w:val="24"/>
          <w:highlight w:val="none"/>
        </w:rPr>
      </w:pPr>
      <w:r>
        <w:rPr>
          <w:color w:val="auto"/>
          <w:sz w:val="24"/>
          <w:highlight w:val="none"/>
        </w:rPr>
        <w:t>1.时间：</w:t>
      </w:r>
      <w:r>
        <w:rPr>
          <w:rFonts w:hint="eastAsia"/>
          <w:color w:val="auto"/>
          <w:sz w:val="24"/>
          <w:highlight w:val="none"/>
        </w:rPr>
        <w:t>2024</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3</w:t>
      </w:r>
      <w:r>
        <w:rPr>
          <w:color w:val="auto"/>
          <w:sz w:val="24"/>
          <w:highlight w:val="none"/>
        </w:rPr>
        <w:t>日至</w:t>
      </w:r>
      <w:r>
        <w:rPr>
          <w:rFonts w:hint="eastAsia"/>
          <w:color w:val="auto"/>
          <w:sz w:val="24"/>
          <w:highlight w:val="none"/>
        </w:rPr>
        <w:t>2024</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10</w:t>
      </w:r>
      <w:r>
        <w:rPr>
          <w:color w:val="auto"/>
          <w:sz w:val="24"/>
          <w:highlight w:val="none"/>
        </w:rPr>
        <w:t>日，每天上午</w:t>
      </w:r>
      <w:r>
        <w:rPr>
          <w:rFonts w:hint="eastAsia"/>
          <w:color w:val="auto"/>
          <w:sz w:val="24"/>
          <w:highlight w:val="none"/>
        </w:rPr>
        <w:t>00:00</w:t>
      </w:r>
      <w:r>
        <w:rPr>
          <w:color w:val="auto"/>
          <w:sz w:val="24"/>
          <w:highlight w:val="none"/>
        </w:rPr>
        <w:t>至</w:t>
      </w:r>
      <w:r>
        <w:rPr>
          <w:rFonts w:hint="eastAsia"/>
          <w:color w:val="auto"/>
          <w:sz w:val="24"/>
          <w:highlight w:val="none"/>
        </w:rPr>
        <w:t>12:00</w:t>
      </w:r>
      <w:r>
        <w:rPr>
          <w:color w:val="auto"/>
          <w:sz w:val="24"/>
          <w:highlight w:val="none"/>
        </w:rPr>
        <w:t>，下午</w:t>
      </w:r>
      <w:r>
        <w:rPr>
          <w:rFonts w:hint="eastAsia"/>
          <w:color w:val="auto"/>
          <w:sz w:val="24"/>
          <w:highlight w:val="none"/>
        </w:rPr>
        <w:t>12:00</w:t>
      </w:r>
      <w:r>
        <w:rPr>
          <w:color w:val="auto"/>
          <w:sz w:val="24"/>
          <w:highlight w:val="none"/>
        </w:rPr>
        <w:t>至</w:t>
      </w:r>
      <w:r>
        <w:rPr>
          <w:rFonts w:hint="eastAsia"/>
          <w:color w:val="auto"/>
          <w:sz w:val="24"/>
          <w:highlight w:val="none"/>
        </w:rPr>
        <w:t>24:00</w:t>
      </w:r>
      <w:r>
        <w:rPr>
          <w:color w:val="auto"/>
          <w:sz w:val="24"/>
          <w:highlight w:val="none"/>
        </w:rPr>
        <w:t>（北京时间，法定节假日除外）。</w:t>
      </w:r>
    </w:p>
    <w:p w14:paraId="10AAFD4E">
      <w:pPr>
        <w:adjustRightInd w:val="0"/>
        <w:snapToGrid w:val="0"/>
        <w:spacing w:line="360" w:lineRule="auto"/>
        <w:ind w:firstLine="480" w:firstLineChars="200"/>
        <w:rPr>
          <w:color w:val="auto"/>
          <w:sz w:val="24"/>
          <w:highlight w:val="none"/>
        </w:rPr>
      </w:pPr>
      <w:r>
        <w:rPr>
          <w:color w:val="auto"/>
          <w:sz w:val="24"/>
          <w:highlight w:val="none"/>
        </w:rPr>
        <w:t>2.地点：北京市政府采购电子交易平台</w:t>
      </w:r>
    </w:p>
    <w:p w14:paraId="5F098BF5">
      <w:pPr>
        <w:widowControl/>
        <w:adjustRightInd w:val="0"/>
        <w:snapToGrid w:val="0"/>
        <w:spacing w:line="360" w:lineRule="auto"/>
        <w:ind w:firstLine="480" w:firstLineChars="200"/>
        <w:jc w:val="left"/>
        <w:rPr>
          <w:color w:val="auto"/>
          <w:sz w:val="24"/>
          <w:highlight w:val="none"/>
        </w:rPr>
      </w:pPr>
      <w:r>
        <w:rPr>
          <w:color w:val="auto"/>
          <w:sz w:val="24"/>
          <w:highlight w:val="none"/>
        </w:rPr>
        <w:t>3.方式：供应商使用CA数字证书或电子营业执照登录北京市政府采购电子交易平台（http://zbcg-bjzc.zhongcy.com/bjczj-portal-site/index.html#/home）获取电子版招标文件。</w:t>
      </w:r>
    </w:p>
    <w:p w14:paraId="72B853E7">
      <w:pPr>
        <w:widowControl/>
        <w:adjustRightInd w:val="0"/>
        <w:snapToGrid w:val="0"/>
        <w:spacing w:line="360" w:lineRule="auto"/>
        <w:ind w:firstLine="480" w:firstLineChars="200"/>
        <w:jc w:val="left"/>
        <w:rPr>
          <w:color w:val="auto"/>
          <w:sz w:val="24"/>
          <w:highlight w:val="none"/>
        </w:rPr>
      </w:pPr>
      <w:r>
        <w:rPr>
          <w:color w:val="auto"/>
          <w:sz w:val="24"/>
          <w:highlight w:val="none"/>
        </w:rPr>
        <w:t>4.售价：0元。</w:t>
      </w:r>
    </w:p>
    <w:p w14:paraId="4C8A0583">
      <w:pPr>
        <w:tabs>
          <w:tab w:val="left" w:pos="900"/>
          <w:tab w:val="left" w:pos="1980"/>
        </w:tabs>
        <w:snapToGrid w:val="0"/>
        <w:spacing w:line="360" w:lineRule="auto"/>
        <w:ind w:left="840"/>
        <w:rPr>
          <w:color w:val="auto"/>
          <w:sz w:val="24"/>
          <w:highlight w:val="none"/>
        </w:rPr>
      </w:pPr>
    </w:p>
    <w:p w14:paraId="0806B144">
      <w:pPr>
        <w:pStyle w:val="3"/>
        <w:widowControl/>
        <w:spacing w:before="0" w:line="360" w:lineRule="auto"/>
        <w:jc w:val="left"/>
        <w:rPr>
          <w:rFonts w:ascii="Times New Roman" w:hAnsi="Times New Roman" w:eastAsia="宋体"/>
          <w:color w:val="auto"/>
          <w:sz w:val="24"/>
          <w:szCs w:val="24"/>
          <w:highlight w:val="none"/>
        </w:rPr>
      </w:pPr>
      <w:bookmarkStart w:id="17" w:name="_Toc28359005"/>
      <w:bookmarkStart w:id="18" w:name="_Toc28359082"/>
      <w:bookmarkStart w:id="19" w:name="_Toc35393624"/>
      <w:bookmarkStart w:id="20" w:name="_Toc35393793"/>
      <w:r>
        <w:rPr>
          <w:rFonts w:ascii="Times New Roman" w:hAnsi="Times New Roman" w:eastAsia="宋体"/>
          <w:color w:val="auto"/>
          <w:sz w:val="24"/>
          <w:szCs w:val="24"/>
          <w:highlight w:val="none"/>
        </w:rPr>
        <w:t>四、提交投标文件</w:t>
      </w:r>
      <w:bookmarkEnd w:id="17"/>
      <w:bookmarkEnd w:id="18"/>
      <w:r>
        <w:rPr>
          <w:rFonts w:ascii="Times New Roman" w:hAnsi="Times New Roman" w:eastAsia="宋体"/>
          <w:color w:val="auto"/>
          <w:sz w:val="24"/>
          <w:szCs w:val="24"/>
          <w:highlight w:val="none"/>
        </w:rPr>
        <w:t>截止时间、开标时间和地点</w:t>
      </w:r>
      <w:bookmarkEnd w:id="19"/>
      <w:bookmarkEnd w:id="20"/>
    </w:p>
    <w:p w14:paraId="32D56166">
      <w:pPr>
        <w:spacing w:line="360" w:lineRule="auto"/>
        <w:ind w:firstLine="480" w:firstLineChars="200"/>
        <w:rPr>
          <w:bCs/>
          <w:color w:val="auto"/>
          <w:sz w:val="24"/>
          <w:highlight w:val="none"/>
          <w:u w:val="single"/>
        </w:rPr>
      </w:pPr>
      <w:r>
        <w:rPr>
          <w:color w:val="auto"/>
          <w:sz w:val="24"/>
          <w:highlight w:val="none"/>
        </w:rPr>
        <w:t>投标截止时间、开标时间：</w:t>
      </w:r>
      <w:r>
        <w:rPr>
          <w:rFonts w:hint="eastAsia"/>
          <w:color w:val="auto"/>
          <w:sz w:val="24"/>
          <w:highlight w:val="none"/>
        </w:rPr>
        <w:t>2024</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24</w:t>
      </w:r>
      <w:r>
        <w:rPr>
          <w:color w:val="auto"/>
          <w:sz w:val="24"/>
          <w:highlight w:val="none"/>
        </w:rPr>
        <w:t>日</w:t>
      </w:r>
      <w:r>
        <w:rPr>
          <w:rFonts w:hint="eastAsia"/>
          <w:color w:val="auto"/>
          <w:sz w:val="24"/>
          <w:highlight w:val="none"/>
        </w:rPr>
        <w:t>9</w:t>
      </w:r>
      <w:r>
        <w:rPr>
          <w:color w:val="auto"/>
          <w:sz w:val="24"/>
          <w:highlight w:val="none"/>
        </w:rPr>
        <w:t>点</w:t>
      </w:r>
      <w:r>
        <w:rPr>
          <w:rFonts w:hint="eastAsia"/>
          <w:color w:val="auto"/>
          <w:sz w:val="24"/>
          <w:highlight w:val="none"/>
        </w:rPr>
        <w:t>30</w:t>
      </w:r>
      <w:r>
        <w:rPr>
          <w:color w:val="auto"/>
          <w:sz w:val="24"/>
          <w:highlight w:val="none"/>
        </w:rPr>
        <w:t>分</w:t>
      </w:r>
      <w:r>
        <w:rPr>
          <w:bCs/>
          <w:color w:val="auto"/>
          <w:sz w:val="24"/>
          <w:highlight w:val="none"/>
        </w:rPr>
        <w:t>（北京时间）</w:t>
      </w:r>
      <w:r>
        <w:rPr>
          <w:iCs/>
          <w:color w:val="auto"/>
          <w:sz w:val="24"/>
          <w:highlight w:val="none"/>
        </w:rPr>
        <w:t>。</w:t>
      </w:r>
    </w:p>
    <w:p w14:paraId="7F700E78">
      <w:pPr>
        <w:wordWrap w:val="0"/>
        <w:spacing w:line="360" w:lineRule="auto"/>
        <w:ind w:firstLine="480" w:firstLineChars="200"/>
        <w:rPr>
          <w:color w:val="auto"/>
          <w:sz w:val="24"/>
          <w:highlight w:val="none"/>
          <w:lang w:val="zh-TW"/>
        </w:rPr>
      </w:pPr>
      <w:r>
        <w:rPr>
          <w:color w:val="auto"/>
          <w:sz w:val="24"/>
          <w:highlight w:val="none"/>
        </w:rPr>
        <w:t>地点：北京市政府采购电子交易平台（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Style w:val="51"/>
          <w:color w:val="auto"/>
          <w:sz w:val="24"/>
          <w:highlight w:val="none"/>
        </w:rPr>
        <w:t>http://zbcg-bjzc.zhongcy.com/bjczj-portal-site/index.html#/home</w:t>
      </w:r>
      <w:r>
        <w:rPr>
          <w:rStyle w:val="51"/>
          <w:color w:val="auto"/>
          <w:sz w:val="24"/>
          <w:highlight w:val="none"/>
        </w:rPr>
        <w:fldChar w:fldCharType="end"/>
      </w:r>
      <w:r>
        <w:rPr>
          <w:color w:val="auto"/>
          <w:sz w:val="24"/>
          <w:highlight w:val="none"/>
        </w:rPr>
        <w:t>）</w:t>
      </w:r>
      <w:r>
        <w:rPr>
          <w:color w:val="auto"/>
          <w:sz w:val="24"/>
          <w:highlight w:val="none"/>
          <w:lang w:val="zh-TW"/>
        </w:rPr>
        <w:t>。</w:t>
      </w:r>
    </w:p>
    <w:p w14:paraId="4D684632">
      <w:pPr>
        <w:spacing w:line="360" w:lineRule="auto"/>
        <w:ind w:firstLine="480" w:firstLineChars="200"/>
        <w:rPr>
          <w:color w:val="auto"/>
          <w:sz w:val="24"/>
          <w:highlight w:val="none"/>
        </w:rPr>
      </w:pPr>
      <w:r>
        <w:rPr>
          <w:rFonts w:hint="eastAsia"/>
          <w:color w:val="auto"/>
          <w:sz w:val="24"/>
          <w:highlight w:val="none"/>
        </w:rPr>
        <w:t>解密时限：解密时限为北京市政府采购电子交易平台开启投标人自行解密功能后120分钟。</w:t>
      </w:r>
    </w:p>
    <w:p w14:paraId="6E34080B">
      <w:pPr>
        <w:spacing w:line="360" w:lineRule="auto"/>
        <w:ind w:firstLine="480" w:firstLineChars="200"/>
        <w:rPr>
          <w:color w:val="auto"/>
          <w:sz w:val="24"/>
          <w:highlight w:val="none"/>
          <w:lang w:val="zh-TW"/>
        </w:rPr>
      </w:pPr>
      <w:r>
        <w:rPr>
          <w:rFonts w:hint="eastAsia"/>
          <w:color w:val="auto"/>
          <w:sz w:val="24"/>
          <w:highlight w:val="none"/>
        </w:rPr>
        <w:t>注意事项：为保证开标解密顺利进行，请投标人务必远程参加并保持联系人电话畅通，同时确保使用制作上传本项目电子投标文件的计算机设备及自身CA数字证书</w:t>
      </w:r>
      <w:r>
        <w:rPr>
          <w:color w:val="auto"/>
          <w:sz w:val="24"/>
          <w:highlight w:val="none"/>
        </w:rPr>
        <w:t>或电子营业执照</w:t>
      </w:r>
      <w:r>
        <w:rPr>
          <w:rFonts w:hint="eastAsia"/>
          <w:color w:val="auto"/>
          <w:sz w:val="24"/>
          <w:highlight w:val="none"/>
        </w:rPr>
        <w:t>登录北京市政府采购电子交易平台自行进行解密操作。</w:t>
      </w:r>
    </w:p>
    <w:p w14:paraId="568569F5">
      <w:pPr>
        <w:spacing w:line="360" w:lineRule="auto"/>
        <w:ind w:firstLine="480" w:firstLineChars="200"/>
        <w:rPr>
          <w:bCs/>
          <w:color w:val="auto"/>
          <w:sz w:val="24"/>
          <w:highlight w:val="none"/>
          <w:u w:val="single"/>
        </w:rPr>
      </w:pPr>
    </w:p>
    <w:p w14:paraId="4733C1F4">
      <w:pPr>
        <w:pStyle w:val="3"/>
        <w:spacing w:before="0" w:line="360" w:lineRule="auto"/>
        <w:jc w:val="left"/>
        <w:rPr>
          <w:rFonts w:ascii="Times New Roman" w:hAnsi="Times New Roman" w:eastAsia="宋体"/>
          <w:color w:val="auto"/>
          <w:sz w:val="24"/>
          <w:szCs w:val="24"/>
          <w:highlight w:val="none"/>
        </w:rPr>
      </w:pPr>
      <w:bookmarkStart w:id="21" w:name="_Toc35393794"/>
      <w:bookmarkStart w:id="22" w:name="_Toc28359007"/>
      <w:bookmarkStart w:id="23" w:name="_Toc35393625"/>
      <w:bookmarkStart w:id="24" w:name="_Toc28359084"/>
      <w:r>
        <w:rPr>
          <w:rFonts w:ascii="Times New Roman" w:hAnsi="Times New Roman" w:eastAsia="宋体"/>
          <w:color w:val="auto"/>
          <w:sz w:val="24"/>
          <w:szCs w:val="24"/>
          <w:highlight w:val="none"/>
        </w:rPr>
        <w:t>五、公告期限</w:t>
      </w:r>
      <w:bookmarkEnd w:id="21"/>
      <w:bookmarkEnd w:id="22"/>
      <w:bookmarkEnd w:id="23"/>
      <w:bookmarkEnd w:id="24"/>
    </w:p>
    <w:p w14:paraId="71F4AABE">
      <w:pPr>
        <w:spacing w:line="360" w:lineRule="auto"/>
        <w:ind w:firstLine="480" w:firstLineChars="200"/>
        <w:rPr>
          <w:color w:val="auto"/>
          <w:kern w:val="0"/>
          <w:sz w:val="24"/>
          <w:highlight w:val="none"/>
        </w:rPr>
      </w:pPr>
      <w:r>
        <w:rPr>
          <w:color w:val="auto"/>
          <w:kern w:val="0"/>
          <w:sz w:val="24"/>
          <w:highlight w:val="none"/>
        </w:rPr>
        <w:t>自本公告发布之日起5个工作日。</w:t>
      </w:r>
    </w:p>
    <w:p w14:paraId="4CF67E3E">
      <w:pPr>
        <w:spacing w:line="360" w:lineRule="auto"/>
        <w:ind w:firstLine="480" w:firstLineChars="200"/>
        <w:rPr>
          <w:color w:val="auto"/>
          <w:kern w:val="0"/>
          <w:sz w:val="24"/>
          <w:highlight w:val="none"/>
        </w:rPr>
      </w:pPr>
    </w:p>
    <w:p w14:paraId="677491E2">
      <w:pPr>
        <w:pStyle w:val="3"/>
        <w:spacing w:before="0" w:line="360" w:lineRule="auto"/>
        <w:jc w:val="left"/>
        <w:rPr>
          <w:rFonts w:ascii="Times New Roman" w:hAnsi="Times New Roman" w:eastAsia="宋体"/>
          <w:color w:val="auto"/>
          <w:sz w:val="24"/>
          <w:szCs w:val="24"/>
          <w:highlight w:val="none"/>
        </w:rPr>
      </w:pPr>
      <w:bookmarkStart w:id="25" w:name="_Toc35393626"/>
      <w:bookmarkStart w:id="26" w:name="_Toc35393795"/>
      <w:r>
        <w:rPr>
          <w:rFonts w:ascii="Times New Roman" w:hAnsi="Times New Roman" w:eastAsia="宋体"/>
          <w:color w:val="auto"/>
          <w:sz w:val="24"/>
          <w:szCs w:val="24"/>
          <w:highlight w:val="none"/>
        </w:rPr>
        <w:t>六、其他补充事宜</w:t>
      </w:r>
      <w:bookmarkEnd w:id="25"/>
      <w:bookmarkEnd w:id="26"/>
    </w:p>
    <w:p w14:paraId="3761340D">
      <w:pPr>
        <w:widowControl/>
        <w:spacing w:line="360" w:lineRule="auto"/>
        <w:ind w:firstLine="480" w:firstLineChars="200"/>
        <w:jc w:val="left"/>
        <w:rPr>
          <w:rFonts w:ascii="宋体" w:hAnsi="宋体"/>
          <w:color w:val="auto"/>
          <w:sz w:val="24"/>
          <w:highlight w:val="none"/>
          <w:u w:val="single"/>
        </w:rPr>
      </w:pPr>
      <w:r>
        <w:rPr>
          <w:color w:val="auto"/>
          <w:sz w:val="24"/>
          <w:highlight w:val="none"/>
        </w:rPr>
        <w:t>1.本项目需要落实的政府采购政策：</w:t>
      </w:r>
      <w:r>
        <w:rPr>
          <w:rFonts w:hint="eastAsia"/>
          <w:color w:val="auto"/>
          <w:sz w:val="24"/>
          <w:highlight w:val="none"/>
        </w:rPr>
        <w:t>如涉及的详见招标文件各章对应条款要求。</w:t>
      </w:r>
    </w:p>
    <w:p w14:paraId="55E7D349">
      <w:pPr>
        <w:widowControl/>
        <w:adjustRightInd w:val="0"/>
        <w:snapToGrid w:val="0"/>
        <w:spacing w:line="360" w:lineRule="auto"/>
        <w:ind w:firstLine="480" w:firstLineChars="200"/>
        <w:jc w:val="left"/>
        <w:rPr>
          <w:bCs/>
          <w:color w:val="auto"/>
          <w:sz w:val="24"/>
          <w:highlight w:val="none"/>
        </w:rPr>
      </w:pPr>
      <w:r>
        <w:rPr>
          <w:rFonts w:hint="eastAsia"/>
          <w:color w:val="auto"/>
          <w:sz w:val="24"/>
          <w:highlight w:val="none"/>
        </w:rPr>
        <w:t>2</w:t>
      </w:r>
      <w:r>
        <w:rPr>
          <w:color w:val="auto"/>
          <w:sz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highlight w:val="none"/>
        </w:rPr>
        <w:t>CA数字证书</w:t>
      </w:r>
      <w:r>
        <w:rPr>
          <w:color w:val="auto"/>
          <w:sz w:val="24"/>
          <w:highlight w:val="none"/>
        </w:rPr>
        <w:t>或电子营业执照</w:t>
      </w:r>
      <w:r>
        <w:rPr>
          <w:bCs/>
          <w:color w:val="auto"/>
          <w:sz w:val="24"/>
          <w:highlight w:val="none"/>
        </w:rPr>
        <w:t>情况确认是否符合本项目电子化采购流程要求。</w:t>
      </w:r>
    </w:p>
    <w:p w14:paraId="60DF1DA3">
      <w:pPr>
        <w:adjustRightInd w:val="0"/>
        <w:snapToGrid w:val="0"/>
        <w:spacing w:line="360" w:lineRule="auto"/>
        <w:ind w:firstLine="480" w:firstLineChars="200"/>
        <w:rPr>
          <w:color w:val="auto"/>
          <w:sz w:val="24"/>
          <w:highlight w:val="none"/>
        </w:rPr>
      </w:pPr>
      <w:r>
        <w:rPr>
          <w:color w:val="auto"/>
          <w:sz w:val="24"/>
          <w:highlight w:val="none"/>
        </w:rPr>
        <w:t>CA数字证书服务热线 010-58511086</w:t>
      </w:r>
    </w:p>
    <w:p w14:paraId="22027210">
      <w:pPr>
        <w:adjustRightInd w:val="0"/>
        <w:snapToGrid w:val="0"/>
        <w:spacing w:line="360" w:lineRule="auto"/>
        <w:ind w:firstLine="480" w:firstLineChars="200"/>
        <w:rPr>
          <w:color w:val="auto"/>
          <w:sz w:val="24"/>
          <w:highlight w:val="none"/>
        </w:rPr>
      </w:pPr>
      <w:r>
        <w:rPr>
          <w:color w:val="auto"/>
          <w:sz w:val="24"/>
          <w:highlight w:val="none"/>
        </w:rPr>
        <w:t>电子营业执照服务热线 400-699-7000</w:t>
      </w:r>
    </w:p>
    <w:p w14:paraId="2C61E496">
      <w:pPr>
        <w:adjustRightInd w:val="0"/>
        <w:snapToGrid w:val="0"/>
        <w:spacing w:line="360" w:lineRule="auto"/>
        <w:ind w:firstLine="480" w:firstLineChars="200"/>
        <w:rPr>
          <w:color w:val="auto"/>
          <w:sz w:val="24"/>
          <w:highlight w:val="none"/>
        </w:rPr>
      </w:pPr>
      <w:r>
        <w:rPr>
          <w:color w:val="auto"/>
          <w:sz w:val="24"/>
          <w:highlight w:val="none"/>
        </w:rPr>
        <w:t>技术支持服务热线    010-86483801</w:t>
      </w:r>
    </w:p>
    <w:p w14:paraId="39522610">
      <w:pPr>
        <w:widowControl/>
        <w:adjustRightInd w:val="0"/>
        <w:snapToGrid w:val="0"/>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.1办理CA数字证书或电子营业执照</w:t>
      </w:r>
    </w:p>
    <w:p w14:paraId="73813662">
      <w:pPr>
        <w:widowControl/>
        <w:adjustRightInd w:val="0"/>
        <w:snapToGrid w:val="0"/>
        <w:spacing w:line="360" w:lineRule="auto"/>
        <w:ind w:firstLine="480" w:firstLineChars="200"/>
        <w:jc w:val="left"/>
        <w:rPr>
          <w:color w:val="auto"/>
          <w:sz w:val="24"/>
          <w:highlight w:val="none"/>
        </w:rPr>
      </w:pPr>
      <w:r>
        <w:rPr>
          <w:color w:val="auto"/>
          <w:sz w:val="24"/>
          <w:highlight w:val="none"/>
        </w:rPr>
        <w:t>供应商登录北京市政府采购电子交易平台查阅 “用户指南”—“操作指南”—“市场主体CA办理操作流程指引”/“电子营业执照使用指南”，按照程序要求办理。</w:t>
      </w:r>
    </w:p>
    <w:p w14:paraId="345853E3">
      <w:pPr>
        <w:adjustRightInd w:val="0"/>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.2注册</w:t>
      </w:r>
    </w:p>
    <w:p w14:paraId="6624CD23">
      <w:pPr>
        <w:adjustRightInd w:val="0"/>
        <w:snapToGrid w:val="0"/>
        <w:spacing w:line="360" w:lineRule="auto"/>
        <w:ind w:firstLine="480" w:firstLineChars="200"/>
        <w:rPr>
          <w:color w:val="auto"/>
          <w:sz w:val="24"/>
          <w:highlight w:val="none"/>
        </w:rPr>
      </w:pPr>
      <w:r>
        <w:rPr>
          <w:color w:val="auto"/>
          <w:sz w:val="24"/>
          <w:highlight w:val="none"/>
        </w:rPr>
        <w:t>供应商登录北京市政府采购电子交易平台“用户指南”—“操作指南”—“市场主体注册入库操作流程指引”进行自助注册绑定。</w:t>
      </w:r>
    </w:p>
    <w:p w14:paraId="29A0B737">
      <w:pPr>
        <w:widowControl/>
        <w:adjustRightInd w:val="0"/>
        <w:snapToGrid w:val="0"/>
        <w:spacing w:line="360" w:lineRule="auto"/>
        <w:ind w:firstLine="480" w:firstLineChars="200"/>
        <w:jc w:val="left"/>
        <w:rPr>
          <w:color w:val="auto"/>
          <w:sz w:val="24"/>
          <w:highlight w:val="none"/>
        </w:rPr>
      </w:pPr>
      <w:r>
        <w:rPr>
          <w:rFonts w:hint="eastAsia"/>
          <w:color w:val="auto"/>
          <w:sz w:val="24"/>
          <w:highlight w:val="none"/>
        </w:rPr>
        <w:t>2</w:t>
      </w:r>
      <w:r>
        <w:rPr>
          <w:color w:val="auto"/>
          <w:sz w:val="24"/>
          <w:highlight w:val="none"/>
        </w:rPr>
        <w:t>.3驱动、客户端下载</w:t>
      </w:r>
    </w:p>
    <w:p w14:paraId="356A6E52">
      <w:pPr>
        <w:widowControl/>
        <w:adjustRightInd w:val="0"/>
        <w:snapToGrid w:val="0"/>
        <w:spacing w:line="360" w:lineRule="auto"/>
        <w:ind w:firstLine="480" w:firstLineChars="200"/>
        <w:jc w:val="left"/>
        <w:rPr>
          <w:color w:val="auto"/>
          <w:sz w:val="24"/>
          <w:highlight w:val="none"/>
        </w:rPr>
      </w:pPr>
      <w:r>
        <w:rPr>
          <w:color w:val="auto"/>
          <w:sz w:val="24"/>
          <w:highlight w:val="none"/>
        </w:rPr>
        <w:t>供应商登录北京市政府采购电子交易平台“用户指南”—“工具下载”—“招标采购系统文件驱动安装包”下载相关驱动。</w:t>
      </w:r>
    </w:p>
    <w:p w14:paraId="355042FF">
      <w:pPr>
        <w:adjustRightInd w:val="0"/>
        <w:snapToGrid w:val="0"/>
        <w:spacing w:line="360" w:lineRule="auto"/>
        <w:ind w:firstLine="480" w:firstLineChars="200"/>
        <w:rPr>
          <w:color w:val="auto"/>
          <w:sz w:val="24"/>
          <w:highlight w:val="none"/>
        </w:rPr>
      </w:pPr>
      <w:r>
        <w:rPr>
          <w:color w:val="auto"/>
          <w:sz w:val="24"/>
          <w:highlight w:val="none"/>
        </w:rPr>
        <w:t>供应商登录北京市政府采购电子交易平台“用户指南”—“工具下载”—“投标文件编制工具”下载相关客户端。</w:t>
      </w:r>
    </w:p>
    <w:p w14:paraId="7CFD7A0D">
      <w:pPr>
        <w:adjustRightInd w:val="0"/>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.4 获取电子招标文件</w:t>
      </w:r>
    </w:p>
    <w:p w14:paraId="7140E5F0">
      <w:pPr>
        <w:adjustRightInd w:val="0"/>
        <w:snapToGrid w:val="0"/>
        <w:spacing w:line="360" w:lineRule="auto"/>
        <w:ind w:firstLine="480" w:firstLineChars="200"/>
        <w:rPr>
          <w:color w:val="auto"/>
          <w:sz w:val="24"/>
          <w:highlight w:val="none"/>
        </w:rPr>
      </w:pPr>
      <w:r>
        <w:rPr>
          <w:color w:val="auto"/>
          <w:sz w:val="24"/>
          <w:highlight w:val="none"/>
        </w:rPr>
        <w:t>供应商使用CA数字证书或电子营业执照登录北京市政府采购电子交易平台获取电子招标文件。</w:t>
      </w:r>
    </w:p>
    <w:p w14:paraId="1BD1E959">
      <w:pPr>
        <w:adjustRightInd w:val="0"/>
        <w:snapToGrid w:val="0"/>
        <w:spacing w:line="360" w:lineRule="auto"/>
        <w:ind w:firstLine="480" w:firstLineChars="200"/>
        <w:rPr>
          <w:color w:val="auto"/>
          <w:sz w:val="24"/>
          <w:highlight w:val="none"/>
        </w:rPr>
      </w:pPr>
      <w:r>
        <w:rPr>
          <w:color w:val="auto"/>
          <w:sz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099248E">
      <w:pPr>
        <w:adjustRightInd w:val="0"/>
        <w:snapToGrid w:val="0"/>
        <w:spacing w:line="360" w:lineRule="auto"/>
        <w:ind w:firstLine="480" w:firstLineChars="200"/>
        <w:rPr>
          <w:color w:val="auto"/>
          <w:sz w:val="24"/>
          <w:highlight w:val="none"/>
        </w:rPr>
      </w:pPr>
      <w:r>
        <w:rPr>
          <w:rFonts w:hint="eastAsia"/>
          <w:color w:val="auto"/>
          <w:sz w:val="24"/>
          <w:highlight w:val="none"/>
        </w:rPr>
        <w:t>2</w:t>
      </w:r>
      <w:r>
        <w:rPr>
          <w:color w:val="auto"/>
          <w:sz w:val="24"/>
          <w:highlight w:val="none"/>
        </w:rPr>
        <w:t>.5编制电子投标文件</w:t>
      </w:r>
    </w:p>
    <w:p w14:paraId="455BF19E">
      <w:pPr>
        <w:adjustRightInd w:val="0"/>
        <w:snapToGrid w:val="0"/>
        <w:spacing w:line="360" w:lineRule="auto"/>
        <w:ind w:firstLine="480" w:firstLineChars="200"/>
        <w:rPr>
          <w:color w:val="auto"/>
          <w:sz w:val="24"/>
          <w:highlight w:val="none"/>
        </w:rPr>
      </w:pPr>
      <w:r>
        <w:rPr>
          <w:color w:val="auto"/>
          <w:sz w:val="24"/>
          <w:highlight w:val="none"/>
        </w:rPr>
        <w:t>供应商应使用电子投标客户端编制电子投标文件并进行线上投标，供应商电子投标文件需要加密并加盖电子签章</w:t>
      </w:r>
      <w:r>
        <w:rPr>
          <w:bCs/>
          <w:color w:val="auto"/>
          <w:sz w:val="24"/>
          <w:highlight w:val="none"/>
        </w:rPr>
        <w:t>，如无法按照要求在电子投标文件中加盖电子签章和加密，请及时通过技术支持服务热线联系技术人员</w:t>
      </w:r>
      <w:r>
        <w:rPr>
          <w:color w:val="auto"/>
          <w:sz w:val="24"/>
          <w:highlight w:val="none"/>
        </w:rPr>
        <w:t>。</w:t>
      </w:r>
    </w:p>
    <w:p w14:paraId="4C8D695B">
      <w:pPr>
        <w:widowControl/>
        <w:spacing w:line="360" w:lineRule="auto"/>
        <w:ind w:firstLine="480" w:firstLineChars="200"/>
        <w:jc w:val="left"/>
        <w:rPr>
          <w:color w:val="auto"/>
          <w:sz w:val="24"/>
          <w:highlight w:val="none"/>
          <w:lang w:val="zh-TW"/>
        </w:rPr>
      </w:pPr>
      <w:r>
        <w:rPr>
          <w:rFonts w:hint="eastAsia"/>
          <w:color w:val="auto"/>
          <w:sz w:val="24"/>
          <w:highlight w:val="none"/>
        </w:rPr>
        <w:t>2</w:t>
      </w:r>
      <w:r>
        <w:rPr>
          <w:color w:val="auto"/>
          <w:sz w:val="24"/>
          <w:highlight w:val="none"/>
          <w:lang w:val="zh-TW" w:eastAsia="zh-TW"/>
        </w:rPr>
        <w:t>.6</w:t>
      </w:r>
      <w:r>
        <w:rPr>
          <w:color w:val="auto"/>
          <w:sz w:val="24"/>
          <w:highlight w:val="none"/>
          <w:lang w:val="zh-TW"/>
        </w:rPr>
        <w:t>提交电子投标文件</w:t>
      </w:r>
    </w:p>
    <w:p w14:paraId="56618F94">
      <w:pPr>
        <w:widowControl/>
        <w:spacing w:line="360" w:lineRule="auto"/>
        <w:ind w:firstLine="480" w:firstLineChars="200"/>
        <w:jc w:val="left"/>
        <w:rPr>
          <w:color w:val="auto"/>
          <w:sz w:val="24"/>
          <w:highlight w:val="none"/>
        </w:rPr>
      </w:pPr>
      <w:r>
        <w:rPr>
          <w:color w:val="auto"/>
          <w:sz w:val="24"/>
          <w:highlight w:val="none"/>
        </w:rPr>
        <w:t>供应商应于投标截止时间前在北京市政府采购电子交易平台提交电子投标文件，上传电子投标文件过程中请保持与互联网的连接畅通。</w:t>
      </w:r>
    </w:p>
    <w:p w14:paraId="1213D15B">
      <w:pPr>
        <w:widowControl/>
        <w:spacing w:line="360" w:lineRule="auto"/>
        <w:ind w:firstLine="480" w:firstLineChars="200"/>
        <w:jc w:val="left"/>
        <w:rPr>
          <w:color w:val="auto"/>
          <w:sz w:val="24"/>
          <w:highlight w:val="none"/>
          <w:lang w:eastAsia="zh-TW"/>
        </w:rPr>
      </w:pPr>
      <w:r>
        <w:rPr>
          <w:rFonts w:hint="eastAsia"/>
          <w:color w:val="auto"/>
          <w:sz w:val="24"/>
          <w:highlight w:val="none"/>
        </w:rPr>
        <w:t>2</w:t>
      </w:r>
      <w:r>
        <w:rPr>
          <w:color w:val="auto"/>
          <w:sz w:val="24"/>
          <w:highlight w:val="none"/>
          <w:lang w:val="zh-TW"/>
        </w:rPr>
        <w:t>.</w:t>
      </w:r>
      <w:r>
        <w:rPr>
          <w:color w:val="auto"/>
          <w:sz w:val="24"/>
          <w:highlight w:val="none"/>
          <w:lang w:val="zh-TW" w:eastAsia="zh-TW"/>
        </w:rPr>
        <w:t>7</w:t>
      </w:r>
      <w:r>
        <w:rPr>
          <w:color w:val="auto"/>
          <w:sz w:val="24"/>
          <w:highlight w:val="none"/>
          <w:lang w:val="zh-TW"/>
        </w:rPr>
        <w:t>电子开标</w:t>
      </w:r>
    </w:p>
    <w:p w14:paraId="0E141153">
      <w:pPr>
        <w:spacing w:line="360" w:lineRule="auto"/>
        <w:ind w:firstLine="480" w:firstLineChars="200"/>
        <w:rPr>
          <w:color w:val="auto"/>
          <w:sz w:val="24"/>
          <w:highlight w:val="none"/>
          <w:lang w:eastAsia="zh-TW"/>
        </w:rPr>
      </w:pPr>
      <w:r>
        <w:rPr>
          <w:color w:val="auto"/>
          <w:sz w:val="24"/>
          <w:highlight w:val="none"/>
          <w:lang w:val="zh-TW"/>
        </w:rPr>
        <w:t>供应商在开标地点使用</w:t>
      </w:r>
      <w:r>
        <w:rPr>
          <w:color w:val="auto"/>
          <w:sz w:val="24"/>
          <w:highlight w:val="none"/>
        </w:rPr>
        <w:t>CA数字证书或电子营业执照</w:t>
      </w:r>
      <w:r>
        <w:rPr>
          <w:color w:val="auto"/>
          <w:sz w:val="24"/>
          <w:highlight w:val="none"/>
          <w:lang w:val="zh-TW"/>
        </w:rPr>
        <w:t>登录</w:t>
      </w:r>
      <w:r>
        <w:rPr>
          <w:color w:val="auto"/>
          <w:sz w:val="24"/>
          <w:highlight w:val="none"/>
        </w:rPr>
        <w:t>北京市政府采购电子交易平台进行电子开标</w:t>
      </w:r>
      <w:r>
        <w:rPr>
          <w:color w:val="auto"/>
          <w:sz w:val="24"/>
          <w:highlight w:val="none"/>
          <w:lang w:val="zh-TW"/>
        </w:rPr>
        <w:t>。</w:t>
      </w:r>
    </w:p>
    <w:p w14:paraId="7FF548D8">
      <w:pPr>
        <w:spacing w:line="360" w:lineRule="auto"/>
        <w:ind w:firstLine="480" w:firstLineChars="200"/>
        <w:rPr>
          <w:color w:val="auto"/>
          <w:sz w:val="24"/>
          <w:highlight w:val="none"/>
        </w:rPr>
      </w:pPr>
    </w:p>
    <w:p w14:paraId="5235E49D">
      <w:pPr>
        <w:pStyle w:val="3"/>
        <w:spacing w:before="0" w:line="360" w:lineRule="auto"/>
        <w:jc w:val="left"/>
        <w:rPr>
          <w:rFonts w:ascii="Times New Roman" w:hAnsi="Times New Roman" w:eastAsia="宋体"/>
          <w:color w:val="auto"/>
          <w:sz w:val="24"/>
          <w:szCs w:val="24"/>
          <w:highlight w:val="none"/>
        </w:rPr>
      </w:pPr>
      <w:bookmarkStart w:id="27" w:name="_Toc28359008"/>
      <w:bookmarkStart w:id="28" w:name="_Toc35393627"/>
      <w:bookmarkStart w:id="29" w:name="_Toc35393796"/>
      <w:bookmarkStart w:id="30" w:name="_Toc28359085"/>
      <w:r>
        <w:rPr>
          <w:rFonts w:ascii="Times New Roman" w:hAnsi="Times New Roman" w:eastAsia="宋体"/>
          <w:color w:val="auto"/>
          <w:sz w:val="24"/>
          <w:szCs w:val="24"/>
          <w:highlight w:val="none"/>
        </w:rPr>
        <w:t>七、对本次招标提出询问，请按以下方式联系。</w:t>
      </w:r>
      <w:bookmarkEnd w:id="27"/>
      <w:bookmarkEnd w:id="28"/>
      <w:bookmarkEnd w:id="29"/>
      <w:bookmarkEnd w:id="30"/>
    </w:p>
    <w:p w14:paraId="104E98D1">
      <w:pPr>
        <w:spacing w:line="360" w:lineRule="auto"/>
        <w:ind w:left="1080" w:leftChars="371" w:hanging="301" w:hangingChars="125"/>
        <w:jc w:val="left"/>
        <w:rPr>
          <w:b/>
          <w:color w:val="auto"/>
          <w:sz w:val="24"/>
          <w:highlight w:val="none"/>
        </w:rPr>
      </w:pPr>
      <w:r>
        <w:rPr>
          <w:b/>
          <w:color w:val="auto"/>
          <w:sz w:val="24"/>
          <w:highlight w:val="none"/>
        </w:rPr>
        <w:t>1.采购人信息</w:t>
      </w:r>
    </w:p>
    <w:p w14:paraId="2BC627EF">
      <w:pPr>
        <w:spacing w:line="360" w:lineRule="auto"/>
        <w:ind w:left="1079" w:leftChars="371" w:hanging="300" w:hangingChars="125"/>
        <w:jc w:val="left"/>
        <w:rPr>
          <w:rFonts w:hint="eastAsia"/>
          <w:color w:val="auto"/>
          <w:sz w:val="24"/>
          <w:highlight w:val="none"/>
        </w:rPr>
      </w:pPr>
      <w:bookmarkStart w:id="31" w:name="_Toc28359086"/>
      <w:bookmarkStart w:id="32" w:name="_Toc28359009"/>
      <w:r>
        <w:rPr>
          <w:color w:val="auto"/>
          <w:sz w:val="24"/>
          <w:highlight w:val="none"/>
        </w:rPr>
        <w:t>名    称：</w:t>
      </w:r>
      <w:r>
        <w:rPr>
          <w:rFonts w:hint="eastAsia"/>
          <w:color w:val="auto"/>
          <w:sz w:val="24"/>
          <w:highlight w:val="none"/>
        </w:rPr>
        <w:t>北京肿瘤医院</w:t>
      </w:r>
    </w:p>
    <w:p w14:paraId="61CD26A0">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rPr>
        <w:t>北京市海淀区阜成路52号</w:t>
      </w:r>
    </w:p>
    <w:p w14:paraId="1D643A82">
      <w:pPr>
        <w:spacing w:line="360" w:lineRule="auto"/>
        <w:ind w:left="1079" w:leftChars="371" w:hanging="300" w:hangingChars="125"/>
        <w:jc w:val="left"/>
        <w:rPr>
          <w:color w:val="auto"/>
          <w:sz w:val="24"/>
          <w:highlight w:val="none"/>
          <w:u w:val="single"/>
        </w:rPr>
      </w:pPr>
      <w:r>
        <w:rPr>
          <w:color w:val="auto"/>
          <w:sz w:val="24"/>
          <w:highlight w:val="none"/>
        </w:rPr>
        <w:t>联系方式：</w:t>
      </w:r>
      <w:r>
        <w:rPr>
          <w:rFonts w:hint="eastAsia"/>
          <w:color w:val="auto"/>
          <w:sz w:val="24"/>
          <w:highlight w:val="none"/>
        </w:rPr>
        <w:t>88196307</w:t>
      </w:r>
    </w:p>
    <w:p w14:paraId="2CC62315">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31"/>
      <w:bookmarkEnd w:id="32"/>
    </w:p>
    <w:p w14:paraId="3CA3360B">
      <w:pPr>
        <w:spacing w:line="360" w:lineRule="auto"/>
        <w:ind w:left="1079" w:leftChars="371" w:hanging="300" w:hangingChars="125"/>
        <w:jc w:val="left"/>
        <w:rPr>
          <w:color w:val="auto"/>
          <w:sz w:val="24"/>
          <w:highlight w:val="none"/>
        </w:rPr>
      </w:pPr>
      <w:bookmarkStart w:id="33" w:name="_Toc28359087"/>
      <w:bookmarkStart w:id="34" w:name="_Toc28359010"/>
      <w:r>
        <w:rPr>
          <w:color w:val="auto"/>
          <w:sz w:val="24"/>
          <w:highlight w:val="none"/>
        </w:rPr>
        <w:t>名    称：</w:t>
      </w:r>
      <w:r>
        <w:rPr>
          <w:rFonts w:hint="eastAsia"/>
          <w:color w:val="auto"/>
          <w:sz w:val="24"/>
          <w:highlight w:val="none"/>
          <w:lang w:bidi="ar"/>
        </w:rPr>
        <w:t>北京市公共资源交易中心（北京市政府采购中心）</w:t>
      </w:r>
    </w:p>
    <w:p w14:paraId="6B1B386B">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lang w:bidi="ar"/>
        </w:rPr>
        <w:t>北京市丰台区玉林里45号腾飞大厦</w:t>
      </w:r>
    </w:p>
    <w:p w14:paraId="3D9B7703">
      <w:pPr>
        <w:spacing w:line="360" w:lineRule="auto"/>
        <w:ind w:left="1079" w:leftChars="371" w:hanging="300" w:hangingChars="125"/>
        <w:jc w:val="left"/>
        <w:rPr>
          <w:color w:val="auto"/>
          <w:sz w:val="24"/>
          <w:highlight w:val="none"/>
          <w:u w:val="single"/>
        </w:rPr>
      </w:pPr>
      <w:r>
        <w:rPr>
          <w:color w:val="auto"/>
          <w:sz w:val="24"/>
          <w:highlight w:val="none"/>
        </w:rPr>
        <w:t>联系方式：</w:t>
      </w:r>
      <w:r>
        <w:rPr>
          <w:rFonts w:hint="eastAsia"/>
          <w:color w:val="auto"/>
          <w:sz w:val="24"/>
          <w:highlight w:val="none"/>
        </w:rPr>
        <w:t>83916659</w:t>
      </w:r>
    </w:p>
    <w:p w14:paraId="5E20C246">
      <w:pPr>
        <w:spacing w:line="360" w:lineRule="auto"/>
        <w:ind w:left="1080" w:leftChars="371" w:hanging="301" w:hangingChars="125"/>
        <w:jc w:val="left"/>
        <w:rPr>
          <w:b/>
          <w:color w:val="auto"/>
          <w:sz w:val="24"/>
          <w:highlight w:val="none"/>
          <w:u w:val="single"/>
        </w:rPr>
      </w:pPr>
      <w:r>
        <w:rPr>
          <w:b/>
          <w:color w:val="auto"/>
          <w:sz w:val="24"/>
          <w:highlight w:val="none"/>
        </w:rPr>
        <w:t>3.项目联系方式</w:t>
      </w:r>
      <w:bookmarkEnd w:id="33"/>
      <w:bookmarkEnd w:id="34"/>
    </w:p>
    <w:p w14:paraId="2FCA9C7E">
      <w:pPr>
        <w:spacing w:line="360" w:lineRule="auto"/>
        <w:ind w:left="1079" w:leftChars="371" w:hanging="300" w:hangingChars="125"/>
        <w:jc w:val="left"/>
        <w:rPr>
          <w:color w:val="auto"/>
          <w:sz w:val="24"/>
          <w:highlight w:val="none"/>
        </w:rPr>
      </w:pPr>
      <w:r>
        <w:rPr>
          <w:color w:val="auto"/>
          <w:sz w:val="24"/>
          <w:highlight w:val="none"/>
        </w:rPr>
        <w:t>项目联系人：</w:t>
      </w:r>
      <w:r>
        <w:rPr>
          <w:rFonts w:hint="eastAsia"/>
          <w:color w:val="auto"/>
          <w:sz w:val="24"/>
          <w:highlight w:val="none"/>
        </w:rPr>
        <w:t>高老师</w:t>
      </w:r>
    </w:p>
    <w:p w14:paraId="27C5093B">
      <w:pPr>
        <w:spacing w:line="360" w:lineRule="auto"/>
        <w:ind w:left="1079" w:leftChars="371" w:hanging="300" w:hangingChars="125"/>
        <w:jc w:val="left"/>
        <w:rPr>
          <w:color w:val="auto"/>
          <w:sz w:val="24"/>
          <w:highlight w:val="none"/>
        </w:rPr>
      </w:pPr>
      <w:r>
        <w:rPr>
          <w:color w:val="auto"/>
          <w:sz w:val="24"/>
          <w:highlight w:val="none"/>
        </w:rPr>
        <w:t>电      话：</w:t>
      </w:r>
      <w:r>
        <w:rPr>
          <w:rFonts w:hint="eastAsia"/>
          <w:color w:val="auto"/>
          <w:sz w:val="24"/>
          <w:highlight w:val="none"/>
        </w:rPr>
        <w:t>83916659</w:t>
      </w:r>
    </w:p>
    <w:p w14:paraId="5F94B86D">
      <w:pPr>
        <w:spacing w:line="360" w:lineRule="auto"/>
        <w:ind w:firstLine="5880" w:firstLineChars="2450"/>
        <w:jc w:val="right"/>
        <w:rPr>
          <w:color w:val="auto"/>
          <w:sz w:val="24"/>
          <w:highlight w:val="none"/>
        </w:rPr>
      </w:pPr>
    </w:p>
    <w:p w14:paraId="7725CED0">
      <w:pPr>
        <w:spacing w:line="360" w:lineRule="auto"/>
        <w:jc w:val="center"/>
        <w:outlineLvl w:val="0"/>
        <w:rPr>
          <w:b/>
          <w:color w:val="auto"/>
          <w:sz w:val="32"/>
          <w:szCs w:val="32"/>
          <w:highlight w:val="none"/>
        </w:rPr>
      </w:pPr>
      <w:r>
        <w:rPr>
          <w:color w:val="auto"/>
          <w:sz w:val="24"/>
          <w:highlight w:val="none"/>
        </w:rPr>
        <w:br w:type="page"/>
      </w:r>
      <w:bookmarkStart w:id="35" w:name="_Toc264969275"/>
      <w:bookmarkStart w:id="36" w:name="_Toc512937850"/>
      <w:bookmarkStart w:id="37" w:name="_Toc305158854"/>
      <w:bookmarkStart w:id="38" w:name="_Toc127161488"/>
      <w:bookmarkStart w:id="39" w:name="_Toc127151777"/>
      <w:bookmarkStart w:id="40" w:name="_Toc353873938"/>
      <w:bookmarkStart w:id="41" w:name="_Toc226965856"/>
      <w:bookmarkStart w:id="42" w:name="_Toc353825548"/>
      <w:bookmarkStart w:id="43" w:name="_Toc99301420"/>
      <w:bookmarkStart w:id="44" w:name="_Toc265228423"/>
      <w:bookmarkStart w:id="45" w:name="_Toc150774783"/>
      <w:bookmarkStart w:id="46" w:name="_Toc305158928"/>
      <w:bookmarkStart w:id="47" w:name="_Toc195842950"/>
      <w:bookmarkStart w:id="48" w:name="_Toc19924"/>
      <w:r>
        <w:rPr>
          <w:b/>
          <w:color w:val="auto"/>
          <w:sz w:val="36"/>
          <w:szCs w:val="36"/>
          <w:highlight w:val="none"/>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47CA280">
      <w:pPr>
        <w:pStyle w:val="3"/>
        <w:tabs>
          <w:tab w:val="center" w:pos="4592"/>
          <w:tab w:val="left" w:pos="7860"/>
        </w:tabs>
        <w:spacing w:before="0" w:line="360" w:lineRule="auto"/>
        <w:rPr>
          <w:rFonts w:ascii="Times New Roman" w:hAnsi="Times New Roman" w:eastAsia="宋体"/>
          <w:color w:val="auto"/>
          <w:sz w:val="28"/>
          <w:highlight w:val="none"/>
        </w:rPr>
      </w:pPr>
      <w:bookmarkStart w:id="49" w:name="_Toc151190146"/>
      <w:bookmarkStart w:id="50" w:name="_Toc150480757"/>
      <w:bookmarkStart w:id="51" w:name="_Toc164351613"/>
      <w:bookmarkStart w:id="52" w:name="_Toc142311021"/>
      <w:bookmarkStart w:id="53" w:name="_Toc127151720"/>
      <w:bookmarkStart w:id="54" w:name="_Toc151193617"/>
      <w:bookmarkStart w:id="55" w:name="_Toc150509270"/>
      <w:bookmarkStart w:id="56" w:name="_Toc195842884"/>
      <w:bookmarkStart w:id="57" w:name="_Toc151193833"/>
      <w:bookmarkStart w:id="58" w:name="_Toc226965709"/>
      <w:bookmarkStart w:id="59" w:name="_Toc150774619"/>
      <w:bookmarkStart w:id="60" w:name="_Toc164229360"/>
      <w:bookmarkStart w:id="61" w:name="_Toc520356144"/>
      <w:bookmarkStart w:id="62" w:name="_Toc151193907"/>
      <w:bookmarkStart w:id="63" w:name="_Toc164608633"/>
      <w:bookmarkStart w:id="64" w:name="_Toc149720812"/>
      <w:bookmarkStart w:id="65" w:name="_Toc151193689"/>
      <w:bookmarkStart w:id="66" w:name="_Toc226309763"/>
      <w:bookmarkStart w:id="67" w:name="_Toc127161433"/>
      <w:bookmarkStart w:id="68" w:name="_Toc226965792"/>
      <w:bookmarkStart w:id="69" w:name="_Toc127151519"/>
      <w:bookmarkStart w:id="70" w:name="_Toc226337215"/>
      <w:bookmarkStart w:id="71" w:name="_Toc150774724"/>
      <w:bookmarkStart w:id="72" w:name="_Toc151193761"/>
      <w:bookmarkStart w:id="73" w:name="_Toc164229214"/>
      <w:bookmarkStart w:id="74" w:name="_Toc164608788"/>
      <w:r>
        <w:rPr>
          <w:rFonts w:ascii="Times New Roman" w:hAnsi="Times New Roman" w:eastAsia="宋体"/>
          <w:color w:val="auto"/>
          <w:sz w:val="28"/>
          <w:highlight w:val="none"/>
        </w:rPr>
        <w:t>投标人须知资料表</w:t>
      </w:r>
    </w:p>
    <w:p w14:paraId="66B9C12A">
      <w:pPr>
        <w:jc w:val="center"/>
        <w:rPr>
          <w:b/>
          <w:color w:val="auto"/>
          <w:sz w:val="28"/>
          <w:szCs w:val="28"/>
          <w:highlight w:val="none"/>
        </w:rPr>
      </w:pPr>
    </w:p>
    <w:p w14:paraId="0A27A2DB">
      <w:pPr>
        <w:spacing w:line="360" w:lineRule="auto"/>
        <w:ind w:firstLine="480"/>
        <w:rPr>
          <w:color w:val="auto"/>
          <w:sz w:val="24"/>
          <w:highlight w:val="none"/>
        </w:rPr>
      </w:pPr>
      <w:r>
        <w:rPr>
          <w:color w:val="auto"/>
          <w:sz w:val="24"/>
          <w:highlight w:val="none"/>
        </w:rPr>
        <w:t>本表是对投标人须知的具体补充和修改，如有矛盾，均以本资料表为准。标记“</w:t>
      </w:r>
      <w:r>
        <w:rPr>
          <w:color w:val="auto"/>
          <w:sz w:val="24"/>
          <w:highlight w:val="none"/>
        </w:rPr>
        <w:sym w:font="Wingdings 2" w:char="0052"/>
      </w:r>
      <w:r>
        <w:rPr>
          <w:color w:val="auto"/>
          <w:sz w:val="24"/>
          <w:highlight w:val="none"/>
        </w:rPr>
        <w:t>”的选项意为适用于本项目，标记“□”的选项意为不适用于本项目。</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B78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2F4C0B08">
            <w:pPr>
              <w:jc w:val="center"/>
              <w:rPr>
                <w:b/>
                <w:bCs/>
                <w:color w:val="auto"/>
                <w:sz w:val="24"/>
                <w:highlight w:val="none"/>
              </w:rPr>
            </w:pPr>
            <w:r>
              <w:rPr>
                <w:b/>
                <w:color w:val="auto"/>
                <w:sz w:val="24"/>
                <w:highlight w:val="none"/>
              </w:rPr>
              <w:t>条款号</w:t>
            </w:r>
          </w:p>
        </w:tc>
        <w:tc>
          <w:tcPr>
            <w:tcW w:w="1701" w:type="dxa"/>
            <w:noWrap w:val="0"/>
            <w:vAlign w:val="center"/>
          </w:tcPr>
          <w:p w14:paraId="4B9F8E93">
            <w:pPr>
              <w:jc w:val="center"/>
              <w:rPr>
                <w:b/>
                <w:bCs/>
                <w:color w:val="auto"/>
                <w:sz w:val="24"/>
                <w:highlight w:val="none"/>
              </w:rPr>
            </w:pPr>
            <w:r>
              <w:rPr>
                <w:b/>
                <w:bCs/>
                <w:color w:val="auto"/>
                <w:sz w:val="24"/>
                <w:highlight w:val="none"/>
              </w:rPr>
              <w:t>条目</w:t>
            </w:r>
          </w:p>
        </w:tc>
        <w:tc>
          <w:tcPr>
            <w:tcW w:w="7540" w:type="dxa"/>
            <w:noWrap w:val="0"/>
            <w:vAlign w:val="center"/>
          </w:tcPr>
          <w:p w14:paraId="09A1D98E">
            <w:pPr>
              <w:jc w:val="center"/>
              <w:rPr>
                <w:b/>
                <w:bCs/>
                <w:color w:val="auto"/>
                <w:sz w:val="24"/>
                <w:highlight w:val="none"/>
              </w:rPr>
            </w:pPr>
            <w:r>
              <w:rPr>
                <w:b/>
                <w:bCs/>
                <w:color w:val="auto"/>
                <w:sz w:val="24"/>
                <w:highlight w:val="none"/>
              </w:rPr>
              <w:t>内容</w:t>
            </w:r>
          </w:p>
        </w:tc>
      </w:tr>
      <w:tr w14:paraId="439F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ADBA4F3">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w:t>
            </w:r>
          </w:p>
        </w:tc>
        <w:tc>
          <w:tcPr>
            <w:tcW w:w="1701" w:type="dxa"/>
            <w:noWrap w:val="0"/>
            <w:vAlign w:val="center"/>
          </w:tcPr>
          <w:p w14:paraId="2C9809EE">
            <w:pPr>
              <w:jc w:val="center"/>
              <w:rPr>
                <w:color w:val="auto"/>
                <w:sz w:val="24"/>
                <w:highlight w:val="none"/>
              </w:rPr>
            </w:pPr>
            <w:r>
              <w:rPr>
                <w:color w:val="auto"/>
                <w:sz w:val="24"/>
                <w:highlight w:val="none"/>
              </w:rPr>
              <w:t>项目属性</w:t>
            </w:r>
          </w:p>
        </w:tc>
        <w:tc>
          <w:tcPr>
            <w:tcW w:w="7540" w:type="dxa"/>
            <w:noWrap w:val="0"/>
            <w:vAlign w:val="center"/>
          </w:tcPr>
          <w:p w14:paraId="6BD02155">
            <w:pPr>
              <w:jc w:val="left"/>
              <w:rPr>
                <w:color w:val="auto"/>
                <w:sz w:val="24"/>
                <w:highlight w:val="none"/>
              </w:rPr>
            </w:pPr>
            <w:r>
              <w:rPr>
                <w:color w:val="auto"/>
                <w:sz w:val="24"/>
                <w:highlight w:val="none"/>
              </w:rPr>
              <w:t>项目属性：</w:t>
            </w:r>
          </w:p>
          <w:p w14:paraId="38545715">
            <w:pPr>
              <w:jc w:val="left"/>
              <w:rPr>
                <w:color w:val="auto"/>
                <w:sz w:val="24"/>
                <w:highlight w:val="none"/>
              </w:rPr>
            </w:pPr>
            <w:r>
              <w:rPr>
                <w:rFonts w:hint="eastAsia"/>
                <w:color w:val="auto"/>
                <w:sz w:val="24"/>
                <w:highlight w:val="none"/>
              </w:rPr>
              <w:t>☑</w:t>
            </w:r>
            <w:r>
              <w:rPr>
                <w:color w:val="auto"/>
                <w:sz w:val="24"/>
                <w:highlight w:val="none"/>
              </w:rPr>
              <w:t>服务</w:t>
            </w:r>
          </w:p>
          <w:p w14:paraId="6528F00B">
            <w:pPr>
              <w:jc w:val="left"/>
              <w:rPr>
                <w:color w:val="auto"/>
                <w:sz w:val="24"/>
                <w:highlight w:val="none"/>
              </w:rPr>
            </w:pPr>
            <w:r>
              <w:rPr>
                <w:color w:val="auto"/>
                <w:sz w:val="24"/>
                <w:highlight w:val="none"/>
              </w:rPr>
              <w:t>□货物</w:t>
            </w:r>
          </w:p>
        </w:tc>
      </w:tr>
      <w:tr w14:paraId="5B5F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23C77DF">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2.3</w:t>
            </w:r>
          </w:p>
        </w:tc>
        <w:tc>
          <w:tcPr>
            <w:tcW w:w="1701" w:type="dxa"/>
            <w:noWrap w:val="0"/>
            <w:vAlign w:val="center"/>
          </w:tcPr>
          <w:p w14:paraId="05528231">
            <w:pPr>
              <w:jc w:val="center"/>
              <w:rPr>
                <w:color w:val="auto"/>
                <w:sz w:val="24"/>
                <w:highlight w:val="none"/>
              </w:rPr>
            </w:pPr>
            <w:r>
              <w:rPr>
                <w:color w:val="auto"/>
                <w:sz w:val="24"/>
                <w:highlight w:val="none"/>
              </w:rPr>
              <w:t>科研仪器设备</w:t>
            </w:r>
          </w:p>
        </w:tc>
        <w:tc>
          <w:tcPr>
            <w:tcW w:w="7540" w:type="dxa"/>
            <w:noWrap w:val="0"/>
            <w:vAlign w:val="center"/>
          </w:tcPr>
          <w:p w14:paraId="250A8CE2">
            <w:pPr>
              <w:jc w:val="left"/>
              <w:rPr>
                <w:color w:val="auto"/>
                <w:sz w:val="24"/>
                <w:highlight w:val="none"/>
              </w:rPr>
            </w:pPr>
            <w:r>
              <w:rPr>
                <w:color w:val="auto"/>
                <w:sz w:val="24"/>
                <w:highlight w:val="none"/>
              </w:rPr>
              <w:t>是否属于科研仪器设备采购项目：</w:t>
            </w:r>
          </w:p>
          <w:p w14:paraId="350E58F8">
            <w:pPr>
              <w:jc w:val="left"/>
              <w:rPr>
                <w:color w:val="auto"/>
                <w:sz w:val="24"/>
                <w:highlight w:val="none"/>
              </w:rPr>
            </w:pPr>
            <w:r>
              <w:rPr>
                <w:color w:val="auto"/>
                <w:sz w:val="24"/>
                <w:highlight w:val="none"/>
              </w:rPr>
              <w:t>□是</w:t>
            </w:r>
          </w:p>
          <w:p w14:paraId="48E1909A">
            <w:pPr>
              <w:jc w:val="left"/>
              <w:rPr>
                <w:color w:val="auto"/>
                <w:sz w:val="24"/>
                <w:highlight w:val="none"/>
              </w:rPr>
            </w:pPr>
            <w:r>
              <w:rPr>
                <w:rFonts w:hint="eastAsia"/>
                <w:color w:val="auto"/>
                <w:sz w:val="24"/>
                <w:highlight w:val="none"/>
              </w:rPr>
              <w:t>☑</w:t>
            </w:r>
            <w:r>
              <w:rPr>
                <w:color w:val="auto"/>
                <w:sz w:val="24"/>
                <w:highlight w:val="none"/>
              </w:rPr>
              <w:t>否</w:t>
            </w:r>
          </w:p>
        </w:tc>
      </w:tr>
      <w:tr w14:paraId="77BB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815264">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2.4</w:t>
            </w:r>
          </w:p>
        </w:tc>
        <w:tc>
          <w:tcPr>
            <w:tcW w:w="1701" w:type="dxa"/>
            <w:noWrap w:val="0"/>
            <w:vAlign w:val="center"/>
          </w:tcPr>
          <w:p w14:paraId="457BCB88">
            <w:pPr>
              <w:jc w:val="center"/>
              <w:rPr>
                <w:color w:val="auto"/>
                <w:sz w:val="24"/>
                <w:highlight w:val="none"/>
              </w:rPr>
            </w:pPr>
            <w:r>
              <w:rPr>
                <w:color w:val="auto"/>
                <w:sz w:val="24"/>
                <w:highlight w:val="none"/>
              </w:rPr>
              <w:t>核心产品</w:t>
            </w:r>
          </w:p>
        </w:tc>
        <w:tc>
          <w:tcPr>
            <w:tcW w:w="7540" w:type="dxa"/>
            <w:noWrap w:val="0"/>
            <w:vAlign w:val="center"/>
          </w:tcPr>
          <w:p w14:paraId="25527083">
            <w:pPr>
              <w:pStyle w:val="24"/>
              <w:adjustRightInd w:val="0"/>
              <w:snapToGrid w:val="0"/>
              <w:rPr>
                <w:rFonts w:hint="default" w:ascii="Times New Roman" w:hAnsi="Times New Roman"/>
                <w:color w:val="auto"/>
                <w:sz w:val="24"/>
                <w:szCs w:val="24"/>
                <w:highlight w:val="none"/>
              </w:rPr>
            </w:pPr>
            <w:r>
              <w:rPr>
                <w:rFonts w:ascii="Times New Roman" w:hAnsi="Times New Roman"/>
                <w:color w:val="auto"/>
                <w:sz w:val="24"/>
                <w:szCs w:val="24"/>
                <w:highlight w:val="none"/>
              </w:rPr>
              <w:t>☑</w:t>
            </w:r>
            <w:r>
              <w:rPr>
                <w:rFonts w:hint="default" w:ascii="Times New Roman" w:hAnsi="Times New Roman"/>
                <w:color w:val="auto"/>
                <w:sz w:val="24"/>
                <w:szCs w:val="24"/>
                <w:highlight w:val="none"/>
              </w:rPr>
              <w:t>关于核心产品本项目不适用。</w:t>
            </w:r>
          </w:p>
          <w:p w14:paraId="19EEB441">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□本项目__包为单一产品采购项目。</w:t>
            </w:r>
          </w:p>
          <w:p w14:paraId="33584DE9">
            <w:pPr>
              <w:jc w:val="left"/>
              <w:rPr>
                <w:color w:val="auto"/>
                <w:sz w:val="24"/>
                <w:highlight w:val="none"/>
              </w:rPr>
            </w:pPr>
            <w:r>
              <w:rPr>
                <w:color w:val="auto"/>
                <w:sz w:val="24"/>
                <w:highlight w:val="none"/>
              </w:rPr>
              <w:t>□本项目__包为非单一产品采购项目，核心产品为：____。</w:t>
            </w:r>
          </w:p>
        </w:tc>
      </w:tr>
      <w:tr w14:paraId="1EA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7C6114CD">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3.1</w:t>
            </w:r>
          </w:p>
        </w:tc>
        <w:tc>
          <w:tcPr>
            <w:tcW w:w="1701" w:type="dxa"/>
            <w:noWrap w:val="0"/>
            <w:vAlign w:val="center"/>
          </w:tcPr>
          <w:p w14:paraId="7C77F926">
            <w:pPr>
              <w:jc w:val="center"/>
              <w:rPr>
                <w:color w:val="auto"/>
                <w:sz w:val="24"/>
                <w:highlight w:val="none"/>
              </w:rPr>
            </w:pPr>
            <w:r>
              <w:rPr>
                <w:color w:val="auto"/>
                <w:sz w:val="24"/>
                <w:highlight w:val="none"/>
              </w:rPr>
              <w:t>现场考察</w:t>
            </w:r>
          </w:p>
        </w:tc>
        <w:tc>
          <w:tcPr>
            <w:tcW w:w="7540" w:type="dxa"/>
            <w:noWrap w:val="0"/>
            <w:vAlign w:val="center"/>
          </w:tcPr>
          <w:p w14:paraId="0CF08692">
            <w:pPr>
              <w:jc w:val="left"/>
              <w:rPr>
                <w:color w:val="auto"/>
                <w:sz w:val="24"/>
                <w:highlight w:val="none"/>
              </w:rPr>
            </w:pPr>
            <w:r>
              <w:rPr>
                <w:rFonts w:hint="eastAsia"/>
                <w:color w:val="auto"/>
                <w:sz w:val="24"/>
                <w:highlight w:val="none"/>
              </w:rPr>
              <w:t>☑</w:t>
            </w:r>
            <w:r>
              <w:rPr>
                <w:color w:val="auto"/>
                <w:sz w:val="24"/>
                <w:highlight w:val="none"/>
              </w:rPr>
              <w:t>不组织</w:t>
            </w:r>
          </w:p>
          <w:p w14:paraId="6ABD8DA6">
            <w:pPr>
              <w:jc w:val="left"/>
              <w:rPr>
                <w:bCs/>
                <w:color w:val="auto"/>
                <w:sz w:val="24"/>
                <w:highlight w:val="none"/>
              </w:rPr>
            </w:pPr>
            <w:r>
              <w:rPr>
                <w:color w:val="auto"/>
                <w:sz w:val="24"/>
                <w:highlight w:val="none"/>
              </w:rPr>
              <w:t>□组织，考察时间：__年_月_日_</w:t>
            </w:r>
            <w:r>
              <w:rPr>
                <w:bCs/>
                <w:color w:val="auto"/>
                <w:sz w:val="24"/>
                <w:highlight w:val="none"/>
              </w:rPr>
              <w:t>点</w:t>
            </w:r>
            <w:r>
              <w:rPr>
                <w:color w:val="auto"/>
                <w:sz w:val="24"/>
                <w:highlight w:val="none"/>
              </w:rPr>
              <w:t>_</w:t>
            </w:r>
            <w:r>
              <w:rPr>
                <w:bCs/>
                <w:color w:val="auto"/>
                <w:sz w:val="24"/>
                <w:highlight w:val="none"/>
              </w:rPr>
              <w:t>分</w:t>
            </w:r>
          </w:p>
          <w:p w14:paraId="02A220B1">
            <w:pPr>
              <w:pStyle w:val="24"/>
              <w:adjustRightInd w:val="0"/>
              <w:snapToGrid w:val="0"/>
              <w:rPr>
                <w:rFonts w:hint="default" w:ascii="Times New Roman" w:hAnsi="Times New Roman"/>
                <w:color w:val="auto"/>
                <w:sz w:val="24"/>
                <w:szCs w:val="24"/>
                <w:highlight w:val="none"/>
              </w:rPr>
            </w:pPr>
            <w:r>
              <w:rPr>
                <w:rFonts w:hint="default" w:ascii="Times New Roman" w:hAnsi="Times New Roman"/>
                <w:color w:val="auto"/>
                <w:sz w:val="24"/>
                <w:highlight w:val="none"/>
              </w:rPr>
              <w:t>考察地点：____________。</w:t>
            </w:r>
          </w:p>
        </w:tc>
      </w:tr>
      <w:tr w14:paraId="5D34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0ABC0F8">
            <w:pPr>
              <w:pStyle w:val="24"/>
              <w:adjustRightInd w:val="0"/>
              <w:snapToGrid w:val="0"/>
              <w:jc w:val="center"/>
              <w:rPr>
                <w:rFonts w:hint="default" w:ascii="Times New Roman" w:hAnsi="Times New Roman"/>
                <w:color w:val="auto"/>
                <w:sz w:val="24"/>
                <w:szCs w:val="24"/>
                <w:highlight w:val="none"/>
              </w:rPr>
            </w:pPr>
          </w:p>
        </w:tc>
        <w:tc>
          <w:tcPr>
            <w:tcW w:w="1701" w:type="dxa"/>
            <w:noWrap w:val="0"/>
            <w:vAlign w:val="center"/>
          </w:tcPr>
          <w:p w14:paraId="4BE7E683">
            <w:pPr>
              <w:jc w:val="center"/>
              <w:rPr>
                <w:color w:val="auto"/>
                <w:sz w:val="24"/>
                <w:highlight w:val="none"/>
              </w:rPr>
            </w:pPr>
            <w:r>
              <w:rPr>
                <w:color w:val="auto"/>
                <w:sz w:val="24"/>
                <w:highlight w:val="none"/>
              </w:rPr>
              <w:t>开标前答疑会</w:t>
            </w:r>
          </w:p>
        </w:tc>
        <w:tc>
          <w:tcPr>
            <w:tcW w:w="7540" w:type="dxa"/>
            <w:noWrap w:val="0"/>
            <w:vAlign w:val="center"/>
          </w:tcPr>
          <w:p w14:paraId="27CA0A92">
            <w:pPr>
              <w:jc w:val="left"/>
              <w:rPr>
                <w:color w:val="auto"/>
                <w:sz w:val="24"/>
                <w:highlight w:val="none"/>
              </w:rPr>
            </w:pPr>
            <w:r>
              <w:rPr>
                <w:color w:val="auto"/>
                <w:sz w:val="24"/>
                <w:highlight w:val="none"/>
              </w:rPr>
              <w:sym w:font="Wingdings 2" w:char="0052"/>
            </w:r>
            <w:r>
              <w:rPr>
                <w:color w:val="auto"/>
                <w:sz w:val="24"/>
                <w:highlight w:val="none"/>
              </w:rPr>
              <w:t>不召开</w:t>
            </w:r>
          </w:p>
          <w:p w14:paraId="124AC789">
            <w:pPr>
              <w:jc w:val="left"/>
              <w:rPr>
                <w:color w:val="auto"/>
                <w:sz w:val="24"/>
                <w:highlight w:val="none"/>
              </w:rPr>
            </w:pPr>
            <w:r>
              <w:rPr>
                <w:color w:val="auto"/>
                <w:sz w:val="24"/>
                <w:highlight w:val="none"/>
              </w:rPr>
              <w:t>□召开，召开时间：__年_月_日_</w:t>
            </w:r>
            <w:r>
              <w:rPr>
                <w:bCs/>
                <w:color w:val="auto"/>
                <w:sz w:val="24"/>
                <w:highlight w:val="none"/>
              </w:rPr>
              <w:t>点</w:t>
            </w:r>
            <w:r>
              <w:rPr>
                <w:color w:val="auto"/>
                <w:sz w:val="24"/>
                <w:highlight w:val="none"/>
              </w:rPr>
              <w:t>_</w:t>
            </w:r>
            <w:r>
              <w:rPr>
                <w:bCs/>
                <w:color w:val="auto"/>
                <w:sz w:val="24"/>
                <w:highlight w:val="none"/>
              </w:rPr>
              <w:t>分</w:t>
            </w:r>
          </w:p>
          <w:p w14:paraId="4BF44913">
            <w:pPr>
              <w:jc w:val="left"/>
              <w:rPr>
                <w:color w:val="auto"/>
                <w:sz w:val="24"/>
                <w:highlight w:val="none"/>
              </w:rPr>
            </w:pPr>
            <w:r>
              <w:rPr>
                <w:color w:val="auto"/>
                <w:sz w:val="24"/>
                <w:highlight w:val="none"/>
              </w:rPr>
              <w:t>召开地点：____________。</w:t>
            </w:r>
          </w:p>
        </w:tc>
      </w:tr>
      <w:tr w14:paraId="51D4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F852DDB">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4.1</w:t>
            </w:r>
          </w:p>
        </w:tc>
        <w:tc>
          <w:tcPr>
            <w:tcW w:w="1701" w:type="dxa"/>
            <w:noWrap w:val="0"/>
            <w:vAlign w:val="center"/>
          </w:tcPr>
          <w:p w14:paraId="2AAFD4D0">
            <w:pPr>
              <w:jc w:val="center"/>
              <w:rPr>
                <w:color w:val="auto"/>
                <w:sz w:val="24"/>
                <w:highlight w:val="none"/>
              </w:rPr>
            </w:pPr>
            <w:r>
              <w:rPr>
                <w:color w:val="auto"/>
                <w:sz w:val="24"/>
                <w:highlight w:val="none"/>
              </w:rPr>
              <w:t>样品</w:t>
            </w:r>
          </w:p>
        </w:tc>
        <w:tc>
          <w:tcPr>
            <w:tcW w:w="7540" w:type="dxa"/>
            <w:noWrap w:val="0"/>
            <w:vAlign w:val="center"/>
          </w:tcPr>
          <w:p w14:paraId="0A05ADB8">
            <w:pPr>
              <w:jc w:val="left"/>
              <w:rPr>
                <w:color w:val="auto"/>
                <w:sz w:val="24"/>
                <w:highlight w:val="none"/>
              </w:rPr>
            </w:pPr>
            <w:r>
              <w:rPr>
                <w:color w:val="auto"/>
                <w:sz w:val="24"/>
                <w:highlight w:val="none"/>
              </w:rPr>
              <w:t>投标样品递交：</w:t>
            </w:r>
          </w:p>
          <w:p w14:paraId="4FBCD85D">
            <w:pPr>
              <w:jc w:val="left"/>
              <w:rPr>
                <w:color w:val="auto"/>
                <w:sz w:val="24"/>
                <w:highlight w:val="none"/>
              </w:rPr>
            </w:pPr>
            <w:r>
              <w:rPr>
                <w:rFonts w:hint="eastAsia"/>
                <w:color w:val="auto"/>
                <w:sz w:val="24"/>
                <w:highlight w:val="none"/>
              </w:rPr>
              <w:t>☑</w:t>
            </w:r>
            <w:r>
              <w:rPr>
                <w:color w:val="auto"/>
                <w:sz w:val="24"/>
                <w:highlight w:val="none"/>
              </w:rPr>
              <w:t>不需要</w:t>
            </w:r>
          </w:p>
          <w:p w14:paraId="2A6F2BA5">
            <w:pPr>
              <w:jc w:val="left"/>
              <w:rPr>
                <w:color w:val="auto"/>
                <w:sz w:val="24"/>
                <w:highlight w:val="none"/>
              </w:rPr>
            </w:pPr>
            <w:r>
              <w:rPr>
                <w:color w:val="auto"/>
                <w:sz w:val="24"/>
                <w:highlight w:val="none"/>
              </w:rPr>
              <w:t>□需要，具体要求如下：</w:t>
            </w:r>
          </w:p>
          <w:p w14:paraId="1FA23D4D">
            <w:pPr>
              <w:jc w:val="left"/>
              <w:rPr>
                <w:color w:val="auto"/>
                <w:sz w:val="24"/>
                <w:highlight w:val="none"/>
                <w:u w:val="single"/>
              </w:rPr>
            </w:pPr>
            <w:r>
              <w:rPr>
                <w:color w:val="auto"/>
                <w:sz w:val="24"/>
                <w:highlight w:val="none"/>
              </w:rPr>
              <w:t>（1）样品制作的标准和要求：_________；</w:t>
            </w:r>
          </w:p>
          <w:p w14:paraId="33BAA4A0">
            <w:pPr>
              <w:jc w:val="left"/>
              <w:rPr>
                <w:color w:val="auto"/>
                <w:sz w:val="24"/>
                <w:highlight w:val="none"/>
              </w:rPr>
            </w:pPr>
            <w:r>
              <w:rPr>
                <w:color w:val="auto"/>
                <w:sz w:val="24"/>
                <w:highlight w:val="none"/>
              </w:rPr>
              <w:t>（2）是否需要随样品提交相关检测报告：</w:t>
            </w:r>
          </w:p>
          <w:p w14:paraId="3FEC92CC">
            <w:pPr>
              <w:ind w:firstLine="600" w:firstLineChars="250"/>
              <w:jc w:val="left"/>
              <w:rPr>
                <w:color w:val="auto"/>
                <w:sz w:val="24"/>
                <w:highlight w:val="none"/>
              </w:rPr>
            </w:pPr>
            <w:r>
              <w:rPr>
                <w:color w:val="auto"/>
                <w:sz w:val="24"/>
                <w:highlight w:val="none"/>
              </w:rPr>
              <w:t>□不需要</w:t>
            </w:r>
          </w:p>
          <w:p w14:paraId="63530A4A">
            <w:pPr>
              <w:ind w:firstLine="600" w:firstLineChars="250"/>
              <w:jc w:val="left"/>
              <w:rPr>
                <w:color w:val="auto"/>
                <w:sz w:val="24"/>
                <w:highlight w:val="none"/>
              </w:rPr>
            </w:pPr>
            <w:r>
              <w:rPr>
                <w:color w:val="auto"/>
                <w:sz w:val="24"/>
                <w:highlight w:val="none"/>
              </w:rPr>
              <w:t>□需要</w:t>
            </w:r>
          </w:p>
          <w:p w14:paraId="04AA3D8C">
            <w:pPr>
              <w:jc w:val="left"/>
              <w:rPr>
                <w:color w:val="auto"/>
                <w:sz w:val="24"/>
                <w:highlight w:val="none"/>
              </w:rPr>
            </w:pPr>
            <w:r>
              <w:rPr>
                <w:color w:val="auto"/>
                <w:sz w:val="24"/>
                <w:highlight w:val="none"/>
              </w:rPr>
              <w:t>（3）样品递交要求：_________；</w:t>
            </w:r>
          </w:p>
          <w:p w14:paraId="2E637F26">
            <w:pPr>
              <w:jc w:val="left"/>
              <w:rPr>
                <w:color w:val="auto"/>
                <w:sz w:val="24"/>
                <w:highlight w:val="none"/>
              </w:rPr>
            </w:pPr>
            <w:r>
              <w:rPr>
                <w:color w:val="auto"/>
                <w:sz w:val="24"/>
                <w:highlight w:val="none"/>
              </w:rPr>
              <w:t>（4）未中标人样品退还：_________；</w:t>
            </w:r>
          </w:p>
          <w:p w14:paraId="76CCB138">
            <w:pPr>
              <w:jc w:val="left"/>
              <w:rPr>
                <w:color w:val="auto"/>
                <w:sz w:val="24"/>
                <w:highlight w:val="none"/>
                <w:u w:val="single"/>
              </w:rPr>
            </w:pPr>
            <w:r>
              <w:rPr>
                <w:color w:val="auto"/>
                <w:sz w:val="24"/>
                <w:highlight w:val="none"/>
              </w:rPr>
              <w:t>（5）中标人样品保管、封存及退还：_________；</w:t>
            </w:r>
          </w:p>
          <w:p w14:paraId="2C024F9D">
            <w:pPr>
              <w:jc w:val="left"/>
              <w:rPr>
                <w:color w:val="auto"/>
                <w:sz w:val="24"/>
                <w:highlight w:val="none"/>
              </w:rPr>
            </w:pPr>
            <w:r>
              <w:rPr>
                <w:color w:val="auto"/>
                <w:sz w:val="24"/>
                <w:highlight w:val="none"/>
              </w:rPr>
              <w:t>（6）其他要求（如有）：_________。</w:t>
            </w:r>
          </w:p>
        </w:tc>
      </w:tr>
      <w:tr w14:paraId="75D3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0C605BB1">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5.2.5</w:t>
            </w:r>
          </w:p>
        </w:tc>
        <w:tc>
          <w:tcPr>
            <w:tcW w:w="1701" w:type="dxa"/>
            <w:noWrap w:val="0"/>
            <w:vAlign w:val="center"/>
          </w:tcPr>
          <w:p w14:paraId="34453DBD">
            <w:pPr>
              <w:jc w:val="center"/>
              <w:rPr>
                <w:color w:val="auto"/>
                <w:sz w:val="24"/>
                <w:highlight w:val="none"/>
              </w:rPr>
            </w:pPr>
            <w:r>
              <w:rPr>
                <w:color w:val="auto"/>
                <w:sz w:val="24"/>
                <w:highlight w:val="none"/>
              </w:rPr>
              <w:t>标的所属行业</w:t>
            </w:r>
          </w:p>
        </w:tc>
        <w:tc>
          <w:tcPr>
            <w:tcW w:w="7540" w:type="dxa"/>
            <w:noWrap w:val="0"/>
            <w:vAlign w:val="center"/>
          </w:tcPr>
          <w:p w14:paraId="0C727E5F">
            <w:pPr>
              <w:jc w:val="left"/>
              <w:rPr>
                <w:color w:val="auto"/>
                <w:sz w:val="24"/>
                <w:highlight w:val="none"/>
              </w:rPr>
            </w:pPr>
            <w:r>
              <w:rPr>
                <w:color w:val="auto"/>
                <w:sz w:val="24"/>
                <w:highlight w:val="none"/>
              </w:rPr>
              <w:t>本项目采购标的对应的中小企业划分标准所属行业：</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2F30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40BC8EFF">
                  <w:pPr>
                    <w:jc w:val="center"/>
                    <w:rPr>
                      <w:bCs/>
                      <w:color w:val="auto"/>
                      <w:sz w:val="24"/>
                      <w:highlight w:val="none"/>
                    </w:rPr>
                  </w:pPr>
                  <w:r>
                    <w:rPr>
                      <w:bCs/>
                      <w:color w:val="auto"/>
                      <w:sz w:val="24"/>
                      <w:highlight w:val="none"/>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37F64E17">
                  <w:pPr>
                    <w:jc w:val="center"/>
                    <w:rPr>
                      <w:bCs/>
                      <w:color w:val="auto"/>
                      <w:sz w:val="24"/>
                      <w:highlight w:val="none"/>
                    </w:rPr>
                  </w:pPr>
                  <w:r>
                    <w:rPr>
                      <w:bCs/>
                      <w:color w:val="auto"/>
                      <w:sz w:val="24"/>
                      <w:highlight w:val="none"/>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0002CCD8">
                  <w:pPr>
                    <w:jc w:val="center"/>
                    <w:rPr>
                      <w:color w:val="auto"/>
                      <w:sz w:val="24"/>
                      <w:highlight w:val="none"/>
                    </w:rPr>
                  </w:pPr>
                  <w:r>
                    <w:rPr>
                      <w:color w:val="auto"/>
                      <w:sz w:val="24"/>
                      <w:highlight w:val="none"/>
                    </w:rPr>
                    <w:t>中小企业划分标准所属行业</w:t>
                  </w:r>
                </w:p>
              </w:tc>
            </w:tr>
            <w:tr w14:paraId="69D0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685CD468">
                  <w:pPr>
                    <w:jc w:val="center"/>
                    <w:rPr>
                      <w:bCs/>
                      <w:color w:val="auto"/>
                      <w:sz w:val="24"/>
                      <w:highlight w:val="none"/>
                    </w:rPr>
                  </w:pPr>
                  <w:r>
                    <w:rPr>
                      <w:rFonts w:hint="eastAsia"/>
                      <w:bCs/>
                      <w:color w:val="auto"/>
                      <w:sz w:val="24"/>
                      <w:highlight w:val="none"/>
                    </w:rPr>
                    <w:t>01</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3652B5E">
                  <w:pPr>
                    <w:jc w:val="center"/>
                    <w:rPr>
                      <w:bCs/>
                      <w:color w:val="auto"/>
                      <w:sz w:val="24"/>
                      <w:highlight w:val="none"/>
                    </w:rPr>
                  </w:pPr>
                  <w:r>
                    <w:rPr>
                      <w:rFonts w:hint="eastAsia"/>
                      <w:bCs/>
                      <w:color w:val="auto"/>
                      <w:sz w:val="24"/>
                      <w:highlight w:val="none"/>
                    </w:rPr>
                    <w:t>保洁服务</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726DF55A">
                  <w:pPr>
                    <w:jc w:val="center"/>
                    <w:rPr>
                      <w:color w:val="auto"/>
                      <w:kern w:val="0"/>
                      <w:sz w:val="24"/>
                      <w:highlight w:val="none"/>
                    </w:rPr>
                  </w:pPr>
                  <w:r>
                    <w:rPr>
                      <w:rFonts w:hint="eastAsia"/>
                      <w:color w:val="auto"/>
                      <w:kern w:val="0"/>
                      <w:sz w:val="24"/>
                      <w:highlight w:val="none"/>
                    </w:rPr>
                    <w:t>物业管理</w:t>
                  </w:r>
                  <w:r>
                    <w:rPr>
                      <w:rFonts w:hint="eastAsia"/>
                      <w:bCs/>
                      <w:color w:val="auto"/>
                      <w:sz w:val="24"/>
                      <w:highlight w:val="none"/>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bl>
          <w:p w14:paraId="5B3096F6">
            <w:pPr>
              <w:jc w:val="left"/>
              <w:rPr>
                <w:color w:val="auto"/>
                <w:sz w:val="24"/>
                <w:highlight w:val="none"/>
              </w:rPr>
            </w:pPr>
          </w:p>
        </w:tc>
      </w:tr>
      <w:tr w14:paraId="2FA6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0F38901C">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11.2</w:t>
            </w:r>
          </w:p>
        </w:tc>
        <w:tc>
          <w:tcPr>
            <w:tcW w:w="1701" w:type="dxa"/>
            <w:noWrap w:val="0"/>
            <w:vAlign w:val="center"/>
          </w:tcPr>
          <w:p w14:paraId="1CC03A84">
            <w:pPr>
              <w:jc w:val="center"/>
              <w:rPr>
                <w:color w:val="auto"/>
                <w:sz w:val="24"/>
                <w:highlight w:val="none"/>
              </w:rPr>
            </w:pPr>
            <w:r>
              <w:rPr>
                <w:color w:val="auto"/>
                <w:sz w:val="24"/>
                <w:highlight w:val="none"/>
              </w:rPr>
              <w:t>投标报价</w:t>
            </w:r>
          </w:p>
        </w:tc>
        <w:tc>
          <w:tcPr>
            <w:tcW w:w="7540" w:type="dxa"/>
            <w:noWrap w:val="0"/>
            <w:vAlign w:val="center"/>
          </w:tcPr>
          <w:p w14:paraId="6DA95D61">
            <w:pPr>
              <w:jc w:val="left"/>
              <w:rPr>
                <w:color w:val="auto"/>
                <w:sz w:val="24"/>
                <w:highlight w:val="none"/>
              </w:rPr>
            </w:pPr>
            <w:r>
              <w:rPr>
                <w:color w:val="auto"/>
                <w:sz w:val="24"/>
                <w:highlight w:val="none"/>
              </w:rPr>
              <w:t>投标报价的特殊规定：</w:t>
            </w:r>
          </w:p>
          <w:p w14:paraId="4A9B0BF4">
            <w:pPr>
              <w:jc w:val="left"/>
              <w:rPr>
                <w:color w:val="auto"/>
                <w:sz w:val="24"/>
                <w:highlight w:val="none"/>
              </w:rPr>
            </w:pPr>
            <w:r>
              <w:rPr>
                <w:rFonts w:hint="eastAsia"/>
                <w:color w:val="auto"/>
                <w:sz w:val="24"/>
                <w:highlight w:val="none"/>
              </w:rPr>
              <w:t>☑</w:t>
            </w:r>
            <w:r>
              <w:rPr>
                <w:color w:val="auto"/>
                <w:sz w:val="24"/>
                <w:highlight w:val="none"/>
              </w:rPr>
              <w:t>无</w:t>
            </w:r>
          </w:p>
          <w:p w14:paraId="6C4A1F8A">
            <w:pPr>
              <w:jc w:val="left"/>
              <w:rPr>
                <w:color w:val="auto"/>
                <w:sz w:val="24"/>
                <w:highlight w:val="none"/>
              </w:rPr>
            </w:pPr>
            <w:r>
              <w:rPr>
                <w:color w:val="auto"/>
                <w:sz w:val="24"/>
                <w:highlight w:val="none"/>
              </w:rPr>
              <w:t>□有，具体情形：_____。</w:t>
            </w:r>
          </w:p>
        </w:tc>
      </w:tr>
      <w:tr w14:paraId="69D0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654D7588">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12</w:t>
            </w:r>
          </w:p>
        </w:tc>
        <w:tc>
          <w:tcPr>
            <w:tcW w:w="1701" w:type="dxa"/>
            <w:noWrap w:val="0"/>
            <w:vAlign w:val="center"/>
          </w:tcPr>
          <w:p w14:paraId="61D8B9AB">
            <w:pPr>
              <w:jc w:val="center"/>
              <w:rPr>
                <w:color w:val="auto"/>
                <w:sz w:val="24"/>
                <w:highlight w:val="none"/>
              </w:rPr>
            </w:pPr>
            <w:r>
              <w:rPr>
                <w:color w:val="auto"/>
                <w:sz w:val="24"/>
                <w:highlight w:val="none"/>
              </w:rPr>
              <w:t>投标保证金</w:t>
            </w:r>
          </w:p>
        </w:tc>
        <w:tc>
          <w:tcPr>
            <w:tcW w:w="7540" w:type="dxa"/>
            <w:noWrap w:val="0"/>
            <w:vAlign w:val="center"/>
          </w:tcPr>
          <w:p w14:paraId="709E83F5">
            <w:pPr>
              <w:pStyle w:val="24"/>
              <w:adjustRightInd w:val="0"/>
              <w:snapToGrid w:val="0"/>
              <w:rPr>
                <w:color w:val="auto"/>
                <w:sz w:val="24"/>
                <w:highlight w:val="none"/>
              </w:rPr>
            </w:pPr>
            <w:r>
              <w:rPr>
                <w:rFonts w:ascii="Times New Roman" w:hAnsi="Times New Roman"/>
                <w:color w:val="auto"/>
                <w:sz w:val="24"/>
                <w:szCs w:val="24"/>
                <w:highlight w:val="none"/>
              </w:rPr>
              <w:t>本项目不涉及。</w:t>
            </w:r>
          </w:p>
        </w:tc>
      </w:tr>
      <w:tr w14:paraId="336F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2F4E5C">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13.1</w:t>
            </w:r>
          </w:p>
        </w:tc>
        <w:tc>
          <w:tcPr>
            <w:tcW w:w="1701" w:type="dxa"/>
            <w:noWrap w:val="0"/>
            <w:vAlign w:val="center"/>
          </w:tcPr>
          <w:p w14:paraId="2CB9B1F9">
            <w:pPr>
              <w:jc w:val="center"/>
              <w:rPr>
                <w:color w:val="auto"/>
                <w:sz w:val="24"/>
                <w:highlight w:val="none"/>
              </w:rPr>
            </w:pPr>
            <w:r>
              <w:rPr>
                <w:color w:val="auto"/>
                <w:sz w:val="24"/>
                <w:highlight w:val="none"/>
              </w:rPr>
              <w:t>投标有效期</w:t>
            </w:r>
          </w:p>
        </w:tc>
        <w:tc>
          <w:tcPr>
            <w:tcW w:w="7540" w:type="dxa"/>
            <w:noWrap w:val="0"/>
            <w:vAlign w:val="center"/>
          </w:tcPr>
          <w:p w14:paraId="77B2857A">
            <w:pPr>
              <w:jc w:val="left"/>
              <w:rPr>
                <w:color w:val="auto"/>
                <w:sz w:val="24"/>
                <w:highlight w:val="none"/>
              </w:rPr>
            </w:pPr>
            <w:r>
              <w:rPr>
                <w:color w:val="auto"/>
                <w:sz w:val="24"/>
                <w:highlight w:val="none"/>
              </w:rPr>
              <w:t>自提交投标文件的截止之日起算</w:t>
            </w:r>
            <w:r>
              <w:rPr>
                <w:rFonts w:hint="eastAsia"/>
                <w:color w:val="auto"/>
                <w:sz w:val="24"/>
                <w:highlight w:val="none"/>
              </w:rPr>
              <w:t>180</w:t>
            </w:r>
            <w:r>
              <w:rPr>
                <w:color w:val="auto"/>
                <w:sz w:val="24"/>
                <w:highlight w:val="none"/>
              </w:rPr>
              <w:t>日历天。</w:t>
            </w:r>
          </w:p>
        </w:tc>
      </w:tr>
      <w:tr w14:paraId="35A7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77B0C1C">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22.1</w:t>
            </w:r>
          </w:p>
        </w:tc>
        <w:tc>
          <w:tcPr>
            <w:tcW w:w="1701" w:type="dxa"/>
            <w:noWrap w:val="0"/>
            <w:vAlign w:val="center"/>
          </w:tcPr>
          <w:p w14:paraId="59926451">
            <w:pPr>
              <w:jc w:val="center"/>
              <w:rPr>
                <w:color w:val="auto"/>
                <w:sz w:val="24"/>
                <w:highlight w:val="none"/>
              </w:rPr>
            </w:pPr>
            <w:r>
              <w:rPr>
                <w:color w:val="auto"/>
                <w:sz w:val="24"/>
                <w:highlight w:val="none"/>
              </w:rPr>
              <w:t>确定中标人</w:t>
            </w:r>
          </w:p>
        </w:tc>
        <w:tc>
          <w:tcPr>
            <w:tcW w:w="7540" w:type="dxa"/>
            <w:noWrap w:val="0"/>
            <w:vAlign w:val="center"/>
          </w:tcPr>
          <w:p w14:paraId="69AAE7EA">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中标候选人并列的，采购人是否委托评标委员会确定中标人：</w:t>
            </w:r>
          </w:p>
          <w:p w14:paraId="504DFDA4">
            <w:pPr>
              <w:pStyle w:val="24"/>
              <w:adjustRightInd w:val="0"/>
              <w:snapToGrid w:val="0"/>
              <w:rPr>
                <w:rFonts w:hint="default" w:ascii="Times New Roman" w:hAnsi="Times New Roman"/>
                <w:color w:val="auto"/>
                <w:sz w:val="24"/>
                <w:highlight w:val="none"/>
              </w:rPr>
            </w:pPr>
            <w:r>
              <w:rPr>
                <w:rFonts w:ascii="Times New Roman" w:hAnsi="Times New Roman"/>
                <w:color w:val="auto"/>
                <w:sz w:val="24"/>
                <w:highlight w:val="none"/>
              </w:rPr>
              <w:t>☑</w:t>
            </w:r>
            <w:r>
              <w:rPr>
                <w:rFonts w:hint="default" w:ascii="Times New Roman" w:hAnsi="Times New Roman"/>
                <w:color w:val="auto"/>
                <w:sz w:val="24"/>
                <w:highlight w:val="none"/>
              </w:rPr>
              <w:t>否</w:t>
            </w:r>
          </w:p>
          <w:p w14:paraId="39E6321B">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□是</w:t>
            </w:r>
          </w:p>
          <w:p w14:paraId="45718E03">
            <w:pPr>
              <w:pStyle w:val="24"/>
              <w:adjustRightInd w:val="0"/>
              <w:snapToGrid w:val="0"/>
              <w:rPr>
                <w:rFonts w:hint="default" w:ascii="Times New Roman" w:hAnsi="Times New Roman"/>
                <w:color w:val="auto"/>
                <w:highlight w:val="none"/>
              </w:rPr>
            </w:pPr>
            <w:r>
              <w:rPr>
                <w:rFonts w:hint="default" w:ascii="Times New Roman" w:hAnsi="Times New Roman"/>
                <w:color w:val="auto"/>
                <w:sz w:val="24"/>
                <w:highlight w:val="none"/>
              </w:rPr>
              <w:t>中标候选人并列的，按照以下方式确定中标人：</w:t>
            </w:r>
          </w:p>
          <w:p w14:paraId="3F3937FB">
            <w:pPr>
              <w:pStyle w:val="24"/>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sym w:font="Wingdings 2" w:char="0052"/>
            </w:r>
            <w:r>
              <w:rPr>
                <w:rFonts w:hint="default" w:ascii="Times New Roman" w:hAnsi="Times New Roman"/>
                <w:color w:val="auto"/>
                <w:sz w:val="24"/>
                <w:highlight w:val="none"/>
              </w:rPr>
              <w:t>得分且投标报价均相同的，以</w:t>
            </w:r>
            <w:r>
              <w:rPr>
                <w:color w:val="auto"/>
                <w:sz w:val="24"/>
                <w:highlight w:val="none"/>
                <w:u w:val="single"/>
              </w:rPr>
              <w:t>技术部分</w:t>
            </w:r>
            <w:r>
              <w:rPr>
                <w:rFonts w:hint="default" w:ascii="Times New Roman" w:hAnsi="Times New Roman"/>
                <w:color w:val="auto"/>
                <w:sz w:val="24"/>
                <w:highlight w:val="none"/>
              </w:rPr>
              <w:t>得分高者为中标人</w:t>
            </w:r>
          </w:p>
          <w:p w14:paraId="5A0B6509">
            <w:pPr>
              <w:jc w:val="left"/>
              <w:rPr>
                <w:color w:val="auto"/>
                <w:sz w:val="24"/>
                <w:highlight w:val="none"/>
                <w:u w:val="single"/>
              </w:rPr>
            </w:pPr>
            <w:r>
              <w:rPr>
                <w:color w:val="auto"/>
                <w:sz w:val="24"/>
                <w:highlight w:val="none"/>
              </w:rPr>
              <w:t>□随机抽取</w:t>
            </w:r>
          </w:p>
        </w:tc>
      </w:tr>
      <w:tr w14:paraId="7702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400F189">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25.5</w:t>
            </w:r>
          </w:p>
        </w:tc>
        <w:tc>
          <w:tcPr>
            <w:tcW w:w="1701" w:type="dxa"/>
            <w:noWrap w:val="0"/>
            <w:vAlign w:val="center"/>
          </w:tcPr>
          <w:p w14:paraId="1C2C1160">
            <w:pPr>
              <w:jc w:val="center"/>
              <w:rPr>
                <w:color w:val="auto"/>
                <w:sz w:val="24"/>
                <w:highlight w:val="none"/>
              </w:rPr>
            </w:pPr>
            <w:r>
              <w:rPr>
                <w:color w:val="auto"/>
                <w:sz w:val="24"/>
                <w:highlight w:val="none"/>
              </w:rPr>
              <w:t>分包</w:t>
            </w:r>
          </w:p>
        </w:tc>
        <w:tc>
          <w:tcPr>
            <w:tcW w:w="7540" w:type="dxa"/>
            <w:noWrap w:val="0"/>
            <w:vAlign w:val="center"/>
          </w:tcPr>
          <w:p w14:paraId="4F4090AF">
            <w:pPr>
              <w:jc w:val="left"/>
              <w:rPr>
                <w:color w:val="auto"/>
                <w:sz w:val="24"/>
                <w:highlight w:val="none"/>
              </w:rPr>
            </w:pPr>
            <w:r>
              <w:rPr>
                <w:color w:val="auto"/>
                <w:sz w:val="24"/>
                <w:highlight w:val="none"/>
              </w:rPr>
              <w:t xml:space="preserve">本项目的非主体、非关键性工作是否允许分包： </w:t>
            </w:r>
          </w:p>
          <w:p w14:paraId="56AC5494">
            <w:pPr>
              <w:jc w:val="left"/>
              <w:rPr>
                <w:color w:val="auto"/>
                <w:sz w:val="24"/>
                <w:highlight w:val="none"/>
              </w:rPr>
            </w:pPr>
            <w:r>
              <w:rPr>
                <w:rFonts w:hint="eastAsia"/>
                <w:color w:val="auto"/>
                <w:sz w:val="24"/>
                <w:highlight w:val="none"/>
              </w:rPr>
              <w:t>☑</w:t>
            </w:r>
            <w:r>
              <w:rPr>
                <w:color w:val="auto"/>
                <w:sz w:val="24"/>
                <w:highlight w:val="none"/>
              </w:rPr>
              <w:t>不允许</w:t>
            </w:r>
          </w:p>
          <w:p w14:paraId="64815503">
            <w:pPr>
              <w:jc w:val="left"/>
              <w:rPr>
                <w:color w:val="auto"/>
                <w:sz w:val="24"/>
                <w:highlight w:val="none"/>
              </w:rPr>
            </w:pPr>
            <w:r>
              <w:rPr>
                <w:color w:val="auto"/>
                <w:sz w:val="24"/>
                <w:highlight w:val="none"/>
              </w:rPr>
              <w:t>□允许，具体要求：</w:t>
            </w:r>
          </w:p>
          <w:p w14:paraId="7DEDB6B2">
            <w:pPr>
              <w:jc w:val="left"/>
              <w:rPr>
                <w:color w:val="auto"/>
                <w:sz w:val="24"/>
                <w:highlight w:val="none"/>
              </w:rPr>
            </w:pPr>
            <w:r>
              <w:rPr>
                <w:color w:val="auto"/>
                <w:sz w:val="24"/>
                <w:highlight w:val="none"/>
              </w:rPr>
              <w:t>（1）可以分包履行的具体内容：_____；</w:t>
            </w:r>
          </w:p>
          <w:p w14:paraId="5F8C69D0">
            <w:pPr>
              <w:jc w:val="left"/>
              <w:rPr>
                <w:color w:val="auto"/>
                <w:sz w:val="24"/>
                <w:highlight w:val="none"/>
              </w:rPr>
            </w:pPr>
            <w:r>
              <w:rPr>
                <w:color w:val="auto"/>
                <w:sz w:val="24"/>
                <w:highlight w:val="none"/>
              </w:rPr>
              <w:t>（2）允许分包的金额或者比例：_____；</w:t>
            </w:r>
          </w:p>
          <w:p w14:paraId="717053E9">
            <w:pPr>
              <w:widowControl/>
              <w:jc w:val="left"/>
              <w:rPr>
                <w:color w:val="auto"/>
                <w:sz w:val="24"/>
                <w:highlight w:val="none"/>
              </w:rPr>
            </w:pPr>
            <w:r>
              <w:rPr>
                <w:color w:val="auto"/>
                <w:sz w:val="24"/>
                <w:highlight w:val="none"/>
              </w:rPr>
              <w:t>（3）其他要求：</w:t>
            </w:r>
          </w:p>
          <w:p w14:paraId="126A8126">
            <w:pPr>
              <w:widowControl/>
              <w:jc w:val="left"/>
              <w:rPr>
                <w:color w:val="auto"/>
                <w:sz w:val="24"/>
                <w:highlight w:val="none"/>
              </w:rPr>
            </w:pPr>
            <w:r>
              <w:rPr>
                <w:rFonts w:hint="eastAsia"/>
                <w:color w:val="auto"/>
                <w:sz w:val="24"/>
                <w:highlight w:val="none"/>
              </w:rPr>
              <w:t>①</w:t>
            </w:r>
            <w:r>
              <w:rPr>
                <w:rFonts w:hint="eastAsia" w:ascii="宋体" w:hAnsi="宋体" w:cs="宋体"/>
                <w:color w:val="auto"/>
                <w:kern w:val="0"/>
                <w:sz w:val="24"/>
                <w:highlight w:val="none"/>
                <w:lang w:bidi="ar"/>
              </w:rPr>
              <w:t>资格条件</w:t>
            </w:r>
            <w:r>
              <w:rPr>
                <w:rFonts w:hint="eastAsia" w:ascii="宋体" w:hAnsi="宋体" w:cs="宋体"/>
                <w:color w:val="auto"/>
                <w:kern w:val="0"/>
                <w:sz w:val="24"/>
                <w:highlight w:val="none"/>
                <w:u w:val="single"/>
                <w:lang w:bidi="ar"/>
              </w:rPr>
              <w:t xml:space="preserve">     </w:t>
            </w:r>
            <w:r>
              <w:rPr>
                <w:rFonts w:hint="eastAsia"/>
                <w:color w:val="auto"/>
                <w:sz w:val="24"/>
                <w:highlight w:val="none"/>
              </w:rPr>
              <w:t>；</w:t>
            </w:r>
          </w:p>
          <w:p w14:paraId="556318CE">
            <w:pPr>
              <w:jc w:val="left"/>
              <w:rPr>
                <w:color w:val="auto"/>
                <w:sz w:val="24"/>
                <w:highlight w:val="none"/>
              </w:rPr>
            </w:pPr>
            <w:r>
              <w:rPr>
                <w:rFonts w:hint="eastAsia"/>
                <w:color w:val="auto"/>
                <w:sz w:val="24"/>
                <w:highlight w:val="none"/>
              </w:rPr>
              <w:t>②可分包部分</w:t>
            </w:r>
            <w:r>
              <w:rPr>
                <w:color w:val="auto"/>
                <w:sz w:val="24"/>
                <w:highlight w:val="none"/>
              </w:rPr>
              <w:t>标的对应的中小企业划分标准所属行业：</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0328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750DF311">
                  <w:pPr>
                    <w:jc w:val="center"/>
                    <w:rPr>
                      <w:bCs/>
                      <w:color w:val="auto"/>
                      <w:sz w:val="24"/>
                      <w:highlight w:val="none"/>
                    </w:rPr>
                  </w:pPr>
                  <w:r>
                    <w:rPr>
                      <w:bCs/>
                      <w:color w:val="auto"/>
                      <w:sz w:val="24"/>
                      <w:highlight w:val="none"/>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DA3ACD1">
                  <w:pPr>
                    <w:jc w:val="center"/>
                    <w:rPr>
                      <w:bCs/>
                      <w:color w:val="auto"/>
                      <w:sz w:val="24"/>
                      <w:highlight w:val="none"/>
                    </w:rPr>
                  </w:pPr>
                  <w:r>
                    <w:rPr>
                      <w:rFonts w:hint="eastAsia"/>
                      <w:color w:val="auto"/>
                      <w:sz w:val="24"/>
                      <w:highlight w:val="none"/>
                    </w:rPr>
                    <w:t>可分包部分</w:t>
                  </w:r>
                  <w:r>
                    <w:rPr>
                      <w:bCs/>
                      <w:color w:val="auto"/>
                      <w:sz w:val="24"/>
                      <w:highlight w:val="none"/>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14:paraId="78BC7777">
                  <w:pPr>
                    <w:jc w:val="center"/>
                    <w:rPr>
                      <w:color w:val="auto"/>
                      <w:sz w:val="24"/>
                      <w:highlight w:val="none"/>
                    </w:rPr>
                  </w:pPr>
                  <w:r>
                    <w:rPr>
                      <w:color w:val="auto"/>
                      <w:sz w:val="24"/>
                      <w:highlight w:val="none"/>
                    </w:rPr>
                    <w:t>中小企业划分标准所属行业</w:t>
                  </w:r>
                </w:p>
              </w:tc>
            </w:tr>
            <w:tr w14:paraId="2A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14:paraId="7F408145">
                  <w:pPr>
                    <w:jc w:val="center"/>
                    <w:rPr>
                      <w:bCs/>
                      <w:color w:val="auto"/>
                      <w:sz w:val="24"/>
                      <w:highlight w:val="none"/>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14:paraId="25693EE4">
                  <w:pPr>
                    <w:jc w:val="center"/>
                    <w:rPr>
                      <w:bCs/>
                      <w:color w:val="auto"/>
                      <w:sz w:val="24"/>
                      <w:highlight w:val="none"/>
                    </w:rPr>
                  </w:pPr>
                </w:p>
              </w:tc>
              <w:tc>
                <w:tcPr>
                  <w:tcW w:w="3239" w:type="dxa"/>
                  <w:tcBorders>
                    <w:top w:val="single" w:color="auto" w:sz="4" w:space="0"/>
                    <w:left w:val="single" w:color="auto" w:sz="4" w:space="0"/>
                    <w:bottom w:val="single" w:color="auto" w:sz="4" w:space="0"/>
                    <w:right w:val="single" w:color="auto" w:sz="4" w:space="0"/>
                  </w:tcBorders>
                  <w:noWrap w:val="0"/>
                  <w:vAlign w:val="center"/>
                </w:tcPr>
                <w:p w14:paraId="5F2B6E21">
                  <w:pPr>
                    <w:jc w:val="center"/>
                    <w:rPr>
                      <w:color w:val="auto"/>
                      <w:kern w:val="0"/>
                      <w:sz w:val="24"/>
                      <w:highlight w:val="none"/>
                    </w:rPr>
                  </w:pPr>
                </w:p>
              </w:tc>
            </w:tr>
          </w:tbl>
          <w:p w14:paraId="697FBBA9">
            <w:pPr>
              <w:jc w:val="left"/>
              <w:rPr>
                <w:color w:val="auto"/>
                <w:sz w:val="24"/>
                <w:highlight w:val="none"/>
              </w:rPr>
            </w:pPr>
          </w:p>
        </w:tc>
      </w:tr>
      <w:tr w14:paraId="63F2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D0BD099">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26.1.1</w:t>
            </w:r>
          </w:p>
        </w:tc>
        <w:tc>
          <w:tcPr>
            <w:tcW w:w="1701" w:type="dxa"/>
            <w:noWrap w:val="0"/>
            <w:vAlign w:val="center"/>
          </w:tcPr>
          <w:p w14:paraId="59E2AC64">
            <w:pPr>
              <w:jc w:val="center"/>
              <w:rPr>
                <w:color w:val="auto"/>
                <w:sz w:val="24"/>
                <w:highlight w:val="none"/>
              </w:rPr>
            </w:pPr>
            <w:r>
              <w:rPr>
                <w:color w:val="auto"/>
                <w:sz w:val="24"/>
                <w:highlight w:val="none"/>
              </w:rPr>
              <w:t>询问</w:t>
            </w:r>
          </w:p>
        </w:tc>
        <w:tc>
          <w:tcPr>
            <w:tcW w:w="7540" w:type="dxa"/>
            <w:noWrap w:val="0"/>
            <w:vAlign w:val="center"/>
          </w:tcPr>
          <w:p w14:paraId="64CB0CEE">
            <w:pPr>
              <w:jc w:val="left"/>
              <w:rPr>
                <w:rFonts w:ascii="宋体" w:hAnsi="宋体"/>
                <w:color w:val="auto"/>
                <w:sz w:val="24"/>
                <w:highlight w:val="none"/>
              </w:rPr>
            </w:pPr>
            <w:r>
              <w:rPr>
                <w:color w:val="auto"/>
                <w:sz w:val="24"/>
                <w:highlight w:val="none"/>
              </w:rPr>
              <w:t>询问送达形式：</w:t>
            </w:r>
            <w:r>
              <w:rPr>
                <w:rFonts w:hint="eastAsia" w:ascii="宋体" w:hAnsi="宋体"/>
                <w:color w:val="auto"/>
                <w:sz w:val="24"/>
                <w:highlight w:val="none"/>
              </w:rPr>
              <w:t>电话或书面形式</w:t>
            </w:r>
          </w:p>
          <w:p w14:paraId="6462DCDD">
            <w:pPr>
              <w:jc w:val="left"/>
              <w:rPr>
                <w:color w:val="auto"/>
                <w:sz w:val="24"/>
                <w:highlight w:val="none"/>
              </w:rPr>
            </w:pPr>
            <w:r>
              <w:rPr>
                <w:rFonts w:hint="eastAsia" w:ascii="宋体" w:hAnsi="宋体"/>
                <w:color w:val="auto"/>
                <w:sz w:val="24"/>
                <w:highlight w:val="none"/>
              </w:rPr>
              <w:t>书面形式的应注明投标人名称、所投项目名称及采购编号、联系人联系方式等信息。</w:t>
            </w:r>
          </w:p>
        </w:tc>
      </w:tr>
      <w:tr w14:paraId="235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88" w:type="dxa"/>
            <w:noWrap w:val="0"/>
            <w:vAlign w:val="center"/>
          </w:tcPr>
          <w:p w14:paraId="2B3A2393">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26.3</w:t>
            </w:r>
          </w:p>
        </w:tc>
        <w:tc>
          <w:tcPr>
            <w:tcW w:w="1701" w:type="dxa"/>
            <w:noWrap w:val="0"/>
            <w:vAlign w:val="center"/>
          </w:tcPr>
          <w:p w14:paraId="56F42077">
            <w:pPr>
              <w:jc w:val="center"/>
              <w:rPr>
                <w:color w:val="auto"/>
                <w:sz w:val="24"/>
                <w:highlight w:val="none"/>
              </w:rPr>
            </w:pPr>
            <w:r>
              <w:rPr>
                <w:color w:val="auto"/>
                <w:sz w:val="24"/>
                <w:highlight w:val="none"/>
              </w:rPr>
              <w:t>联系方式</w:t>
            </w:r>
          </w:p>
        </w:tc>
        <w:tc>
          <w:tcPr>
            <w:tcW w:w="7540" w:type="dxa"/>
            <w:noWrap w:val="0"/>
            <w:vAlign w:val="center"/>
          </w:tcPr>
          <w:p w14:paraId="526CCBD8">
            <w:pPr>
              <w:jc w:val="left"/>
              <w:rPr>
                <w:color w:val="auto"/>
                <w:sz w:val="24"/>
                <w:highlight w:val="none"/>
              </w:rPr>
            </w:pPr>
            <w:r>
              <w:rPr>
                <w:color w:val="auto"/>
                <w:sz w:val="24"/>
                <w:highlight w:val="none"/>
              </w:rPr>
              <w:t>接收询问和质疑的联系方式</w:t>
            </w:r>
          </w:p>
          <w:p w14:paraId="270C6CF2">
            <w:pPr>
              <w:jc w:val="left"/>
              <w:rPr>
                <w:color w:val="auto"/>
                <w:sz w:val="24"/>
                <w:highlight w:val="none"/>
              </w:rPr>
            </w:pPr>
            <w:r>
              <w:rPr>
                <w:rFonts w:hint="eastAsia"/>
                <w:color w:val="auto"/>
                <w:sz w:val="24"/>
                <w:highlight w:val="none"/>
              </w:rPr>
              <w:t>采购人或采购代理机构</w:t>
            </w:r>
            <w:r>
              <w:rPr>
                <w:color w:val="auto"/>
                <w:sz w:val="24"/>
                <w:highlight w:val="none"/>
              </w:rPr>
              <w:t>联系部门</w:t>
            </w:r>
            <w:r>
              <w:rPr>
                <w:rFonts w:hint="eastAsia"/>
                <w:color w:val="auto"/>
                <w:sz w:val="24"/>
                <w:highlight w:val="none"/>
              </w:rPr>
              <w:t>、</w:t>
            </w:r>
            <w:r>
              <w:rPr>
                <w:color w:val="auto"/>
                <w:sz w:val="24"/>
                <w:highlight w:val="none"/>
              </w:rPr>
              <w:t>联系电话</w:t>
            </w:r>
            <w:r>
              <w:rPr>
                <w:rFonts w:hint="eastAsia"/>
                <w:color w:val="auto"/>
                <w:sz w:val="24"/>
                <w:highlight w:val="none"/>
              </w:rPr>
              <w:t>、</w:t>
            </w:r>
            <w:r>
              <w:rPr>
                <w:color w:val="auto"/>
                <w:sz w:val="24"/>
                <w:highlight w:val="none"/>
              </w:rPr>
              <w:t>通讯地址</w:t>
            </w:r>
            <w:r>
              <w:rPr>
                <w:rFonts w:hint="eastAsia"/>
                <w:color w:val="auto"/>
                <w:sz w:val="24"/>
                <w:highlight w:val="none"/>
              </w:rPr>
              <w:t>等详见招标文件第一部分投标邀请“七”。</w:t>
            </w:r>
          </w:p>
        </w:tc>
      </w:tr>
      <w:tr w14:paraId="0355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14BF1A37">
            <w:pPr>
              <w:pStyle w:val="24"/>
              <w:adjustRightInd w:val="0"/>
              <w:snapToGrid w:val="0"/>
              <w:jc w:val="center"/>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1A99C8">
            <w:pPr>
              <w:jc w:val="center"/>
              <w:rPr>
                <w:color w:val="auto"/>
                <w:sz w:val="24"/>
                <w:highlight w:val="none"/>
              </w:rPr>
            </w:pPr>
            <w:r>
              <w:rPr>
                <w:color w:val="auto"/>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762A5180">
            <w:pPr>
              <w:jc w:val="left"/>
              <w:rPr>
                <w:color w:val="auto"/>
                <w:sz w:val="24"/>
                <w:highlight w:val="none"/>
              </w:rPr>
            </w:pPr>
            <w:r>
              <w:rPr>
                <w:rFonts w:hint="eastAsia"/>
                <w:color w:val="auto"/>
                <w:sz w:val="24"/>
                <w:highlight w:val="none"/>
              </w:rPr>
              <w:t>无</w:t>
            </w:r>
          </w:p>
        </w:tc>
      </w:tr>
    </w:tbl>
    <w:p w14:paraId="1F8DD25F">
      <w:pPr>
        <w:tabs>
          <w:tab w:val="left" w:pos="5580"/>
        </w:tabs>
        <w:adjustRightInd w:val="0"/>
        <w:spacing w:line="360" w:lineRule="auto"/>
        <w:jc w:val="distribute"/>
        <w:rPr>
          <w:color w:val="auto"/>
          <w:sz w:val="24"/>
          <w:highlight w:val="none"/>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14:paraId="07EA031D">
      <w:pPr>
        <w:spacing w:before="240" w:beforeLines="100" w:after="240" w:afterLines="100"/>
        <w:jc w:val="center"/>
        <w:rPr>
          <w:b/>
          <w:color w:val="auto"/>
          <w:sz w:val="28"/>
          <w:szCs w:val="28"/>
          <w:highlight w:val="none"/>
        </w:rPr>
      </w:pPr>
      <w:bookmarkStart w:id="75" w:name="_Toc353825542"/>
      <w:bookmarkStart w:id="76" w:name="_Toc226337213"/>
      <w:bookmarkStart w:id="77" w:name="_Toc226965790"/>
      <w:bookmarkStart w:id="78" w:name="_Toc353873662"/>
      <w:bookmarkStart w:id="79" w:name="_Toc150480755"/>
      <w:bookmarkStart w:id="80" w:name="_Toc195842882"/>
      <w:bookmarkStart w:id="81" w:name="_Toc353873932"/>
      <w:bookmarkStart w:id="82" w:name="_Toc265228355"/>
      <w:bookmarkStart w:id="83" w:name="_Toc150774722"/>
      <w:bookmarkStart w:id="84" w:name="_Toc142311019"/>
      <w:bookmarkStart w:id="85" w:name="_Toc305158785"/>
      <w:bookmarkStart w:id="86" w:name="_Toc127151517"/>
      <w:bookmarkStart w:id="87" w:name="_Toc264969207"/>
      <w:bookmarkStart w:id="88" w:name="_Toc305158859"/>
      <w:r>
        <w:rPr>
          <w:b/>
          <w:color w:val="auto"/>
          <w:sz w:val="28"/>
          <w:szCs w:val="28"/>
          <w:highlight w:val="none"/>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9E7A87C">
      <w:pPr>
        <w:pStyle w:val="3"/>
        <w:tabs>
          <w:tab w:val="center" w:pos="4592"/>
          <w:tab w:val="left" w:pos="7860"/>
        </w:tabs>
        <w:spacing w:before="0" w:line="360" w:lineRule="auto"/>
        <w:jc w:val="left"/>
        <w:rPr>
          <w:rFonts w:ascii="Times New Roman" w:hAnsi="Times New Roman" w:eastAsia="宋体"/>
          <w:color w:val="auto"/>
          <w:sz w:val="28"/>
          <w:highlight w:val="none"/>
        </w:rPr>
      </w:pPr>
      <w:bookmarkStart w:id="89" w:name="_Toc127151518"/>
      <w:bookmarkStart w:id="90" w:name="_Toc520356143"/>
      <w:r>
        <w:rPr>
          <w:rFonts w:ascii="Times New Roman" w:hAnsi="Times New Roman" w:eastAsia="宋体"/>
          <w:color w:val="auto"/>
          <w:sz w:val="28"/>
          <w:highlight w:val="none"/>
        </w:rPr>
        <w:tab/>
      </w:r>
      <w:bookmarkStart w:id="91" w:name="_Toc226965791"/>
      <w:bookmarkStart w:id="92" w:name="_Toc150509269"/>
      <w:bookmarkStart w:id="93" w:name="_Toc151193616"/>
      <w:bookmarkStart w:id="94" w:name="_Toc150774723"/>
      <w:bookmarkStart w:id="95" w:name="_Toc305158786"/>
      <w:bookmarkStart w:id="96" w:name="_Toc305158860"/>
      <w:bookmarkStart w:id="97" w:name="_Toc226965708"/>
      <w:bookmarkStart w:id="98" w:name="_Toc142311020"/>
      <w:bookmarkStart w:id="99" w:name="_Toc264969208"/>
      <w:bookmarkStart w:id="100" w:name="_Toc150774618"/>
      <w:bookmarkStart w:id="101" w:name="_Toc226337214"/>
      <w:bookmarkStart w:id="102" w:name="_Toc150480756"/>
      <w:bookmarkStart w:id="103" w:name="_Toc226309762"/>
      <w:bookmarkStart w:id="104" w:name="_Toc151193760"/>
      <w:bookmarkStart w:id="105" w:name="_Toc151193832"/>
      <w:bookmarkStart w:id="106" w:name="_Toc195842883"/>
      <w:bookmarkStart w:id="107" w:name="_Toc151190145"/>
      <w:bookmarkStart w:id="108" w:name="_Toc265228356"/>
      <w:bookmarkStart w:id="109" w:name="_Toc151193688"/>
      <w:bookmarkStart w:id="110" w:name="_Toc151193906"/>
      <w:r>
        <w:rPr>
          <w:rFonts w:ascii="Times New Roman" w:hAnsi="Times New Roman" w:eastAsia="宋体"/>
          <w:color w:val="auto"/>
          <w:sz w:val="28"/>
          <w:highlight w:val="none"/>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color w:val="auto"/>
          <w:sz w:val="28"/>
          <w:highlight w:val="none"/>
        </w:rPr>
        <w:tab/>
      </w:r>
    </w:p>
    <w:p w14:paraId="41EB2BC3">
      <w:pPr>
        <w:numPr>
          <w:ilvl w:val="0"/>
          <w:numId w:val="8"/>
        </w:numPr>
        <w:tabs>
          <w:tab w:val="left" w:pos="360"/>
          <w:tab w:val="clear" w:pos="900"/>
        </w:tabs>
        <w:snapToGrid w:val="0"/>
        <w:spacing w:line="360" w:lineRule="auto"/>
        <w:ind w:left="357" w:hanging="357"/>
        <w:outlineLvl w:val="1"/>
        <w:rPr>
          <w:color w:val="auto"/>
          <w:sz w:val="24"/>
          <w:highlight w:val="none"/>
        </w:rPr>
      </w:pPr>
      <w:bookmarkStart w:id="111" w:name="_Toc264969209"/>
      <w:bookmarkStart w:id="112" w:name="_Toc305158861"/>
      <w:bookmarkStart w:id="113" w:name="_Toc305158787"/>
      <w:bookmarkStart w:id="114" w:name="_Toc265228357"/>
      <w:r>
        <w:rPr>
          <w:color w:val="auto"/>
          <w:sz w:val="24"/>
          <w:highlight w:val="none"/>
        </w:rPr>
        <w:t>采购人、采购代理机构、投标人</w:t>
      </w:r>
      <w:bookmarkEnd w:id="111"/>
      <w:bookmarkEnd w:id="112"/>
      <w:bookmarkEnd w:id="113"/>
      <w:bookmarkEnd w:id="114"/>
      <w:r>
        <w:rPr>
          <w:color w:val="auto"/>
          <w:sz w:val="24"/>
          <w:highlight w:val="none"/>
        </w:rPr>
        <w:t>、联合体</w:t>
      </w:r>
    </w:p>
    <w:p w14:paraId="0C5E9E60">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采购人、采购代理机构：指依法进行政府采购的国家机关、事业单位、团体组织，及其委托的采购代理机构。本项目采购人、采购代理机构见第一章《投标邀请》。</w:t>
      </w:r>
    </w:p>
    <w:p w14:paraId="53D6BD3F">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投标人（也称“供应商”、“申请人”）：指向采购人提供货物、工程或者服务的法人、其他组织或者自然人。</w:t>
      </w:r>
    </w:p>
    <w:p w14:paraId="35473C64">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联合体：指两个以上的自然人、法人或者其他组织组成一个联合体，以一个供应商的身份共同参加政府采购。</w:t>
      </w:r>
    </w:p>
    <w:p w14:paraId="7ED77702">
      <w:pPr>
        <w:numPr>
          <w:ilvl w:val="0"/>
          <w:numId w:val="8"/>
        </w:numPr>
        <w:tabs>
          <w:tab w:val="left" w:pos="360"/>
          <w:tab w:val="clear" w:pos="900"/>
        </w:tabs>
        <w:snapToGrid w:val="0"/>
        <w:spacing w:line="360" w:lineRule="auto"/>
        <w:ind w:left="357" w:hanging="357"/>
        <w:outlineLvl w:val="1"/>
        <w:rPr>
          <w:color w:val="auto"/>
          <w:sz w:val="24"/>
          <w:highlight w:val="none"/>
        </w:rPr>
      </w:pPr>
      <w:bookmarkStart w:id="115" w:name="_Toc127161434"/>
      <w:bookmarkStart w:id="116" w:name="_Toc164229361"/>
      <w:bookmarkStart w:id="117" w:name="_Toc305158788"/>
      <w:bookmarkStart w:id="118" w:name="_Toc151193618"/>
      <w:bookmarkStart w:id="119" w:name="_Toc151193834"/>
      <w:bookmarkStart w:id="120" w:name="_Toc226965793"/>
      <w:bookmarkStart w:id="121" w:name="_Toc164351614"/>
      <w:bookmarkStart w:id="122" w:name="_Toc127151520"/>
      <w:bookmarkStart w:id="123" w:name="_Toc265228358"/>
      <w:bookmarkStart w:id="124" w:name="_Toc226337216"/>
      <w:bookmarkStart w:id="125" w:name="_Toc151193690"/>
      <w:bookmarkStart w:id="126" w:name="_Toc150774620"/>
      <w:bookmarkStart w:id="127" w:name="_Toc164608789"/>
      <w:bookmarkStart w:id="128" w:name="_Toc305158862"/>
      <w:bookmarkStart w:id="129" w:name="_Toc226309764"/>
      <w:bookmarkStart w:id="130" w:name="_Toc226965710"/>
      <w:bookmarkStart w:id="131" w:name="_Toc149720813"/>
      <w:bookmarkStart w:id="132" w:name="_Toc264969210"/>
      <w:bookmarkStart w:id="133" w:name="_Toc164608634"/>
      <w:bookmarkStart w:id="134" w:name="_Toc150509271"/>
      <w:bookmarkStart w:id="135" w:name="_Toc127151721"/>
      <w:bookmarkStart w:id="136" w:name="_Toc164229215"/>
      <w:bookmarkStart w:id="137" w:name="_Toc142311022"/>
      <w:bookmarkStart w:id="138" w:name="_Toc150774725"/>
      <w:bookmarkStart w:id="139" w:name="_Toc151193908"/>
      <w:bookmarkStart w:id="140" w:name="_Toc151193762"/>
      <w:bookmarkStart w:id="141" w:name="_Toc150480758"/>
      <w:bookmarkStart w:id="142" w:name="_Toc195842885"/>
      <w:bookmarkStart w:id="143" w:name="_Toc151190147"/>
      <w:r>
        <w:rPr>
          <w:color w:val="auto"/>
          <w:sz w:val="24"/>
          <w:highlight w:val="none"/>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color w:val="auto"/>
          <w:sz w:val="24"/>
          <w:highlight w:val="none"/>
        </w:rPr>
        <w:t>、项目属性、科研仪器设备采购、核心产品</w:t>
      </w:r>
    </w:p>
    <w:p w14:paraId="391017DF">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资金来源为财政性资金和/或本项目采购中无法与财政性资金分割的非财政性资金。</w:t>
      </w:r>
    </w:p>
    <w:p w14:paraId="45FD7DA5">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项目属性见《投标人须知资料表》。</w:t>
      </w:r>
    </w:p>
    <w:p w14:paraId="3FA2B5F8">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是否属于科研仪器设备采购见《投标人须知资料表》。</w:t>
      </w:r>
    </w:p>
    <w:p w14:paraId="79004540">
      <w:pPr>
        <w:numPr>
          <w:ilvl w:val="1"/>
          <w:numId w:val="8"/>
        </w:numPr>
        <w:tabs>
          <w:tab w:val="left" w:pos="1080"/>
          <w:tab w:val="left" w:pos="2014"/>
          <w:tab w:val="left" w:pos="5521"/>
        </w:tabs>
        <w:snapToGrid w:val="0"/>
        <w:spacing w:line="360" w:lineRule="auto"/>
        <w:ind w:left="1080" w:hanging="720"/>
        <w:rPr>
          <w:color w:val="auto"/>
          <w:sz w:val="24"/>
          <w:highlight w:val="none"/>
        </w:rPr>
      </w:pPr>
      <w:r>
        <w:rPr>
          <w:color w:val="auto"/>
          <w:sz w:val="24"/>
          <w:highlight w:val="none"/>
        </w:rPr>
        <w:t>核心产品见《投标人须知资料表》。</w:t>
      </w:r>
    </w:p>
    <w:p w14:paraId="23565990">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现场考察、开标前答疑会</w:t>
      </w:r>
    </w:p>
    <w:p w14:paraId="45021F2A">
      <w:pPr>
        <w:numPr>
          <w:ilvl w:val="1"/>
          <w:numId w:val="8"/>
        </w:numPr>
        <w:tabs>
          <w:tab w:val="left" w:pos="1080"/>
          <w:tab w:val="left" w:pos="2014"/>
        </w:tabs>
        <w:snapToGrid w:val="0"/>
        <w:spacing w:line="360" w:lineRule="auto"/>
        <w:ind w:left="1080" w:hanging="720"/>
        <w:rPr>
          <w:color w:val="auto"/>
          <w:sz w:val="28"/>
          <w:highlight w:val="none"/>
        </w:rPr>
      </w:pPr>
      <w:r>
        <w:rPr>
          <w:color w:val="auto"/>
          <w:sz w:val="24"/>
          <w:highlight w:val="none"/>
        </w:rPr>
        <w:t>若《投标人须知资料表》中规定了组织现场考察、召开开标前答疑会，则投标人应按要求在规定的时间和地点参加。</w:t>
      </w:r>
      <w:bookmarkStart w:id="144" w:name="_Toc151193620"/>
      <w:bookmarkStart w:id="145" w:name="_Toc142311024"/>
      <w:bookmarkStart w:id="146" w:name="_Toc226965712"/>
      <w:bookmarkStart w:id="147" w:name="_Toc264969212"/>
      <w:bookmarkStart w:id="148" w:name="_Toc305158864"/>
      <w:bookmarkStart w:id="149" w:name="_Toc195842887"/>
      <w:bookmarkStart w:id="150" w:name="_Toc151193764"/>
      <w:bookmarkStart w:id="151" w:name="_Toc520356146"/>
      <w:bookmarkStart w:id="152" w:name="_Toc305158790"/>
      <w:bookmarkStart w:id="153" w:name="_Toc150480760"/>
      <w:bookmarkStart w:id="154" w:name="_Toc150509273"/>
      <w:bookmarkStart w:id="155" w:name="_Toc150774622"/>
      <w:bookmarkStart w:id="156" w:name="_Toc150774727"/>
      <w:bookmarkStart w:id="157" w:name="_Toc127151522"/>
      <w:bookmarkStart w:id="158" w:name="_Toc151193836"/>
      <w:bookmarkStart w:id="159" w:name="_Toc265228360"/>
      <w:bookmarkStart w:id="160" w:name="_Toc151193910"/>
      <w:bookmarkStart w:id="161" w:name="_Toc226337218"/>
      <w:bookmarkStart w:id="162" w:name="_Toc226965795"/>
      <w:bookmarkStart w:id="163" w:name="_Toc151190149"/>
      <w:bookmarkStart w:id="164" w:name="_Toc151193692"/>
      <w:bookmarkStart w:id="165" w:name="_Toc226309766"/>
    </w:p>
    <w:p w14:paraId="3FCAF40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14:paraId="6C2F57A2">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样品</w:t>
      </w:r>
    </w:p>
    <w:p w14:paraId="25A606D4">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本项目是否要求投标人提供样品，以及样品制作的标准和要求、是否需要随样品提交相关检测报告、样品的递交与退还等要求见《投标人须知资料表》。</w:t>
      </w:r>
    </w:p>
    <w:p w14:paraId="61A1625E">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样品的评审方法以及评审标准等内容见第四章《评标程序、评标方法和评标标准》。</w:t>
      </w:r>
    </w:p>
    <w:p w14:paraId="636A7D56">
      <w:pPr>
        <w:numPr>
          <w:ilvl w:val="0"/>
          <w:numId w:val="8"/>
        </w:numPr>
        <w:tabs>
          <w:tab w:val="left" w:pos="360"/>
          <w:tab w:val="clear" w:pos="900"/>
        </w:tabs>
        <w:snapToGrid w:val="0"/>
        <w:spacing w:line="360" w:lineRule="auto"/>
        <w:ind w:left="357" w:hanging="357"/>
        <w:outlineLvl w:val="1"/>
        <w:rPr>
          <w:color w:val="auto"/>
          <w:sz w:val="24"/>
          <w:highlight w:val="none"/>
        </w:rPr>
      </w:pPr>
      <w:r>
        <w:rPr>
          <w:color w:val="auto"/>
          <w:sz w:val="24"/>
          <w:highlight w:val="none"/>
        </w:rPr>
        <w:t>政府采购政策（包括但不限于下列具体政策要求）</w:t>
      </w:r>
    </w:p>
    <w:p w14:paraId="4C9B2A1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采购本国货物、工程和服务</w:t>
      </w:r>
    </w:p>
    <w:p w14:paraId="4B24A434">
      <w:pPr>
        <w:numPr>
          <w:ilvl w:val="2"/>
          <w:numId w:val="8"/>
        </w:numPr>
        <w:tabs>
          <w:tab w:val="left" w:pos="2014"/>
        </w:tabs>
        <w:snapToGrid w:val="0"/>
        <w:spacing w:line="360" w:lineRule="auto"/>
        <w:rPr>
          <w:color w:val="auto"/>
          <w:sz w:val="24"/>
          <w:highlight w:val="none"/>
        </w:rPr>
      </w:pPr>
      <w:r>
        <w:rPr>
          <w:color w:val="auto"/>
          <w:kern w:val="0"/>
          <w:sz w:val="24"/>
          <w:highlight w:val="none"/>
        </w:rPr>
        <w:t>政府采购应当采购本国货物、工程和服务。但有《</w:t>
      </w:r>
      <w:r>
        <w:rPr>
          <w:b/>
          <w:color w:val="auto"/>
          <w:kern w:val="0"/>
          <w:sz w:val="24"/>
          <w:highlight w:val="none"/>
        </w:rPr>
        <w:t>中华人民共和国政府采购法</w:t>
      </w:r>
      <w:r>
        <w:rPr>
          <w:color w:val="auto"/>
          <w:kern w:val="0"/>
          <w:sz w:val="24"/>
          <w:highlight w:val="none"/>
        </w:rPr>
        <w:t>》第十条规定情形的除外。</w:t>
      </w:r>
    </w:p>
    <w:p w14:paraId="1C2FF73F">
      <w:pPr>
        <w:numPr>
          <w:ilvl w:val="2"/>
          <w:numId w:val="8"/>
        </w:numPr>
        <w:tabs>
          <w:tab w:val="left" w:pos="2014"/>
        </w:tabs>
        <w:snapToGrid w:val="0"/>
        <w:spacing w:line="360" w:lineRule="auto"/>
        <w:rPr>
          <w:color w:val="auto"/>
          <w:sz w:val="24"/>
          <w:highlight w:val="none"/>
        </w:rPr>
      </w:pPr>
      <w:r>
        <w:rPr>
          <w:color w:val="auto"/>
          <w:sz w:val="24"/>
          <w:highlight w:val="none"/>
        </w:rPr>
        <w:t>本项目如接受非本国货物、工程、服务参与投标，则具体要求见第</w:t>
      </w:r>
      <w:r>
        <w:rPr>
          <w:rFonts w:hint="eastAsia"/>
          <w:color w:val="auto"/>
          <w:sz w:val="24"/>
          <w:highlight w:val="none"/>
        </w:rPr>
        <w:t>五</w:t>
      </w:r>
      <w:r>
        <w:rPr>
          <w:color w:val="auto"/>
          <w:sz w:val="24"/>
          <w:highlight w:val="none"/>
        </w:rPr>
        <w:t>章《采购需求》。</w:t>
      </w:r>
    </w:p>
    <w:p w14:paraId="62AE8B1A">
      <w:pPr>
        <w:numPr>
          <w:ilvl w:val="2"/>
          <w:numId w:val="8"/>
        </w:numPr>
        <w:tabs>
          <w:tab w:val="left" w:pos="2014"/>
        </w:tabs>
        <w:snapToGrid w:val="0"/>
        <w:spacing w:line="360" w:lineRule="auto"/>
        <w:rPr>
          <w:color w:val="auto"/>
          <w:sz w:val="24"/>
          <w:highlight w:val="none"/>
        </w:rPr>
      </w:pPr>
      <w:r>
        <w:rPr>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BEB237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中小企业、监狱企业及残疾人福利性单位</w:t>
      </w:r>
    </w:p>
    <w:p w14:paraId="3A930093">
      <w:pPr>
        <w:numPr>
          <w:ilvl w:val="2"/>
          <w:numId w:val="8"/>
        </w:numPr>
        <w:snapToGrid w:val="0"/>
        <w:spacing w:line="360" w:lineRule="auto"/>
        <w:rPr>
          <w:vanish/>
          <w:color w:val="auto"/>
          <w:sz w:val="24"/>
          <w:highlight w:val="none"/>
        </w:rPr>
      </w:pPr>
      <w:r>
        <w:rPr>
          <w:color w:val="auto"/>
          <w:sz w:val="24"/>
          <w:highlight w:val="none"/>
        </w:rPr>
        <w:t>中小企业定义：</w:t>
      </w:r>
    </w:p>
    <w:p w14:paraId="7836EF48">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14:paraId="69420DDD">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供应商提供的货物、工程或者服务符合下列情形的，享受中小企业扶持政策：</w:t>
      </w:r>
    </w:p>
    <w:p w14:paraId="0C6ECB16">
      <w:pPr>
        <w:tabs>
          <w:tab w:val="left" w:pos="1980"/>
        </w:tabs>
        <w:snapToGrid w:val="0"/>
        <w:spacing w:line="360" w:lineRule="auto"/>
        <w:ind w:left="2835" w:leftChars="1350"/>
        <w:rPr>
          <w:color w:val="auto"/>
          <w:sz w:val="24"/>
          <w:highlight w:val="none"/>
        </w:rPr>
      </w:pPr>
      <w:r>
        <w:rPr>
          <w:color w:val="auto"/>
          <w:sz w:val="24"/>
          <w:highlight w:val="none"/>
        </w:rPr>
        <w:t>（1）在货物采购项目中，货物由中小企业制造，即货物由中小企业生产且使用该中小企业商号或者注册商标；</w:t>
      </w:r>
    </w:p>
    <w:p w14:paraId="157C6517">
      <w:pPr>
        <w:tabs>
          <w:tab w:val="left" w:pos="1980"/>
        </w:tabs>
        <w:snapToGrid w:val="0"/>
        <w:spacing w:line="360" w:lineRule="auto"/>
        <w:ind w:left="2835" w:leftChars="1350"/>
        <w:rPr>
          <w:color w:val="auto"/>
          <w:sz w:val="24"/>
          <w:highlight w:val="none"/>
        </w:rPr>
      </w:pPr>
      <w:r>
        <w:rPr>
          <w:color w:val="auto"/>
          <w:sz w:val="24"/>
          <w:highlight w:val="none"/>
        </w:rPr>
        <w:t>（2）在工程采购项目中，工程由中小企业承建，即工程施工单位为中小企业；</w:t>
      </w:r>
    </w:p>
    <w:p w14:paraId="5B2ADFA4">
      <w:pPr>
        <w:tabs>
          <w:tab w:val="left" w:pos="1980"/>
        </w:tabs>
        <w:snapToGrid w:val="0"/>
        <w:spacing w:line="360" w:lineRule="auto"/>
        <w:ind w:left="2835" w:leftChars="1350"/>
        <w:rPr>
          <w:color w:val="auto"/>
          <w:sz w:val="24"/>
          <w:highlight w:val="none"/>
        </w:rPr>
      </w:pPr>
      <w:r>
        <w:rPr>
          <w:color w:val="auto"/>
          <w:sz w:val="24"/>
          <w:highlight w:val="none"/>
        </w:rPr>
        <w:t>（3）在服务采购项目中，服务由中小企业承接，即提供服务的人员为中小企业依照《中华人民共和国劳动合同法》订立劳动合同的从业人员。</w:t>
      </w:r>
    </w:p>
    <w:p w14:paraId="7BD17496">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在货物采购项目中，供应商提供的货物既有中小企业制造货物，也有大型企业制造货物的，不享受中小企业扶持政策。</w:t>
      </w:r>
    </w:p>
    <w:p w14:paraId="5B311A08">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34E13471">
      <w:pPr>
        <w:numPr>
          <w:ilvl w:val="2"/>
          <w:numId w:val="8"/>
        </w:numPr>
        <w:snapToGrid w:val="0"/>
        <w:spacing w:line="360" w:lineRule="auto"/>
        <w:rPr>
          <w:color w:val="auto"/>
          <w:sz w:val="24"/>
          <w:highlight w:val="none"/>
        </w:rPr>
      </w:pPr>
      <w:r>
        <w:rPr>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907822">
      <w:pPr>
        <w:numPr>
          <w:ilvl w:val="2"/>
          <w:numId w:val="8"/>
        </w:numPr>
        <w:snapToGrid w:val="0"/>
        <w:spacing w:line="360" w:lineRule="auto"/>
        <w:rPr>
          <w:vanish/>
          <w:color w:val="auto"/>
          <w:sz w:val="24"/>
          <w:highlight w:val="none"/>
        </w:rPr>
      </w:pPr>
      <w:r>
        <w:rPr>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87B07B2">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安置的残疾人占本单位在职职工人数的比例不低于25%（含25%），并且安置的残疾人人数不少于10 人（含10 人）；</w:t>
      </w:r>
    </w:p>
    <w:p w14:paraId="0A2D729F">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依法与安置的每位残疾人签订了一年以上（含一年）的劳动合同或服务协议；</w:t>
      </w:r>
    </w:p>
    <w:p w14:paraId="5701EBFC">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为安置的每位残疾人按月足额缴纳了基本养老保险、基本医疗保险、失业保险、工伤保险和生育保险等社会保险费；</w:t>
      </w:r>
    </w:p>
    <w:p w14:paraId="364B879D">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通过银行等金融机构向安置的每位残疾人，按月支付了不低于单位所在区县适用的经省级人民政府批准的月最低工资标准的工资；</w:t>
      </w:r>
    </w:p>
    <w:p w14:paraId="3AFB2C56">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提供本单位制造的货物、承担的工程或者服务（以下简称产品），或者提供其他残疾人福利性单位制造的货物（不包括使用非残疾人福利性单位注册商标的货物）；</w:t>
      </w:r>
    </w:p>
    <w:p w14:paraId="7822B987">
      <w:pPr>
        <w:numPr>
          <w:ilvl w:val="3"/>
          <w:numId w:val="8"/>
        </w:numPr>
        <w:tabs>
          <w:tab w:val="left" w:pos="1980"/>
          <w:tab w:val="left" w:pos="2035"/>
          <w:tab w:val="left" w:pos="2885"/>
          <w:tab w:val="left" w:pos="2977"/>
          <w:tab w:val="clear" w:pos="900"/>
        </w:tabs>
        <w:snapToGrid w:val="0"/>
        <w:spacing w:line="360" w:lineRule="auto"/>
        <w:ind w:left="2885"/>
        <w:rPr>
          <w:color w:val="auto"/>
          <w:sz w:val="24"/>
          <w:highlight w:val="none"/>
        </w:rPr>
      </w:pPr>
      <w:r>
        <w:rPr>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92CA28A">
      <w:pPr>
        <w:numPr>
          <w:ilvl w:val="2"/>
          <w:numId w:val="8"/>
        </w:numPr>
        <w:snapToGrid w:val="0"/>
        <w:spacing w:line="360" w:lineRule="auto"/>
        <w:rPr>
          <w:color w:val="auto"/>
          <w:sz w:val="24"/>
          <w:highlight w:val="none"/>
        </w:rPr>
      </w:pPr>
      <w:r>
        <w:rPr>
          <w:color w:val="auto"/>
          <w:sz w:val="24"/>
          <w:highlight w:val="none"/>
        </w:rPr>
        <w:t>本项目是否专门面向中小企业预留采购份额见第一章《投标邀请》。</w:t>
      </w:r>
    </w:p>
    <w:p w14:paraId="549F7284">
      <w:pPr>
        <w:numPr>
          <w:ilvl w:val="2"/>
          <w:numId w:val="8"/>
        </w:numPr>
        <w:snapToGrid w:val="0"/>
        <w:spacing w:line="360" w:lineRule="auto"/>
        <w:rPr>
          <w:color w:val="auto"/>
          <w:sz w:val="24"/>
          <w:highlight w:val="none"/>
        </w:rPr>
      </w:pPr>
      <w:r>
        <w:rPr>
          <w:color w:val="auto"/>
          <w:sz w:val="24"/>
          <w:highlight w:val="none"/>
        </w:rPr>
        <w:t>采购标的对应的中小企业划分标准所属行业见《投标人须知资料表》。</w:t>
      </w:r>
    </w:p>
    <w:p w14:paraId="2FF9E56F">
      <w:pPr>
        <w:numPr>
          <w:ilvl w:val="2"/>
          <w:numId w:val="8"/>
        </w:numPr>
        <w:snapToGrid w:val="0"/>
        <w:spacing w:line="360" w:lineRule="auto"/>
        <w:rPr>
          <w:color w:val="auto"/>
          <w:sz w:val="24"/>
          <w:highlight w:val="none"/>
        </w:rPr>
      </w:pPr>
      <w:r>
        <w:rPr>
          <w:color w:val="auto"/>
          <w:sz w:val="24"/>
          <w:highlight w:val="none"/>
        </w:rPr>
        <w:t>小微企业价格评审优惠的政策调整：见第四章《评标程序、评标方法和评标标准》。</w:t>
      </w:r>
    </w:p>
    <w:p w14:paraId="0805CD34">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政府采购节能产品、环境标志产品</w:t>
      </w:r>
      <w:r>
        <w:rPr>
          <w:rFonts w:hint="eastAsia"/>
          <w:b/>
          <w:bCs/>
          <w:color w:val="auto"/>
          <w:sz w:val="24"/>
          <w:highlight w:val="none"/>
        </w:rPr>
        <w:t>（本项目不涉及）</w:t>
      </w:r>
    </w:p>
    <w:p w14:paraId="24498638">
      <w:pPr>
        <w:numPr>
          <w:ilvl w:val="2"/>
          <w:numId w:val="8"/>
        </w:numPr>
        <w:snapToGrid w:val="0"/>
        <w:spacing w:line="360" w:lineRule="auto"/>
        <w:rPr>
          <w:color w:val="auto"/>
          <w:sz w:val="24"/>
          <w:highlight w:val="none"/>
        </w:rPr>
      </w:pPr>
      <w:r>
        <w:rPr>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19B881E">
      <w:pPr>
        <w:numPr>
          <w:ilvl w:val="2"/>
          <w:numId w:val="8"/>
        </w:numPr>
        <w:snapToGrid w:val="0"/>
        <w:spacing w:line="360" w:lineRule="auto"/>
        <w:rPr>
          <w:color w:val="auto"/>
          <w:sz w:val="24"/>
          <w:highlight w:val="none"/>
        </w:rPr>
      </w:pPr>
      <w:r>
        <w:rPr>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2AAF797">
      <w:pPr>
        <w:numPr>
          <w:ilvl w:val="2"/>
          <w:numId w:val="8"/>
        </w:numPr>
        <w:snapToGrid w:val="0"/>
        <w:spacing w:line="360" w:lineRule="auto"/>
        <w:rPr>
          <w:color w:val="auto"/>
          <w:sz w:val="24"/>
          <w:highlight w:val="none"/>
        </w:rPr>
      </w:pPr>
      <w:r>
        <w:rPr>
          <w:color w:val="auto"/>
          <w:sz w:val="24"/>
          <w:highlight w:val="none"/>
        </w:rPr>
        <w:t>如本项目采购产品属于实施政府强制采购品目清单范围的节能产品，则投标人所报产品必须获得国家确定的认证机构出具的、处于有效期之内的节能产品认证证书，</w:t>
      </w:r>
      <w:r>
        <w:rPr>
          <w:color w:val="auto"/>
          <w:kern w:val="0"/>
          <w:sz w:val="24"/>
          <w:highlight w:val="none"/>
        </w:rPr>
        <w:t>否则</w:t>
      </w:r>
      <w:r>
        <w:rPr>
          <w:b/>
          <w:color w:val="auto"/>
          <w:kern w:val="0"/>
          <w:sz w:val="24"/>
          <w:highlight w:val="none"/>
        </w:rPr>
        <w:t>投标无效</w:t>
      </w:r>
      <w:r>
        <w:rPr>
          <w:color w:val="auto"/>
          <w:sz w:val="24"/>
          <w:highlight w:val="none"/>
        </w:rPr>
        <w:t>；</w:t>
      </w:r>
    </w:p>
    <w:p w14:paraId="3E16B34A">
      <w:pPr>
        <w:numPr>
          <w:ilvl w:val="2"/>
          <w:numId w:val="8"/>
        </w:numPr>
        <w:snapToGrid w:val="0"/>
        <w:spacing w:line="360" w:lineRule="auto"/>
        <w:rPr>
          <w:color w:val="auto"/>
          <w:sz w:val="24"/>
          <w:highlight w:val="none"/>
        </w:rPr>
      </w:pPr>
      <w:r>
        <w:rPr>
          <w:color w:val="auto"/>
          <w:sz w:val="24"/>
          <w:highlight w:val="none"/>
        </w:rPr>
        <w:t>非政府强制采购的节能产品或环境标志产品，依据品目清单和认证证书实施政府优先采购。优先采购的具体规定见第四章《评标程序、评标方法和评标标准》（如涉及）。</w:t>
      </w:r>
    </w:p>
    <w:p w14:paraId="374A9BE0">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正版软件</w:t>
      </w:r>
      <w:r>
        <w:rPr>
          <w:rFonts w:hint="eastAsia"/>
          <w:b/>
          <w:bCs/>
          <w:color w:val="auto"/>
          <w:sz w:val="24"/>
          <w:highlight w:val="none"/>
        </w:rPr>
        <w:t>（本项目不涉及）</w:t>
      </w:r>
    </w:p>
    <w:p w14:paraId="55EC1391">
      <w:pPr>
        <w:numPr>
          <w:ilvl w:val="2"/>
          <w:numId w:val="8"/>
        </w:numPr>
        <w:snapToGrid w:val="0"/>
        <w:spacing w:line="360" w:lineRule="auto"/>
        <w:rPr>
          <w:color w:val="auto"/>
          <w:sz w:val="24"/>
          <w:highlight w:val="none"/>
        </w:rPr>
      </w:pPr>
      <w:r>
        <w:rPr>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4B3745B">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网络安全专用产品</w:t>
      </w:r>
      <w:r>
        <w:rPr>
          <w:rFonts w:hint="eastAsia"/>
          <w:b/>
          <w:bCs/>
          <w:color w:val="auto"/>
          <w:sz w:val="24"/>
          <w:highlight w:val="none"/>
        </w:rPr>
        <w:t>（本项目不涉及）</w:t>
      </w:r>
    </w:p>
    <w:p w14:paraId="3D62CBE4">
      <w:pPr>
        <w:numPr>
          <w:ilvl w:val="2"/>
          <w:numId w:val="8"/>
        </w:numPr>
        <w:tabs>
          <w:tab w:val="left" w:pos="2014"/>
        </w:tabs>
        <w:snapToGrid w:val="0"/>
        <w:spacing w:line="360" w:lineRule="auto"/>
        <w:rPr>
          <w:color w:val="auto"/>
          <w:sz w:val="24"/>
          <w:highlight w:val="none"/>
        </w:rPr>
      </w:pPr>
      <w:r>
        <w:rPr>
          <w:color w:val="auto"/>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8914131">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推广使用低挥发性有机化合物（VOCs）</w:t>
      </w:r>
      <w:r>
        <w:rPr>
          <w:rFonts w:hint="eastAsia"/>
          <w:b/>
          <w:bCs/>
          <w:color w:val="auto"/>
          <w:sz w:val="24"/>
          <w:highlight w:val="none"/>
        </w:rPr>
        <w:t>（本项目不涉及）</w:t>
      </w:r>
    </w:p>
    <w:p w14:paraId="0DA7579F">
      <w:pPr>
        <w:numPr>
          <w:ilvl w:val="2"/>
          <w:numId w:val="8"/>
        </w:numPr>
        <w:tabs>
          <w:tab w:val="left" w:pos="2014"/>
        </w:tabs>
        <w:snapToGrid w:val="0"/>
        <w:spacing w:line="360" w:lineRule="auto"/>
        <w:rPr>
          <w:color w:val="auto"/>
          <w:sz w:val="24"/>
          <w:highlight w:val="none"/>
        </w:rPr>
      </w:pPr>
      <w:r>
        <w:rPr>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color w:val="auto"/>
          <w:kern w:val="0"/>
          <w:sz w:val="24"/>
          <w:highlight w:val="none"/>
        </w:rPr>
        <w:t>否则</w:t>
      </w:r>
      <w:r>
        <w:rPr>
          <w:b/>
          <w:color w:val="auto"/>
          <w:kern w:val="0"/>
          <w:sz w:val="24"/>
          <w:highlight w:val="none"/>
        </w:rPr>
        <w:t>投标无效</w:t>
      </w:r>
      <w:r>
        <w:rPr>
          <w:color w:val="auto"/>
          <w:sz w:val="24"/>
          <w:highlight w:val="none"/>
        </w:rPr>
        <w:t>；属于推荐性标准的，优先采购，具体见第四章《评标程序、评标方法和评标标准》。</w:t>
      </w:r>
    </w:p>
    <w:p w14:paraId="630F894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采购需求标准</w:t>
      </w:r>
      <w:r>
        <w:rPr>
          <w:rFonts w:hint="eastAsia"/>
          <w:b/>
          <w:bCs/>
          <w:color w:val="auto"/>
          <w:sz w:val="24"/>
          <w:highlight w:val="none"/>
        </w:rPr>
        <w:t>（本项目不涉及）</w:t>
      </w:r>
    </w:p>
    <w:p w14:paraId="5BD690BE">
      <w:pPr>
        <w:numPr>
          <w:ilvl w:val="2"/>
          <w:numId w:val="8"/>
        </w:numPr>
        <w:tabs>
          <w:tab w:val="left" w:pos="2014"/>
        </w:tabs>
        <w:snapToGrid w:val="0"/>
        <w:spacing w:line="360" w:lineRule="auto"/>
        <w:rPr>
          <w:color w:val="auto"/>
          <w:sz w:val="24"/>
          <w:highlight w:val="none"/>
        </w:rPr>
      </w:pPr>
      <w:r>
        <w:rPr>
          <w:color w:val="auto"/>
          <w:sz w:val="24"/>
          <w:highlight w:val="none"/>
        </w:rPr>
        <w:t>商品包装、快递包装政府采购需求标准（试行）</w:t>
      </w:r>
    </w:p>
    <w:p w14:paraId="3F3CE0DB">
      <w:pPr>
        <w:tabs>
          <w:tab w:val="left" w:pos="900"/>
          <w:tab w:val="left" w:pos="1980"/>
        </w:tabs>
        <w:snapToGrid w:val="0"/>
        <w:spacing w:line="360" w:lineRule="auto"/>
        <w:ind w:left="1985"/>
        <w:rPr>
          <w:color w:val="auto"/>
          <w:sz w:val="24"/>
          <w:highlight w:val="none"/>
        </w:rPr>
      </w:pPr>
      <w:r>
        <w:rPr>
          <w:color w:val="auto"/>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4B80F42F">
      <w:pPr>
        <w:numPr>
          <w:ilvl w:val="2"/>
          <w:numId w:val="8"/>
        </w:numPr>
        <w:tabs>
          <w:tab w:val="left" w:pos="2014"/>
        </w:tabs>
        <w:snapToGrid w:val="0"/>
        <w:spacing w:line="360" w:lineRule="auto"/>
        <w:rPr>
          <w:color w:val="auto"/>
          <w:sz w:val="24"/>
          <w:highlight w:val="none"/>
        </w:rPr>
      </w:pPr>
      <w:r>
        <w:rPr>
          <w:color w:val="auto"/>
          <w:sz w:val="24"/>
          <w:highlight w:val="none"/>
        </w:rPr>
        <w:t>绿色数据中心政府采购需求标准（试行）</w:t>
      </w:r>
    </w:p>
    <w:p w14:paraId="17873570">
      <w:pPr>
        <w:tabs>
          <w:tab w:val="left" w:pos="900"/>
          <w:tab w:val="left" w:pos="1980"/>
        </w:tabs>
        <w:snapToGrid w:val="0"/>
        <w:spacing w:line="360" w:lineRule="auto"/>
        <w:ind w:left="1980"/>
        <w:rPr>
          <w:color w:val="auto"/>
          <w:sz w:val="24"/>
          <w:highlight w:val="none"/>
        </w:rPr>
      </w:pPr>
      <w:r>
        <w:rPr>
          <w:color w:val="auto"/>
          <w:sz w:val="24"/>
          <w:highlight w:val="none"/>
        </w:rPr>
        <w:t>为加快数据中心绿色转型，根据财政部 生态环境部 工业和信息化部关于印发《绿色数据中心政府采购需求标准（试行）》的通知（财库〔2023〕7号），本项目如涉及绿色数据中心，则具体要求见第五章《采购需求》。</w:t>
      </w:r>
    </w:p>
    <w:p w14:paraId="513ABE3A">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投标费用</w:t>
      </w:r>
    </w:p>
    <w:p w14:paraId="52A029F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投标人应自行承担所有与准备和参加投标有关的费用，无论投标的结果如何，采购人或采购代理机构在任何情况下均无承担这些费用的义务和责任。</w:t>
      </w:r>
    </w:p>
    <w:p w14:paraId="50821CFB">
      <w:pPr>
        <w:tabs>
          <w:tab w:val="left" w:pos="1080"/>
        </w:tabs>
        <w:snapToGrid w:val="0"/>
        <w:spacing w:line="360" w:lineRule="auto"/>
        <w:ind w:left="1080"/>
        <w:rPr>
          <w:color w:val="auto"/>
          <w:sz w:val="28"/>
          <w:highlight w:val="none"/>
        </w:rPr>
      </w:pPr>
      <w:bookmarkStart w:id="166" w:name="_1.8_计量单位"/>
      <w:bookmarkEnd w:id="166"/>
    </w:p>
    <w:p w14:paraId="6C122108">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FFB797A">
      <w:pPr>
        <w:numPr>
          <w:ilvl w:val="0"/>
          <w:numId w:val="8"/>
        </w:numPr>
        <w:tabs>
          <w:tab w:val="left" w:pos="360"/>
        </w:tabs>
        <w:snapToGrid w:val="0"/>
        <w:spacing w:line="360" w:lineRule="auto"/>
        <w:ind w:left="357" w:hanging="357"/>
        <w:outlineLvl w:val="1"/>
        <w:rPr>
          <w:color w:val="auto"/>
          <w:sz w:val="24"/>
          <w:highlight w:val="none"/>
        </w:rPr>
      </w:pPr>
      <w:bookmarkStart w:id="167" w:name="_Toc164229218"/>
      <w:bookmarkStart w:id="168" w:name="_Toc226965713"/>
      <w:bookmarkStart w:id="169" w:name="_Toc149720816"/>
      <w:bookmarkStart w:id="170" w:name="_Toc151193837"/>
      <w:bookmarkStart w:id="171" w:name="_Toc305158791"/>
      <w:bookmarkStart w:id="172" w:name="_Toc127161437"/>
      <w:bookmarkStart w:id="173" w:name="_Toc305158865"/>
      <w:bookmarkStart w:id="174" w:name="_Toc264969213"/>
      <w:bookmarkStart w:id="175" w:name="_Toc226337219"/>
      <w:bookmarkStart w:id="176" w:name="_Toc150774728"/>
      <w:bookmarkStart w:id="177" w:name="_Toc150774623"/>
      <w:bookmarkStart w:id="178" w:name="_Toc226965796"/>
      <w:bookmarkStart w:id="179" w:name="_Toc151193693"/>
      <w:bookmarkStart w:id="180" w:name="_Toc164608637"/>
      <w:bookmarkStart w:id="181" w:name="_Toc151190150"/>
      <w:bookmarkStart w:id="182" w:name="_Toc127151523"/>
      <w:bookmarkStart w:id="183" w:name="_Toc164608792"/>
      <w:bookmarkStart w:id="184" w:name="_Toc520356147"/>
      <w:bookmarkStart w:id="185" w:name="_Toc142311025"/>
      <w:bookmarkStart w:id="186" w:name="_Toc164229364"/>
      <w:bookmarkStart w:id="187" w:name="_Toc164351617"/>
      <w:bookmarkStart w:id="188" w:name="_Toc151193765"/>
      <w:bookmarkStart w:id="189" w:name="_Toc265228361"/>
      <w:bookmarkStart w:id="190" w:name="_Toc226309767"/>
      <w:bookmarkStart w:id="191" w:name="_Toc195842888"/>
      <w:bookmarkStart w:id="192" w:name="_Toc150509274"/>
      <w:bookmarkStart w:id="193" w:name="_Toc151193911"/>
      <w:bookmarkStart w:id="194" w:name="_Toc127151724"/>
      <w:bookmarkStart w:id="195" w:name="_Toc150480761"/>
      <w:bookmarkStart w:id="196" w:name="_Toc151193621"/>
      <w:r>
        <w:rPr>
          <w:color w:val="auto"/>
          <w:sz w:val="24"/>
          <w:highlight w:val="none"/>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color w:val="auto"/>
          <w:sz w:val="24"/>
          <w:highlight w:val="none"/>
        </w:rPr>
        <w:t>成</w:t>
      </w:r>
    </w:p>
    <w:p w14:paraId="4495E911">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招标文件包括以下部分：</w:t>
      </w:r>
    </w:p>
    <w:p w14:paraId="3BABA176">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投标邀请</w:t>
      </w:r>
    </w:p>
    <w:p w14:paraId="25BFA7C5">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投标人须知</w:t>
      </w:r>
    </w:p>
    <w:p w14:paraId="69B1F583">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资格审查</w:t>
      </w:r>
    </w:p>
    <w:p w14:paraId="42F2AFFC">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评标程序、评标方法和评标标准</w:t>
      </w:r>
    </w:p>
    <w:p w14:paraId="6685CD98">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采购需求</w:t>
      </w:r>
    </w:p>
    <w:p w14:paraId="7182E380">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拟签订的合同文本</w:t>
      </w:r>
    </w:p>
    <w:p w14:paraId="3E466204">
      <w:pPr>
        <w:numPr>
          <w:ilvl w:val="0"/>
          <w:numId w:val="9"/>
        </w:numPr>
        <w:tabs>
          <w:tab w:val="left" w:pos="1980"/>
          <w:tab w:val="left" w:pos="2520"/>
        </w:tabs>
        <w:snapToGrid w:val="0"/>
        <w:spacing w:line="360" w:lineRule="auto"/>
        <w:ind w:left="1440" w:firstLine="5"/>
        <w:rPr>
          <w:color w:val="auto"/>
          <w:sz w:val="24"/>
          <w:highlight w:val="none"/>
        </w:rPr>
      </w:pPr>
      <w:r>
        <w:rPr>
          <w:color w:val="auto"/>
          <w:sz w:val="24"/>
          <w:highlight w:val="none"/>
        </w:rPr>
        <w:t>投标文件格式</w:t>
      </w:r>
    </w:p>
    <w:p w14:paraId="15F716C9">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投标人应认真阅读招标文件的全部内容。投标人应按照招标文件要求提交投标文件并保证所提供的全部资料的真实性，并对招标文件做出实质性响应，否则</w:t>
      </w:r>
      <w:r>
        <w:rPr>
          <w:b/>
          <w:color w:val="auto"/>
          <w:sz w:val="24"/>
          <w:highlight w:val="none"/>
        </w:rPr>
        <w:t>投标无效</w:t>
      </w:r>
      <w:r>
        <w:rPr>
          <w:color w:val="auto"/>
          <w:sz w:val="24"/>
          <w:highlight w:val="none"/>
        </w:rPr>
        <w:t>。</w:t>
      </w:r>
    </w:p>
    <w:p w14:paraId="1FDB4689">
      <w:pPr>
        <w:numPr>
          <w:ilvl w:val="0"/>
          <w:numId w:val="8"/>
        </w:numPr>
        <w:tabs>
          <w:tab w:val="left" w:pos="1080"/>
          <w:tab w:val="left" w:pos="2014"/>
        </w:tabs>
        <w:snapToGrid w:val="0"/>
        <w:spacing w:line="360" w:lineRule="auto"/>
        <w:ind w:left="357" w:hanging="357"/>
        <w:outlineLvl w:val="1"/>
        <w:rPr>
          <w:color w:val="auto"/>
          <w:sz w:val="24"/>
          <w:highlight w:val="none"/>
        </w:rPr>
      </w:pPr>
      <w:r>
        <w:rPr>
          <w:color w:val="auto"/>
          <w:sz w:val="24"/>
          <w:highlight w:val="none"/>
        </w:rPr>
        <w:t>对招标文件的澄清或修改</w:t>
      </w:r>
    </w:p>
    <w:p w14:paraId="0183D9FC">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采购人或采购代理机构对已发出的招标文件进行必要澄清或者修改的，将在原公告发布媒体上发布更正公告，并以书面形式通知所有获取招标文件的潜在投标人。</w:t>
      </w:r>
    </w:p>
    <w:p w14:paraId="718B5BBF">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上述书面通知，按照获取招标文件的潜在投标人提供的联系方式发出，因提供的信息有误导致通知延迟或无法通知的，采购人或采购代理机构不承担责任。</w:t>
      </w:r>
    </w:p>
    <w:p w14:paraId="7997715F">
      <w:pPr>
        <w:numPr>
          <w:ilvl w:val="1"/>
          <w:numId w:val="8"/>
        </w:numPr>
        <w:tabs>
          <w:tab w:val="left" w:pos="1080"/>
          <w:tab w:val="left" w:pos="1561"/>
          <w:tab w:val="left" w:pos="2014"/>
        </w:tabs>
        <w:snapToGrid w:val="0"/>
        <w:spacing w:line="360" w:lineRule="auto"/>
        <w:ind w:left="1080" w:hanging="720"/>
        <w:rPr>
          <w:color w:val="auto"/>
          <w:sz w:val="24"/>
          <w:highlight w:val="none"/>
        </w:rPr>
      </w:pPr>
      <w:r>
        <w:rPr>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41FC253">
      <w:pPr>
        <w:tabs>
          <w:tab w:val="left" w:pos="1080"/>
          <w:tab w:val="left" w:pos="1561"/>
        </w:tabs>
        <w:snapToGrid w:val="0"/>
        <w:spacing w:line="360" w:lineRule="auto"/>
        <w:ind w:left="1080"/>
        <w:rPr>
          <w:color w:val="auto"/>
          <w:sz w:val="28"/>
          <w:highlight w:val="none"/>
        </w:rPr>
      </w:pPr>
      <w:bookmarkStart w:id="197" w:name="_Toc516367020"/>
      <w:bookmarkStart w:id="198" w:name="_Toc151193914"/>
      <w:bookmarkStart w:id="199" w:name="_Toc264969216"/>
      <w:bookmarkStart w:id="200" w:name="_Toc305158868"/>
      <w:bookmarkStart w:id="201" w:name="_Toc150480764"/>
      <w:bookmarkStart w:id="202" w:name="_Toc305158794"/>
      <w:bookmarkStart w:id="203" w:name="_Toc150774731"/>
      <w:bookmarkStart w:id="204" w:name="_Toc226965716"/>
      <w:bookmarkStart w:id="205" w:name="_Toc151190153"/>
      <w:bookmarkStart w:id="206" w:name="_Toc151193768"/>
      <w:bookmarkStart w:id="207" w:name="_Toc226309770"/>
      <w:bookmarkStart w:id="208" w:name="_Toc520356150"/>
      <w:bookmarkStart w:id="209" w:name="_Toc150509277"/>
      <w:bookmarkStart w:id="210" w:name="_Toc151193840"/>
      <w:bookmarkStart w:id="211" w:name="_Toc226965799"/>
      <w:bookmarkStart w:id="212" w:name="_Toc127151526"/>
      <w:bookmarkStart w:id="213" w:name="_Toc151193696"/>
      <w:bookmarkStart w:id="214" w:name="_Toc151193624"/>
      <w:bookmarkStart w:id="215" w:name="_Toc150774626"/>
      <w:bookmarkStart w:id="216" w:name="_Toc226337222"/>
      <w:bookmarkStart w:id="217" w:name="_Toc265228364"/>
      <w:bookmarkStart w:id="218" w:name="_Toc195842891"/>
      <w:bookmarkStart w:id="219" w:name="_Toc142311028"/>
    </w:p>
    <w:p w14:paraId="3ED2654C">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投标文件</w:t>
      </w:r>
      <w:bookmarkEnd w:id="197"/>
      <w:r>
        <w:rPr>
          <w:rFonts w:ascii="Times New Roman" w:hAnsi="Times New Roman" w:eastAsia="宋体"/>
          <w:color w:val="auto"/>
          <w:sz w:val="28"/>
          <w:highlight w:val="none"/>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012963E">
      <w:pPr>
        <w:numPr>
          <w:ilvl w:val="0"/>
          <w:numId w:val="8"/>
        </w:numPr>
        <w:tabs>
          <w:tab w:val="left" w:pos="360"/>
        </w:tabs>
        <w:snapToGrid w:val="0"/>
        <w:spacing w:line="360" w:lineRule="auto"/>
        <w:ind w:left="357" w:hanging="357"/>
        <w:outlineLvl w:val="1"/>
        <w:rPr>
          <w:color w:val="auto"/>
          <w:sz w:val="24"/>
          <w:highlight w:val="none"/>
        </w:rPr>
      </w:pPr>
      <w:bookmarkStart w:id="220" w:name="_Toc305158795"/>
      <w:bookmarkStart w:id="221" w:name="_Toc164229222"/>
      <w:bookmarkStart w:id="222" w:name="_Toc305158869"/>
      <w:bookmarkStart w:id="223" w:name="_Toc127161441"/>
      <w:bookmarkStart w:id="224" w:name="_Toc164608641"/>
      <w:bookmarkStart w:id="225" w:name="_Toc520356151"/>
      <w:bookmarkStart w:id="226" w:name="_Toc150480765"/>
      <w:bookmarkStart w:id="227" w:name="_Toc226965800"/>
      <w:bookmarkStart w:id="228" w:name="_Toc151193625"/>
      <w:bookmarkStart w:id="229" w:name="_Toc151193915"/>
      <w:bookmarkStart w:id="230" w:name="_Toc151193841"/>
      <w:bookmarkStart w:id="231" w:name="_Toc164608796"/>
      <w:bookmarkStart w:id="232" w:name="_Toc149720820"/>
      <w:bookmarkStart w:id="233" w:name="_Toc195842892"/>
      <w:bookmarkStart w:id="234" w:name="_Toc127151728"/>
      <w:bookmarkStart w:id="235" w:name="_Toc265228365"/>
      <w:bookmarkStart w:id="236" w:name="_Toc150774627"/>
      <w:bookmarkStart w:id="237" w:name="_Toc164351621"/>
      <w:bookmarkStart w:id="238" w:name="_Toc516367021"/>
      <w:bookmarkStart w:id="239" w:name="_Toc150774732"/>
      <w:bookmarkStart w:id="240" w:name="_Toc264969217"/>
      <w:bookmarkStart w:id="241" w:name="_Toc142311029"/>
      <w:bookmarkStart w:id="242" w:name="_Toc151193769"/>
      <w:bookmarkStart w:id="243" w:name="_Toc226965717"/>
      <w:bookmarkStart w:id="244" w:name="_Toc151190154"/>
      <w:bookmarkStart w:id="245" w:name="_Toc226309771"/>
      <w:bookmarkStart w:id="246" w:name="_Toc150509278"/>
      <w:bookmarkStart w:id="247" w:name="_Toc151193697"/>
      <w:bookmarkStart w:id="248" w:name="_Toc164229368"/>
      <w:bookmarkStart w:id="249" w:name="_Toc127151527"/>
      <w:bookmarkStart w:id="250" w:name="_Toc226337223"/>
      <w:r>
        <w:rPr>
          <w:color w:val="auto"/>
          <w:sz w:val="24"/>
          <w:highlight w:val="none"/>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color w:val="auto"/>
          <w:sz w:val="24"/>
          <w:highlight w:val="none"/>
        </w:rPr>
        <w:t>及投标语言</w:t>
      </w:r>
    </w:p>
    <w:p w14:paraId="0450DA92">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auto"/>
          <w:sz w:val="24"/>
          <w:highlight w:val="none"/>
        </w:rPr>
        <w:t>无效投标</w:t>
      </w:r>
      <w:r>
        <w:rPr>
          <w:color w:val="auto"/>
          <w:sz w:val="24"/>
          <w:highlight w:val="none"/>
        </w:rPr>
        <w:t>。</w:t>
      </w:r>
    </w:p>
    <w:p w14:paraId="78257AF7">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除招标文件有特殊要求外，本项目投标所使用的计量单位，应采用中华人民共和国法定计量单位。</w:t>
      </w:r>
    </w:p>
    <w:p w14:paraId="4C3D238D">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D5C2F40">
      <w:pPr>
        <w:numPr>
          <w:ilvl w:val="0"/>
          <w:numId w:val="8"/>
        </w:numPr>
        <w:tabs>
          <w:tab w:val="left" w:pos="360"/>
        </w:tabs>
        <w:snapToGrid w:val="0"/>
        <w:spacing w:line="360" w:lineRule="auto"/>
        <w:ind w:left="357" w:hanging="357"/>
        <w:outlineLvl w:val="1"/>
        <w:rPr>
          <w:color w:val="auto"/>
          <w:sz w:val="24"/>
          <w:highlight w:val="none"/>
        </w:rPr>
      </w:pPr>
      <w:bookmarkStart w:id="251" w:name="_Toc516367022"/>
      <w:bookmarkStart w:id="252" w:name="_Ref467306195"/>
      <w:bookmarkStart w:id="253" w:name="_Ref467306676"/>
      <w:bookmarkStart w:id="254" w:name="_Toc149720821"/>
      <w:bookmarkStart w:id="255" w:name="_Toc305158796"/>
      <w:bookmarkStart w:id="256" w:name="_Toc164229369"/>
      <w:bookmarkStart w:id="257" w:name="_Toc151190155"/>
      <w:bookmarkStart w:id="258" w:name="_Toc164608642"/>
      <w:bookmarkStart w:id="259" w:name="_Toc150509279"/>
      <w:bookmarkStart w:id="260" w:name="_Toc142311030"/>
      <w:bookmarkStart w:id="261" w:name="_Toc264969218"/>
      <w:bookmarkStart w:id="262" w:name="_Toc265228366"/>
      <w:bookmarkStart w:id="263" w:name="_Toc305158870"/>
      <w:bookmarkStart w:id="264" w:name="_Toc151193916"/>
      <w:bookmarkStart w:id="265" w:name="_Toc164351622"/>
      <w:bookmarkStart w:id="266" w:name="_Toc151193842"/>
      <w:bookmarkStart w:id="267" w:name="_Toc520356152"/>
      <w:bookmarkStart w:id="268" w:name="_Toc127151729"/>
      <w:bookmarkStart w:id="269" w:name="_Toc150774628"/>
      <w:bookmarkStart w:id="270" w:name="_Toc164608797"/>
      <w:bookmarkStart w:id="271" w:name="_Toc150480766"/>
      <w:bookmarkStart w:id="272" w:name="_Toc151193626"/>
      <w:bookmarkStart w:id="273" w:name="_Toc164229223"/>
      <w:bookmarkStart w:id="274" w:name="_Toc226965718"/>
      <w:bookmarkStart w:id="275" w:name="_Toc226337224"/>
      <w:bookmarkStart w:id="276" w:name="_Toc127151528"/>
      <w:bookmarkStart w:id="277" w:name="_Toc226965801"/>
      <w:bookmarkStart w:id="278" w:name="_Toc226309772"/>
      <w:bookmarkStart w:id="279" w:name="_Toc151193770"/>
      <w:bookmarkStart w:id="280" w:name="_Toc151193698"/>
      <w:bookmarkStart w:id="281" w:name="_Toc195842893"/>
      <w:bookmarkStart w:id="282" w:name="_Toc127161442"/>
      <w:bookmarkStart w:id="283" w:name="_Toc150774733"/>
      <w:r>
        <w:rPr>
          <w:color w:val="auto"/>
          <w:sz w:val="24"/>
          <w:highlight w:val="none"/>
        </w:rPr>
        <w:t>投标文件</w:t>
      </w:r>
      <w:bookmarkEnd w:id="251"/>
      <w:bookmarkEnd w:id="252"/>
      <w:bookmarkEnd w:id="253"/>
      <w:r>
        <w:rPr>
          <w:color w:val="auto"/>
          <w:sz w:val="24"/>
          <w:highlight w:val="none"/>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239D0AE">
      <w:pPr>
        <w:numPr>
          <w:ilvl w:val="1"/>
          <w:numId w:val="8"/>
        </w:numPr>
        <w:tabs>
          <w:tab w:val="left" w:pos="1080"/>
          <w:tab w:val="left" w:pos="2014"/>
        </w:tabs>
        <w:snapToGrid w:val="0"/>
        <w:spacing w:line="360" w:lineRule="auto"/>
        <w:ind w:left="1077" w:hanging="720"/>
        <w:rPr>
          <w:color w:val="auto"/>
          <w:sz w:val="24"/>
          <w:highlight w:val="none"/>
        </w:rPr>
      </w:pPr>
      <w:bookmarkStart w:id="284" w:name="_Ref467052588"/>
      <w:r>
        <w:rPr>
          <w:color w:val="auto"/>
          <w:sz w:val="24"/>
          <w:highlight w:val="none"/>
        </w:rPr>
        <w:t>投标人应当按照招标文件的要求编制投标文件。投标文件应由《资格证明文件》、《商务技术文件》两部分构成。投标文件的部分格式要求，见第七章《投标文件格式》。</w:t>
      </w:r>
    </w:p>
    <w:p w14:paraId="3C583B40">
      <w:pPr>
        <w:numPr>
          <w:ilvl w:val="1"/>
          <w:numId w:val="8"/>
        </w:numPr>
        <w:tabs>
          <w:tab w:val="left" w:pos="1080"/>
          <w:tab w:val="left" w:pos="2014"/>
        </w:tabs>
        <w:snapToGrid w:val="0"/>
        <w:spacing w:line="360" w:lineRule="auto"/>
        <w:ind w:left="1077" w:hanging="720"/>
        <w:rPr>
          <w:color w:val="auto"/>
          <w:sz w:val="24"/>
          <w:highlight w:val="none"/>
        </w:rPr>
      </w:pP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0D81AE0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第四章《评标程序、评标方法和评标标准》中涉及的证明文件。</w:t>
      </w:r>
    </w:p>
    <w:p w14:paraId="1ABCB7C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39D86B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投标人认为应附的其他材料。</w:t>
      </w:r>
      <w:bookmarkEnd w:id="284"/>
    </w:p>
    <w:p w14:paraId="3305B3C4">
      <w:pPr>
        <w:numPr>
          <w:ilvl w:val="0"/>
          <w:numId w:val="8"/>
        </w:numPr>
        <w:tabs>
          <w:tab w:val="left" w:pos="360"/>
        </w:tabs>
        <w:snapToGrid w:val="0"/>
        <w:spacing w:line="360" w:lineRule="auto"/>
        <w:ind w:left="357" w:hanging="357"/>
        <w:outlineLvl w:val="1"/>
        <w:rPr>
          <w:color w:val="auto"/>
          <w:sz w:val="24"/>
          <w:highlight w:val="none"/>
        </w:rPr>
      </w:pPr>
      <w:bookmarkStart w:id="285" w:name="_Toc151193918"/>
      <w:bookmarkStart w:id="286" w:name="_Toc164608644"/>
      <w:bookmarkStart w:id="287" w:name="_Toc127151731"/>
      <w:bookmarkStart w:id="288" w:name="_Toc150480768"/>
      <w:bookmarkStart w:id="289" w:name="_Toc127151530"/>
      <w:bookmarkStart w:id="290" w:name="_Toc151193628"/>
      <w:bookmarkStart w:id="291" w:name="_Toc150774735"/>
      <w:bookmarkStart w:id="292" w:name="_Toc151190157"/>
      <w:bookmarkStart w:id="293" w:name="_Toc151193700"/>
      <w:bookmarkStart w:id="294" w:name="_Toc520356155"/>
      <w:bookmarkStart w:id="295" w:name="_Toc195842895"/>
      <w:bookmarkStart w:id="296" w:name="_Toc164229225"/>
      <w:bookmarkStart w:id="297" w:name="_Toc151193772"/>
      <w:bookmarkStart w:id="298" w:name="_Toc150509281"/>
      <w:bookmarkStart w:id="299" w:name="_Toc149720823"/>
      <w:bookmarkStart w:id="300" w:name="_Toc151193844"/>
      <w:bookmarkStart w:id="301" w:name="_Toc150774630"/>
      <w:bookmarkStart w:id="302" w:name="_Toc164229371"/>
      <w:bookmarkStart w:id="303" w:name="_Toc164608799"/>
      <w:bookmarkStart w:id="304" w:name="_Toc164351624"/>
      <w:bookmarkStart w:id="305" w:name="_Toc127161444"/>
      <w:bookmarkStart w:id="306" w:name="_Toc142311032"/>
      <w:r>
        <w:rPr>
          <w:color w:val="auto"/>
          <w:sz w:val="24"/>
          <w:highlight w:val="none"/>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6EE04A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所有投标均以人民币报价。</w:t>
      </w:r>
    </w:p>
    <w:p w14:paraId="759BE59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165C6200">
      <w:pPr>
        <w:numPr>
          <w:ilvl w:val="2"/>
          <w:numId w:val="8"/>
        </w:numPr>
        <w:snapToGrid w:val="0"/>
        <w:spacing w:line="360" w:lineRule="auto"/>
        <w:rPr>
          <w:color w:val="auto"/>
          <w:sz w:val="24"/>
          <w:highlight w:val="none"/>
        </w:rPr>
      </w:pPr>
      <w:r>
        <w:rPr>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color w:val="auto"/>
          <w:sz w:val="24"/>
          <w:highlight w:val="none"/>
        </w:rPr>
        <w:t xml:space="preserve"> </w:t>
      </w:r>
    </w:p>
    <w:p w14:paraId="061C0110">
      <w:pPr>
        <w:numPr>
          <w:ilvl w:val="2"/>
          <w:numId w:val="8"/>
        </w:numPr>
        <w:snapToGrid w:val="0"/>
        <w:spacing w:line="360" w:lineRule="auto"/>
        <w:rPr>
          <w:color w:val="auto"/>
          <w:sz w:val="24"/>
          <w:highlight w:val="none"/>
        </w:rPr>
      </w:pPr>
      <w:r>
        <w:rPr>
          <w:color w:val="auto"/>
          <w:sz w:val="24"/>
          <w:highlight w:val="none"/>
        </w:rPr>
        <w:t xml:space="preserve">按照招标文件要求完成本项目的全部相关费用。 </w:t>
      </w:r>
    </w:p>
    <w:p w14:paraId="0339DB2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采购人不得向供应商索要或者接受其给予的赠品、回扣或者与采购无关的其他商品、服务。</w:t>
      </w:r>
    </w:p>
    <w:p w14:paraId="50990F74">
      <w:pPr>
        <w:numPr>
          <w:ilvl w:val="1"/>
          <w:numId w:val="8"/>
        </w:numPr>
        <w:tabs>
          <w:tab w:val="left" w:pos="1080"/>
          <w:tab w:val="left" w:pos="2014"/>
        </w:tabs>
        <w:snapToGrid w:val="0"/>
        <w:spacing w:line="360" w:lineRule="auto"/>
        <w:ind w:left="1080" w:hanging="720"/>
        <w:rPr>
          <w:color w:val="auto"/>
          <w:sz w:val="24"/>
          <w:highlight w:val="none"/>
        </w:rPr>
      </w:pPr>
      <w:r>
        <w:rPr>
          <w:color w:val="auto"/>
          <w:sz w:val="24"/>
          <w:highlight w:val="none"/>
        </w:rPr>
        <w:t>投标人不能提供任何有选择性或可调整的报价</w:t>
      </w:r>
      <w:r>
        <w:rPr>
          <w:rFonts w:hint="eastAsia"/>
          <w:color w:val="auto"/>
          <w:sz w:val="24"/>
          <w:highlight w:val="none"/>
        </w:rPr>
        <w:t>（招标文件另有规定的除外）</w:t>
      </w:r>
      <w:r>
        <w:rPr>
          <w:color w:val="auto"/>
          <w:sz w:val="24"/>
          <w:highlight w:val="none"/>
        </w:rPr>
        <w:t>，否则其</w:t>
      </w:r>
      <w:r>
        <w:rPr>
          <w:b/>
          <w:color w:val="auto"/>
          <w:sz w:val="24"/>
          <w:highlight w:val="none"/>
        </w:rPr>
        <w:t>投标无效</w:t>
      </w:r>
      <w:r>
        <w:rPr>
          <w:color w:val="auto"/>
          <w:sz w:val="24"/>
          <w:highlight w:val="none"/>
        </w:rPr>
        <w:t>。</w:t>
      </w:r>
    </w:p>
    <w:p w14:paraId="3D9DD090">
      <w:pPr>
        <w:numPr>
          <w:ilvl w:val="0"/>
          <w:numId w:val="8"/>
        </w:numPr>
        <w:tabs>
          <w:tab w:val="left" w:pos="360"/>
        </w:tabs>
        <w:snapToGrid w:val="0"/>
        <w:spacing w:line="360" w:lineRule="auto"/>
        <w:ind w:left="357" w:hanging="357"/>
        <w:outlineLvl w:val="1"/>
        <w:rPr>
          <w:color w:val="auto"/>
          <w:sz w:val="24"/>
          <w:highlight w:val="none"/>
        </w:rPr>
      </w:pPr>
      <w:bookmarkStart w:id="307" w:name="_Toc151193701"/>
      <w:bookmarkStart w:id="308" w:name="_Toc149720824"/>
      <w:bookmarkStart w:id="309" w:name="_Toc305158799"/>
      <w:bookmarkStart w:id="310" w:name="_Toc151193845"/>
      <w:bookmarkStart w:id="311" w:name="_Toc305158873"/>
      <w:bookmarkStart w:id="312" w:name="_Toc265228369"/>
      <w:bookmarkStart w:id="313" w:name="_Toc164351625"/>
      <w:bookmarkStart w:id="314" w:name="_Toc151193919"/>
      <w:bookmarkStart w:id="315" w:name="_Toc150774736"/>
      <w:bookmarkStart w:id="316" w:name="_Toc127151732"/>
      <w:bookmarkStart w:id="317" w:name="_Toc151190158"/>
      <w:bookmarkStart w:id="318" w:name="_Toc520356156"/>
      <w:bookmarkStart w:id="319" w:name="_Toc151193629"/>
      <w:bookmarkStart w:id="320" w:name="_Toc164229226"/>
      <w:bookmarkStart w:id="321" w:name="_Toc226309775"/>
      <w:bookmarkStart w:id="322" w:name="_Toc127161445"/>
      <w:bookmarkStart w:id="323" w:name="_Toc264969221"/>
      <w:bookmarkStart w:id="324" w:name="_Toc226965804"/>
      <w:bookmarkStart w:id="325" w:name="_Toc150509282"/>
      <w:bookmarkStart w:id="326" w:name="_Toc226337227"/>
      <w:bookmarkStart w:id="327" w:name="_Toc164608645"/>
      <w:bookmarkStart w:id="328" w:name="_Toc150774631"/>
      <w:bookmarkStart w:id="329" w:name="_Toc164608800"/>
      <w:bookmarkStart w:id="330" w:name="_Toc150480769"/>
      <w:bookmarkStart w:id="331" w:name="_Toc142311033"/>
      <w:bookmarkStart w:id="332" w:name="_Toc195842896"/>
      <w:bookmarkStart w:id="333" w:name="_Toc226965721"/>
      <w:bookmarkStart w:id="334" w:name="_Toc127151531"/>
      <w:bookmarkStart w:id="335" w:name="_Toc164229372"/>
      <w:bookmarkStart w:id="336" w:name="_Ref467306513"/>
      <w:bookmarkStart w:id="337" w:name="_Toc151193773"/>
      <w:r>
        <w:rPr>
          <w:color w:val="auto"/>
          <w:sz w:val="24"/>
          <w:highlight w:val="none"/>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Fonts w:hint="eastAsia"/>
          <w:b/>
          <w:bCs/>
          <w:color w:val="auto"/>
          <w:sz w:val="24"/>
          <w:highlight w:val="none"/>
        </w:rPr>
        <w:t>（本项目不涉及）</w:t>
      </w:r>
    </w:p>
    <w:p w14:paraId="6203DA63">
      <w:pPr>
        <w:numPr>
          <w:ilvl w:val="0"/>
          <w:numId w:val="8"/>
        </w:numPr>
        <w:tabs>
          <w:tab w:val="left" w:pos="360"/>
        </w:tabs>
        <w:snapToGrid w:val="0"/>
        <w:spacing w:line="360" w:lineRule="auto"/>
        <w:ind w:left="357" w:hanging="357"/>
        <w:outlineLvl w:val="1"/>
        <w:rPr>
          <w:color w:val="auto"/>
          <w:sz w:val="24"/>
          <w:highlight w:val="none"/>
        </w:rPr>
      </w:pPr>
      <w:bookmarkStart w:id="338" w:name="_Toc305158800"/>
      <w:bookmarkStart w:id="339" w:name="_Toc164229227"/>
      <w:bookmarkStart w:id="340" w:name="_Toc164351626"/>
      <w:bookmarkStart w:id="341" w:name="_Toc151193702"/>
      <w:bookmarkStart w:id="342" w:name="_Toc195842897"/>
      <w:bookmarkStart w:id="343" w:name="_Toc127151733"/>
      <w:bookmarkStart w:id="344" w:name="_Toc151193630"/>
      <w:bookmarkStart w:id="345" w:name="_Toc151193774"/>
      <w:bookmarkStart w:id="346" w:name="_Toc127161446"/>
      <w:bookmarkStart w:id="347" w:name="_Toc150509283"/>
      <w:bookmarkStart w:id="348" w:name="_Toc164229373"/>
      <w:bookmarkStart w:id="349" w:name="_Toc164608801"/>
      <w:bookmarkStart w:id="350" w:name="_Toc226309776"/>
      <w:bookmarkStart w:id="351" w:name="_Toc151193920"/>
      <w:bookmarkStart w:id="352" w:name="_Toc226965722"/>
      <w:bookmarkStart w:id="353" w:name="_Toc151193846"/>
      <w:bookmarkStart w:id="354" w:name="_Toc520356157"/>
      <w:bookmarkStart w:id="355" w:name="_Toc150480770"/>
      <w:bookmarkStart w:id="356" w:name="_Toc264969222"/>
      <w:bookmarkStart w:id="357" w:name="_Toc127151532"/>
      <w:bookmarkStart w:id="358" w:name="_Toc149720825"/>
      <w:bookmarkStart w:id="359" w:name="_Toc265228370"/>
      <w:bookmarkStart w:id="360" w:name="_Toc164608646"/>
      <w:bookmarkStart w:id="361" w:name="_Toc150774632"/>
      <w:bookmarkStart w:id="362" w:name="_Toc150774737"/>
      <w:bookmarkStart w:id="363" w:name="_Toc151190159"/>
      <w:bookmarkStart w:id="364" w:name="_Toc226337228"/>
      <w:bookmarkStart w:id="365" w:name="_Toc305158874"/>
      <w:bookmarkStart w:id="366" w:name="_Toc226965805"/>
      <w:bookmarkStart w:id="367" w:name="_Toc142311034"/>
      <w:r>
        <w:rPr>
          <w:color w:val="auto"/>
          <w:sz w:val="24"/>
          <w:highlight w:val="none"/>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F7C2CF9">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投标文件应在本招标文件《投标人须知资料表》中规定的投标有效期内保持有效，投标有效期少于招标文件规定期限的，其</w:t>
      </w:r>
      <w:r>
        <w:rPr>
          <w:b/>
          <w:color w:val="auto"/>
          <w:sz w:val="24"/>
          <w:highlight w:val="none"/>
        </w:rPr>
        <w:t>投标无效</w:t>
      </w:r>
      <w:r>
        <w:rPr>
          <w:color w:val="auto"/>
          <w:sz w:val="24"/>
          <w:highlight w:val="none"/>
        </w:rPr>
        <w:t>。</w:t>
      </w:r>
    </w:p>
    <w:p w14:paraId="43975E1A">
      <w:pPr>
        <w:numPr>
          <w:ilvl w:val="0"/>
          <w:numId w:val="8"/>
        </w:numPr>
        <w:tabs>
          <w:tab w:val="left" w:pos="360"/>
        </w:tabs>
        <w:snapToGrid w:val="0"/>
        <w:spacing w:line="360" w:lineRule="auto"/>
        <w:ind w:left="357" w:hanging="357"/>
        <w:outlineLvl w:val="1"/>
        <w:rPr>
          <w:color w:val="auto"/>
          <w:sz w:val="24"/>
          <w:highlight w:val="none"/>
        </w:rPr>
      </w:pPr>
      <w:bookmarkStart w:id="368" w:name="_Toc149720826"/>
      <w:bookmarkStart w:id="369" w:name="_Toc142311035"/>
      <w:bookmarkStart w:id="370" w:name="_Toc151193703"/>
      <w:bookmarkStart w:id="371" w:name="_Toc150774738"/>
      <w:bookmarkStart w:id="372" w:name="_Toc127161447"/>
      <w:bookmarkStart w:id="373" w:name="_Toc151193631"/>
      <w:bookmarkStart w:id="374" w:name="_Toc264969223"/>
      <w:bookmarkStart w:id="375" w:name="_Toc127151533"/>
      <w:bookmarkStart w:id="376" w:name="_Toc151193921"/>
      <w:bookmarkStart w:id="377" w:name="_Toc150774633"/>
      <w:bookmarkStart w:id="378" w:name="_Toc226965806"/>
      <w:bookmarkStart w:id="379" w:name="_Toc226337229"/>
      <w:bookmarkStart w:id="380" w:name="_Toc150509284"/>
      <w:bookmarkStart w:id="381" w:name="_Toc164608647"/>
      <w:bookmarkStart w:id="382" w:name="_Toc305158801"/>
      <w:bookmarkStart w:id="383" w:name="_Toc195842898"/>
      <w:bookmarkStart w:id="384" w:name="_Toc150480771"/>
      <w:bookmarkStart w:id="385" w:name="_Toc127151734"/>
      <w:bookmarkStart w:id="386" w:name="_Toc151190160"/>
      <w:bookmarkStart w:id="387" w:name="_Toc164229374"/>
      <w:bookmarkStart w:id="388" w:name="_Toc226309777"/>
      <w:bookmarkStart w:id="389" w:name="_Toc164229228"/>
      <w:bookmarkStart w:id="390" w:name="_Toc520356158"/>
      <w:bookmarkStart w:id="391" w:name="_Toc151193847"/>
      <w:bookmarkStart w:id="392" w:name="_Toc151193775"/>
      <w:bookmarkStart w:id="393" w:name="_Toc164608802"/>
      <w:bookmarkStart w:id="394" w:name="_Toc305158875"/>
      <w:bookmarkStart w:id="395" w:name="_Toc265228371"/>
      <w:bookmarkStart w:id="396" w:name="_Toc164351627"/>
      <w:bookmarkStart w:id="397" w:name="_Toc226965723"/>
      <w:r>
        <w:rPr>
          <w:color w:val="auto"/>
          <w:sz w:val="24"/>
          <w:highlight w:val="none"/>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color w:val="auto"/>
          <w:sz w:val="24"/>
          <w:highlight w:val="none"/>
        </w:rPr>
        <w:t>、盖章</w:t>
      </w:r>
    </w:p>
    <w:p w14:paraId="777EB5C0">
      <w:pPr>
        <w:numPr>
          <w:ilvl w:val="1"/>
          <w:numId w:val="8"/>
        </w:numPr>
        <w:tabs>
          <w:tab w:val="left" w:pos="1080"/>
          <w:tab w:val="left" w:pos="2014"/>
        </w:tabs>
        <w:snapToGrid w:val="0"/>
        <w:spacing w:line="360" w:lineRule="auto"/>
        <w:ind w:left="1077" w:hanging="720"/>
        <w:rPr>
          <w:color w:val="auto"/>
          <w:sz w:val="24"/>
          <w:highlight w:val="none"/>
        </w:rPr>
      </w:pPr>
      <w:bookmarkStart w:id="398" w:name="_Toc150774634"/>
      <w:bookmarkStart w:id="399" w:name="_Toc151190161"/>
      <w:bookmarkStart w:id="400" w:name="_Toc305158802"/>
      <w:bookmarkStart w:id="401" w:name="_Toc226309778"/>
      <w:bookmarkStart w:id="402" w:name="_Toc265228372"/>
      <w:bookmarkStart w:id="403" w:name="_Toc150509285"/>
      <w:bookmarkStart w:id="404" w:name="_Toc150480772"/>
      <w:bookmarkStart w:id="405" w:name="_Toc151193704"/>
      <w:bookmarkStart w:id="406" w:name="_Toc264969224"/>
      <w:bookmarkStart w:id="407" w:name="_Toc520356159"/>
      <w:bookmarkStart w:id="408" w:name="_Toc226337230"/>
      <w:bookmarkStart w:id="409" w:name="_Toc305158876"/>
      <w:bookmarkStart w:id="410" w:name="_Toc195842899"/>
      <w:bookmarkStart w:id="411" w:name="_Toc142311036"/>
      <w:bookmarkStart w:id="412" w:name="_Toc151193776"/>
      <w:bookmarkStart w:id="413" w:name="_Toc226965807"/>
      <w:bookmarkStart w:id="414" w:name="_Toc151193922"/>
      <w:bookmarkStart w:id="415" w:name="_Toc226965724"/>
      <w:bookmarkStart w:id="416" w:name="_Toc127151534"/>
      <w:bookmarkStart w:id="417" w:name="_Toc150774739"/>
      <w:bookmarkStart w:id="418" w:name="_Toc151193848"/>
      <w:bookmarkStart w:id="419" w:name="_Toc151193632"/>
      <w:r>
        <w:rPr>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0CEC981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招标文件要求盖章的内容，一般通过投标文件编制工具加盖电子签章。</w:t>
      </w:r>
    </w:p>
    <w:p w14:paraId="72FF79FC">
      <w:pPr>
        <w:tabs>
          <w:tab w:val="left" w:pos="900"/>
          <w:tab w:val="left" w:pos="1080"/>
        </w:tabs>
        <w:snapToGrid w:val="0"/>
        <w:spacing w:line="360" w:lineRule="auto"/>
        <w:ind w:left="357"/>
        <w:rPr>
          <w:color w:val="auto"/>
          <w:highlight w:val="none"/>
        </w:rPr>
      </w:pPr>
    </w:p>
    <w:p w14:paraId="7C7EC4CE">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08D40EE">
      <w:pPr>
        <w:numPr>
          <w:ilvl w:val="0"/>
          <w:numId w:val="8"/>
        </w:numPr>
        <w:tabs>
          <w:tab w:val="left" w:pos="360"/>
        </w:tabs>
        <w:snapToGrid w:val="0"/>
        <w:spacing w:line="360" w:lineRule="auto"/>
        <w:ind w:left="357" w:hanging="357"/>
        <w:outlineLvl w:val="1"/>
        <w:rPr>
          <w:color w:val="auto"/>
          <w:sz w:val="24"/>
          <w:highlight w:val="none"/>
        </w:rPr>
      </w:pPr>
      <w:bookmarkStart w:id="420" w:name="_Toc164351629"/>
      <w:bookmarkStart w:id="421" w:name="_Toc151193633"/>
      <w:bookmarkStart w:id="422" w:name="_Toc226309779"/>
      <w:bookmarkStart w:id="423" w:name="_Toc149720828"/>
      <w:bookmarkStart w:id="424" w:name="_Toc305158803"/>
      <w:bookmarkStart w:id="425" w:name="_Toc265228373"/>
      <w:bookmarkStart w:id="426" w:name="_Toc195842900"/>
      <w:bookmarkStart w:id="427" w:name="_Toc164608804"/>
      <w:bookmarkStart w:id="428" w:name="_Toc151193923"/>
      <w:bookmarkStart w:id="429" w:name="_Toc150774635"/>
      <w:bookmarkStart w:id="430" w:name="_Toc305158877"/>
      <w:bookmarkStart w:id="431" w:name="_Toc127161449"/>
      <w:bookmarkStart w:id="432" w:name="_Toc127151736"/>
      <w:bookmarkStart w:id="433" w:name="_Toc150774740"/>
      <w:bookmarkStart w:id="434" w:name="_Toc151193849"/>
      <w:bookmarkStart w:id="435" w:name="_Toc164608649"/>
      <w:bookmarkStart w:id="436" w:name="_Toc164229230"/>
      <w:bookmarkStart w:id="437" w:name="_Toc127151535"/>
      <w:bookmarkStart w:id="438" w:name="_Toc151193777"/>
      <w:bookmarkStart w:id="439" w:name="_Toc264969225"/>
      <w:bookmarkStart w:id="440" w:name="_Toc520356160"/>
      <w:bookmarkStart w:id="441" w:name="_Toc150480773"/>
      <w:bookmarkStart w:id="442" w:name="_Toc164229376"/>
      <w:bookmarkStart w:id="443" w:name="_Toc142311037"/>
      <w:bookmarkStart w:id="444" w:name="_Toc226965808"/>
      <w:bookmarkStart w:id="445" w:name="_Toc151190162"/>
      <w:bookmarkStart w:id="446" w:name="_Toc226337231"/>
      <w:bookmarkStart w:id="447" w:name="_Toc226965725"/>
      <w:bookmarkStart w:id="448" w:name="_Toc151193705"/>
      <w:bookmarkStart w:id="449" w:name="_Toc150509286"/>
      <w:r>
        <w:rPr>
          <w:color w:val="auto"/>
          <w:sz w:val="24"/>
          <w:highlight w:val="none"/>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color w:val="auto"/>
          <w:sz w:val="24"/>
          <w:highlight w:val="none"/>
        </w:rPr>
        <w:t>提交</w:t>
      </w:r>
    </w:p>
    <w:p w14:paraId="5A12CAFC">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本项目使用北京市政府采购电子交易平台。投标人根据招标文件及电子交易平台供应商操作手册要求编制、生成并提交电子投标文件。</w:t>
      </w:r>
    </w:p>
    <w:p w14:paraId="0871713F">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采购人及采购代理机构拒绝接受通过电子交易平台以外任何形式提交的投标文件，投标保证金除外。</w:t>
      </w:r>
    </w:p>
    <w:p w14:paraId="6B75B3E6">
      <w:pPr>
        <w:numPr>
          <w:ilvl w:val="0"/>
          <w:numId w:val="8"/>
        </w:numPr>
        <w:tabs>
          <w:tab w:val="left" w:pos="360"/>
        </w:tabs>
        <w:snapToGrid w:val="0"/>
        <w:spacing w:line="360" w:lineRule="auto"/>
        <w:ind w:left="357" w:hanging="357"/>
        <w:outlineLvl w:val="1"/>
        <w:rPr>
          <w:color w:val="auto"/>
          <w:sz w:val="24"/>
          <w:highlight w:val="none"/>
        </w:rPr>
      </w:pPr>
      <w:bookmarkStart w:id="450" w:name="_Toc226965809"/>
      <w:bookmarkStart w:id="451" w:name="_Toc127161450"/>
      <w:bookmarkStart w:id="452" w:name="_Toc164229377"/>
      <w:bookmarkStart w:id="453" w:name="_Toc164229231"/>
      <w:bookmarkStart w:id="454" w:name="_Toc151193850"/>
      <w:bookmarkStart w:id="455" w:name="_Toc195842901"/>
      <w:bookmarkStart w:id="456" w:name="_Toc149720829"/>
      <w:bookmarkStart w:id="457" w:name="_Toc226965726"/>
      <w:bookmarkStart w:id="458" w:name="_Toc151193924"/>
      <w:bookmarkStart w:id="459" w:name="_Toc151190163"/>
      <w:bookmarkStart w:id="460" w:name="_Toc142311038"/>
      <w:bookmarkStart w:id="461" w:name="_Toc164608805"/>
      <w:bookmarkStart w:id="462" w:name="_Toc151193706"/>
      <w:bookmarkStart w:id="463" w:name="_Toc264969226"/>
      <w:bookmarkStart w:id="464" w:name="_Toc265228374"/>
      <w:bookmarkStart w:id="465" w:name="_Toc151193634"/>
      <w:bookmarkStart w:id="466" w:name="_Toc305158804"/>
      <w:bookmarkStart w:id="467" w:name="_Toc226337232"/>
      <w:bookmarkStart w:id="468" w:name="_Toc305158878"/>
      <w:bookmarkStart w:id="469" w:name="_Toc150509287"/>
      <w:bookmarkStart w:id="470" w:name="_Toc150774636"/>
      <w:bookmarkStart w:id="471" w:name="_Toc226309780"/>
      <w:bookmarkStart w:id="472" w:name="_Toc150774741"/>
      <w:bookmarkStart w:id="473" w:name="_Toc127151536"/>
      <w:bookmarkStart w:id="474" w:name="_Toc164608650"/>
      <w:bookmarkStart w:id="475" w:name="_Toc127151737"/>
      <w:bookmarkStart w:id="476" w:name="_Toc164351630"/>
      <w:bookmarkStart w:id="477" w:name="_Toc150480774"/>
      <w:bookmarkStart w:id="478" w:name="_Toc151193778"/>
      <w:bookmarkStart w:id="479" w:name="_Toc520356161"/>
      <w:r>
        <w:rPr>
          <w:color w:val="auto"/>
          <w:sz w:val="24"/>
          <w:highlight w:val="none"/>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color w:val="auto"/>
          <w:sz w:val="24"/>
          <w:highlight w:val="none"/>
        </w:rPr>
        <w:t>时间</w:t>
      </w:r>
    </w:p>
    <w:p w14:paraId="53C4192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投标人应在招标文件要求提交投标文件截止时间前，将电子投标文件提交至电子交易平台。</w:t>
      </w:r>
    </w:p>
    <w:p w14:paraId="5EA829D2">
      <w:pPr>
        <w:numPr>
          <w:ilvl w:val="0"/>
          <w:numId w:val="8"/>
        </w:numPr>
        <w:tabs>
          <w:tab w:val="left" w:pos="360"/>
        </w:tabs>
        <w:snapToGrid w:val="0"/>
        <w:spacing w:line="360" w:lineRule="auto"/>
        <w:ind w:left="357" w:hanging="357"/>
        <w:outlineLvl w:val="1"/>
        <w:rPr>
          <w:color w:val="auto"/>
          <w:sz w:val="24"/>
          <w:highlight w:val="none"/>
        </w:rPr>
      </w:pPr>
      <w:bookmarkStart w:id="480" w:name="_Toc226309781"/>
      <w:bookmarkStart w:id="481" w:name="_Toc305158879"/>
      <w:bookmarkStart w:id="482" w:name="_Toc164351631"/>
      <w:bookmarkStart w:id="483" w:name="_Toc151193925"/>
      <w:bookmarkStart w:id="484" w:name="_Toc150774637"/>
      <w:bookmarkStart w:id="485" w:name="_Toc226965727"/>
      <w:bookmarkStart w:id="486" w:name="_Toc150774742"/>
      <w:bookmarkStart w:id="487" w:name="_Toc164608651"/>
      <w:bookmarkStart w:id="488" w:name="_Toc142311039"/>
      <w:bookmarkStart w:id="489" w:name="_Toc151193635"/>
      <w:bookmarkStart w:id="490" w:name="_Toc164229232"/>
      <w:bookmarkStart w:id="491" w:name="_Toc127161451"/>
      <w:bookmarkStart w:id="492" w:name="_Toc127151738"/>
      <w:bookmarkStart w:id="493" w:name="_Toc150480775"/>
      <w:bookmarkStart w:id="494" w:name="_Toc305158805"/>
      <w:bookmarkStart w:id="495" w:name="_Toc226337233"/>
      <w:bookmarkStart w:id="496" w:name="_Toc151193707"/>
      <w:bookmarkStart w:id="497" w:name="_Toc265228375"/>
      <w:bookmarkStart w:id="498" w:name="_Toc520356162"/>
      <w:bookmarkStart w:id="499" w:name="_Toc164229378"/>
      <w:bookmarkStart w:id="500" w:name="_Toc151193851"/>
      <w:bookmarkStart w:id="501" w:name="_Toc195842902"/>
      <w:bookmarkStart w:id="502" w:name="_Toc151190164"/>
      <w:bookmarkStart w:id="503" w:name="_Toc264969227"/>
      <w:bookmarkStart w:id="504" w:name="_Toc149720830"/>
      <w:bookmarkStart w:id="505" w:name="_Toc127151537"/>
      <w:bookmarkStart w:id="506" w:name="_Toc150509288"/>
      <w:bookmarkStart w:id="507" w:name="_Toc226965810"/>
      <w:bookmarkStart w:id="508" w:name="_Toc151193779"/>
      <w:bookmarkStart w:id="509" w:name="_Toc164608806"/>
      <w:r>
        <w:rPr>
          <w:color w:val="auto"/>
          <w:sz w:val="24"/>
          <w:highlight w:val="none"/>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E910C88">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99D7152">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投标人对投标文件的补充、修改的内容应当按照招标文件要求签署、盖章，作为投标文件的组成部分。</w:t>
      </w:r>
    </w:p>
    <w:p w14:paraId="54C7DE2D">
      <w:pPr>
        <w:spacing w:line="360" w:lineRule="auto"/>
        <w:rPr>
          <w:color w:val="auto"/>
          <w:sz w:val="24"/>
          <w:highlight w:val="none"/>
        </w:rPr>
      </w:pPr>
    </w:p>
    <w:p w14:paraId="65283DA8">
      <w:pPr>
        <w:pStyle w:val="3"/>
        <w:spacing w:before="0" w:line="360" w:lineRule="auto"/>
        <w:rPr>
          <w:rFonts w:ascii="Times New Roman" w:hAnsi="Times New Roman" w:eastAsia="宋体"/>
          <w:color w:val="auto"/>
          <w:sz w:val="28"/>
          <w:highlight w:val="none"/>
        </w:rPr>
      </w:pPr>
      <w:bookmarkStart w:id="510" w:name="_Toc195842903"/>
      <w:bookmarkStart w:id="511" w:name="_Toc226309782"/>
      <w:bookmarkStart w:id="512" w:name="_Toc151190165"/>
      <w:bookmarkStart w:id="513" w:name="_Toc151193926"/>
      <w:bookmarkStart w:id="514" w:name="_Toc151193708"/>
      <w:bookmarkStart w:id="515" w:name="_Toc150480776"/>
      <w:bookmarkStart w:id="516" w:name="_Toc150774638"/>
      <w:bookmarkStart w:id="517" w:name="_Toc150509289"/>
      <w:bookmarkStart w:id="518" w:name="_Toc150774743"/>
      <w:bookmarkStart w:id="519" w:name="_Toc264969228"/>
      <w:bookmarkStart w:id="520" w:name="_Toc265228376"/>
      <w:bookmarkStart w:id="521" w:name="_Toc226965728"/>
      <w:bookmarkStart w:id="522" w:name="_Toc226965811"/>
      <w:bookmarkStart w:id="523" w:name="_Toc151193780"/>
      <w:bookmarkStart w:id="524" w:name="_Toc127151538"/>
      <w:bookmarkStart w:id="525" w:name="_Toc226337234"/>
      <w:bookmarkStart w:id="526" w:name="_Toc305158880"/>
      <w:bookmarkStart w:id="527" w:name="_Toc151193852"/>
      <w:bookmarkStart w:id="528" w:name="_Toc520356163"/>
      <w:bookmarkStart w:id="529" w:name="_Toc305158806"/>
      <w:bookmarkStart w:id="530" w:name="_Toc142311040"/>
      <w:bookmarkStart w:id="531" w:name="_Toc151193636"/>
      <w:r>
        <w:rPr>
          <w:rFonts w:ascii="Times New Roman" w:hAnsi="Times New Roman" w:eastAsia="宋体"/>
          <w:color w:val="auto"/>
          <w:sz w:val="28"/>
          <w:highlight w:val="none"/>
        </w:rPr>
        <w:t>五   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82B340B">
      <w:pPr>
        <w:numPr>
          <w:ilvl w:val="0"/>
          <w:numId w:val="8"/>
        </w:numPr>
        <w:tabs>
          <w:tab w:val="left" w:pos="360"/>
        </w:tabs>
        <w:snapToGrid w:val="0"/>
        <w:spacing w:line="360" w:lineRule="auto"/>
        <w:ind w:left="357" w:hanging="357"/>
        <w:outlineLvl w:val="1"/>
        <w:rPr>
          <w:color w:val="auto"/>
          <w:sz w:val="24"/>
          <w:highlight w:val="none"/>
        </w:rPr>
      </w:pPr>
      <w:bookmarkStart w:id="532" w:name="_Toc226309783"/>
      <w:bookmarkStart w:id="533" w:name="_Toc150480777"/>
      <w:bookmarkStart w:id="534" w:name="_Toc305158881"/>
      <w:bookmarkStart w:id="535" w:name="_Toc149720832"/>
      <w:bookmarkStart w:id="536" w:name="_Toc305158807"/>
      <w:bookmarkStart w:id="537" w:name="_Toc264969229"/>
      <w:bookmarkStart w:id="538" w:name="_Toc150509290"/>
      <w:bookmarkStart w:id="539" w:name="_Toc164608808"/>
      <w:bookmarkStart w:id="540" w:name="_Toc127151539"/>
      <w:bookmarkStart w:id="541" w:name="_Toc226337235"/>
      <w:bookmarkStart w:id="542" w:name="_Toc150774744"/>
      <w:bookmarkStart w:id="543" w:name="_Toc127151740"/>
      <w:bookmarkStart w:id="544" w:name="_Toc151193709"/>
      <w:bookmarkStart w:id="545" w:name="_Toc151190166"/>
      <w:bookmarkStart w:id="546" w:name="_Toc226965729"/>
      <w:bookmarkStart w:id="547" w:name="_Toc142311041"/>
      <w:bookmarkStart w:id="548" w:name="_Toc127161453"/>
      <w:bookmarkStart w:id="549" w:name="_Toc164351633"/>
      <w:bookmarkStart w:id="550" w:name="_Toc164229380"/>
      <w:bookmarkStart w:id="551" w:name="_Toc164608653"/>
      <w:bookmarkStart w:id="552" w:name="_Toc151193853"/>
      <w:bookmarkStart w:id="553" w:name="_Toc151193637"/>
      <w:bookmarkStart w:id="554" w:name="_Toc520356164"/>
      <w:bookmarkStart w:id="555" w:name="_Toc265228377"/>
      <w:bookmarkStart w:id="556" w:name="_Toc151193927"/>
      <w:bookmarkStart w:id="557" w:name="_Toc151193781"/>
      <w:bookmarkStart w:id="558" w:name="_Toc226965812"/>
      <w:bookmarkStart w:id="559" w:name="_Toc164229234"/>
      <w:bookmarkStart w:id="560" w:name="_Toc195842904"/>
      <w:bookmarkStart w:id="561" w:name="_Toc150774639"/>
      <w:r>
        <w:rPr>
          <w:color w:val="auto"/>
          <w:sz w:val="24"/>
          <w:highlight w:val="none"/>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076556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采购人或采购代理机构将按招标文件的规定，在投标截止时间的同一时间和招标文件预先确定的地点组织开标。</w:t>
      </w:r>
    </w:p>
    <w:p w14:paraId="74DE523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本项目开标使用北京市政府采购电子交易平台。投标人应在规定的时间内对投标文件进行解密，因非系统原因导致的解密失败，视为</w:t>
      </w:r>
      <w:r>
        <w:rPr>
          <w:b/>
          <w:color w:val="auto"/>
          <w:sz w:val="24"/>
          <w:highlight w:val="none"/>
        </w:rPr>
        <w:t>投标无效</w:t>
      </w:r>
      <w:r>
        <w:rPr>
          <w:color w:val="auto"/>
          <w:sz w:val="24"/>
          <w:highlight w:val="none"/>
        </w:rPr>
        <w:t>。</w:t>
      </w:r>
    </w:p>
    <w:p w14:paraId="3DD2D8FD">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开标过程将使用电子交易平台宣布投标人名称、投标价格和招标文件规定的需要宣布的其他内容并进行记录，并由参加开标的各投标人确认</w:t>
      </w:r>
      <w:bookmarkStart w:id="562" w:name="_Toc520356165"/>
      <w:r>
        <w:rPr>
          <w:color w:val="auto"/>
          <w:sz w:val="24"/>
          <w:highlight w:val="none"/>
        </w:rPr>
        <w:t>。</w:t>
      </w:r>
      <w:bookmarkStart w:id="563" w:name="_Hlk143533942"/>
      <w:r>
        <w:rPr>
          <w:color w:val="auto"/>
          <w:sz w:val="24"/>
          <w:highlight w:val="none"/>
        </w:rPr>
        <w:t>投标人未在规定时间内提出疑义或确认一览表的，视同认可开标结果。</w:t>
      </w:r>
      <w:bookmarkEnd w:id="563"/>
    </w:p>
    <w:p w14:paraId="1DBD725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33BA724F">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投标人不足3家的，不予开标。</w:t>
      </w:r>
    </w:p>
    <w:p w14:paraId="478E57B4">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资格审查</w:t>
      </w:r>
    </w:p>
    <w:p w14:paraId="322EABB5">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见第三章《资格审查》。</w:t>
      </w:r>
    </w:p>
    <w:bookmarkEnd w:id="562"/>
    <w:p w14:paraId="2C8CD08C">
      <w:pPr>
        <w:numPr>
          <w:ilvl w:val="0"/>
          <w:numId w:val="8"/>
        </w:numPr>
        <w:tabs>
          <w:tab w:val="left" w:pos="360"/>
        </w:tabs>
        <w:snapToGrid w:val="0"/>
        <w:spacing w:line="360" w:lineRule="auto"/>
        <w:ind w:left="357" w:hanging="357"/>
        <w:outlineLvl w:val="1"/>
        <w:rPr>
          <w:color w:val="auto"/>
          <w:sz w:val="24"/>
          <w:highlight w:val="none"/>
        </w:rPr>
      </w:pPr>
      <w:bookmarkStart w:id="564" w:name="_Toc226965813"/>
      <w:bookmarkStart w:id="565" w:name="_Toc127161454"/>
      <w:bookmarkStart w:id="566" w:name="_Toc150774745"/>
      <w:bookmarkStart w:id="567" w:name="_Toc149720833"/>
      <w:bookmarkStart w:id="568" w:name="_Toc142311042"/>
      <w:bookmarkStart w:id="569" w:name="_Toc164608809"/>
      <w:bookmarkStart w:id="570" w:name="_Toc164608654"/>
      <w:bookmarkStart w:id="571" w:name="_Toc151193638"/>
      <w:bookmarkStart w:id="572" w:name="_Toc151193710"/>
      <w:bookmarkStart w:id="573" w:name="_Toc127151540"/>
      <w:bookmarkStart w:id="574" w:name="_Toc151193854"/>
      <w:bookmarkStart w:id="575" w:name="_Toc150774640"/>
      <w:bookmarkStart w:id="576" w:name="_Toc226309784"/>
      <w:bookmarkStart w:id="577" w:name="_Toc150480778"/>
      <w:bookmarkStart w:id="578" w:name="_Toc151190167"/>
      <w:bookmarkStart w:id="579" w:name="_Toc265228378"/>
      <w:bookmarkStart w:id="580" w:name="_Toc127151741"/>
      <w:bookmarkStart w:id="581" w:name="_Toc195842905"/>
      <w:bookmarkStart w:id="582" w:name="_Toc305158808"/>
      <w:bookmarkStart w:id="583" w:name="_Toc305158882"/>
      <w:bookmarkStart w:id="584" w:name="_Toc151193928"/>
      <w:bookmarkStart w:id="585" w:name="_Toc164229235"/>
      <w:bookmarkStart w:id="586" w:name="_Toc150509291"/>
      <w:bookmarkStart w:id="587" w:name="_Toc151193782"/>
      <w:bookmarkStart w:id="588" w:name="_Toc264969230"/>
      <w:bookmarkStart w:id="589" w:name="_Toc164229381"/>
      <w:bookmarkStart w:id="590" w:name="_Toc164351634"/>
      <w:bookmarkStart w:id="591" w:name="_Toc226965730"/>
      <w:bookmarkStart w:id="592" w:name="_Toc226337236"/>
      <w:r>
        <w:rPr>
          <w:color w:val="auto"/>
          <w:sz w:val="24"/>
          <w:highlight w:val="none"/>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DFEF6E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评标委员会根据政府采购有关规定和本次采购项目的特点进行组建，并负责具体评标事务，独立履行职责。</w:t>
      </w:r>
      <w:bookmarkStart w:id="593" w:name="_Toc520356166"/>
    </w:p>
    <w:p w14:paraId="68AABB43">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3"/>
      <w:bookmarkStart w:id="594" w:name="_Toc520356169"/>
    </w:p>
    <w:p w14:paraId="6D3D7EEB">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评标程序、评标方法和评标标准</w:t>
      </w:r>
    </w:p>
    <w:p w14:paraId="102B411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见第四章《评标程序、评标方法和评标标准》。</w:t>
      </w:r>
    </w:p>
    <w:p w14:paraId="6393BCFC">
      <w:pPr>
        <w:tabs>
          <w:tab w:val="left" w:pos="360"/>
          <w:tab w:val="left" w:pos="1080"/>
        </w:tabs>
        <w:snapToGrid w:val="0"/>
        <w:spacing w:line="360" w:lineRule="auto"/>
        <w:ind w:left="1080"/>
        <w:rPr>
          <w:color w:val="auto"/>
          <w:sz w:val="24"/>
          <w:highlight w:val="none"/>
        </w:rPr>
      </w:pPr>
    </w:p>
    <w:p w14:paraId="6F52D083">
      <w:pPr>
        <w:pStyle w:val="3"/>
        <w:spacing w:before="0" w:line="360" w:lineRule="auto"/>
        <w:rPr>
          <w:rFonts w:ascii="Times New Roman" w:hAnsi="Times New Roman" w:eastAsia="宋体"/>
          <w:color w:val="auto"/>
          <w:sz w:val="28"/>
          <w:highlight w:val="none"/>
        </w:rPr>
      </w:pPr>
      <w:bookmarkStart w:id="595" w:name="_Toc226337241"/>
      <w:bookmarkStart w:id="596" w:name="_Toc264969235"/>
      <w:bookmarkStart w:id="597" w:name="_Toc195842910"/>
      <w:bookmarkStart w:id="598" w:name="_Toc150509296"/>
      <w:bookmarkStart w:id="599" w:name="_Toc150774645"/>
      <w:bookmarkStart w:id="600" w:name="_Toc127151545"/>
      <w:bookmarkStart w:id="601" w:name="_Toc151193859"/>
      <w:bookmarkStart w:id="602" w:name="_Toc150774750"/>
      <w:bookmarkStart w:id="603" w:name="_Toc305158887"/>
      <w:bookmarkStart w:id="604" w:name="_Toc150480783"/>
      <w:bookmarkStart w:id="605" w:name="_Toc142311047"/>
      <w:bookmarkStart w:id="606" w:name="_Toc151190172"/>
      <w:bookmarkStart w:id="607" w:name="_Toc226309789"/>
      <w:bookmarkStart w:id="608" w:name="_Toc226965818"/>
      <w:bookmarkStart w:id="609" w:name="_Toc151193643"/>
      <w:bookmarkStart w:id="610" w:name="_Toc265228383"/>
      <w:bookmarkStart w:id="611" w:name="_Toc151193787"/>
      <w:bookmarkStart w:id="612" w:name="_Toc151193715"/>
      <w:bookmarkStart w:id="613" w:name="_Toc305158813"/>
      <w:bookmarkStart w:id="614" w:name="_Toc151193933"/>
      <w:bookmarkStart w:id="615" w:name="_Toc226965735"/>
      <w:r>
        <w:rPr>
          <w:rFonts w:ascii="Times New Roman" w:hAnsi="Times New Roman" w:eastAsia="宋体"/>
          <w:color w:val="auto"/>
          <w:sz w:val="28"/>
          <w:highlight w:val="none"/>
        </w:rPr>
        <w:t xml:space="preserve">六   </w:t>
      </w:r>
      <w:bookmarkEnd w:id="594"/>
      <w:r>
        <w:rPr>
          <w:rFonts w:ascii="Times New Roman" w:hAnsi="Times New Roman" w:eastAsia="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509298"/>
      <w:bookmarkStart w:id="617" w:name="_Toc164229242"/>
      <w:bookmarkStart w:id="618" w:name="_Toc264969237"/>
      <w:bookmarkStart w:id="619" w:name="_Toc195842912"/>
      <w:bookmarkStart w:id="620" w:name="_Toc226337243"/>
      <w:bookmarkStart w:id="621" w:name="_Toc150774752"/>
      <w:bookmarkStart w:id="622" w:name="_Toc151193645"/>
      <w:bookmarkStart w:id="623" w:name="_Toc127151547"/>
      <w:bookmarkStart w:id="624" w:name="_Toc151193861"/>
      <w:bookmarkStart w:id="625" w:name="_Toc127161461"/>
      <w:bookmarkStart w:id="626" w:name="_Toc127151748"/>
      <w:bookmarkStart w:id="627" w:name="_Toc226965737"/>
      <w:bookmarkStart w:id="628" w:name="_Toc226965820"/>
      <w:bookmarkStart w:id="629" w:name="_Toc151193789"/>
      <w:bookmarkStart w:id="630" w:name="_Toc305158889"/>
      <w:bookmarkStart w:id="631" w:name="_Toc265228385"/>
      <w:bookmarkStart w:id="632" w:name="_Toc151193935"/>
      <w:bookmarkStart w:id="633" w:name="_Toc151190174"/>
      <w:bookmarkStart w:id="634" w:name="_Toc164351641"/>
      <w:bookmarkStart w:id="635" w:name="_Toc150774647"/>
      <w:bookmarkStart w:id="636" w:name="_Toc142311049"/>
      <w:bookmarkStart w:id="637" w:name="_Toc164229388"/>
      <w:bookmarkStart w:id="638" w:name="_Toc164608816"/>
      <w:bookmarkStart w:id="639" w:name="_Toc150480785"/>
      <w:bookmarkStart w:id="640" w:name="_Toc226309791"/>
      <w:bookmarkStart w:id="641" w:name="_Toc305158815"/>
      <w:bookmarkStart w:id="642" w:name="_Toc149720840"/>
      <w:bookmarkStart w:id="643" w:name="_Toc164608661"/>
      <w:bookmarkStart w:id="644" w:name="_Toc151193717"/>
    </w:p>
    <w:p w14:paraId="5732768F">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438EEB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color w:val="auto"/>
          <w:sz w:val="24"/>
          <w:highlight w:val="none"/>
        </w:rPr>
        <w:t>中标人</w:t>
      </w:r>
      <w:r>
        <w:rPr>
          <w:color w:val="auto"/>
          <w:sz w:val="24"/>
          <w:highlight w:val="none"/>
        </w:rPr>
        <w:t>。</w:t>
      </w:r>
    </w:p>
    <w:p w14:paraId="034C7197">
      <w:pPr>
        <w:numPr>
          <w:ilvl w:val="0"/>
          <w:numId w:val="8"/>
        </w:numPr>
        <w:tabs>
          <w:tab w:val="left" w:pos="360"/>
        </w:tabs>
        <w:snapToGrid w:val="0"/>
        <w:spacing w:line="360" w:lineRule="auto"/>
        <w:ind w:left="357" w:hanging="357"/>
        <w:outlineLvl w:val="1"/>
        <w:rPr>
          <w:color w:val="auto"/>
          <w:sz w:val="24"/>
          <w:highlight w:val="none"/>
        </w:rPr>
      </w:pPr>
      <w:bookmarkStart w:id="645" w:name="_Toc305158817"/>
      <w:bookmarkStart w:id="646" w:name="_Toc305158891"/>
      <w:bookmarkStart w:id="647" w:name="_Toc265228387"/>
      <w:bookmarkStart w:id="648" w:name="_Toc164608663"/>
      <w:bookmarkStart w:id="649" w:name="_Toc142311051"/>
      <w:bookmarkStart w:id="650" w:name="_Toc127151549"/>
      <w:bookmarkStart w:id="651" w:name="_Toc164351643"/>
      <w:bookmarkStart w:id="652" w:name="_Toc226965739"/>
      <w:bookmarkStart w:id="653" w:name="_Toc164229390"/>
      <w:bookmarkStart w:id="654" w:name="_Toc151190176"/>
      <w:bookmarkStart w:id="655" w:name="_Toc150480787"/>
      <w:bookmarkStart w:id="656" w:name="_Toc226965822"/>
      <w:bookmarkStart w:id="657" w:name="_Toc127151750"/>
      <w:bookmarkStart w:id="658" w:name="_Toc226309793"/>
      <w:bookmarkStart w:id="659" w:name="_Toc150774649"/>
      <w:bookmarkStart w:id="660" w:name="_Toc150774754"/>
      <w:bookmarkStart w:id="661" w:name="_Toc164229244"/>
      <w:bookmarkStart w:id="662" w:name="_Toc195842914"/>
      <w:bookmarkStart w:id="663" w:name="_Toc264969239"/>
      <w:bookmarkStart w:id="664" w:name="_Toc151193937"/>
      <w:bookmarkStart w:id="665" w:name="_Toc226337245"/>
      <w:bookmarkStart w:id="666" w:name="_Toc149720842"/>
      <w:bookmarkStart w:id="667" w:name="_Toc151193791"/>
      <w:bookmarkStart w:id="668" w:name="_Toc127161463"/>
      <w:bookmarkStart w:id="669" w:name="_Toc151193863"/>
      <w:bookmarkStart w:id="670" w:name="_Toc151193647"/>
      <w:bookmarkStart w:id="671" w:name="_Toc150509300"/>
      <w:bookmarkStart w:id="672" w:name="_Toc151193719"/>
      <w:bookmarkStart w:id="673" w:name="_Toc164608818"/>
      <w:bookmarkStart w:id="674" w:name="_Ref467307090"/>
      <w:bookmarkStart w:id="675" w:name="_Toc520356176"/>
      <w:bookmarkStart w:id="676" w:name="_Ref467306425"/>
      <w:r>
        <w:rPr>
          <w:color w:val="auto"/>
          <w:sz w:val="24"/>
          <w:highlight w:val="none"/>
        </w:rPr>
        <w:t>中标公告与中标通知书</w:t>
      </w:r>
      <w:bookmarkEnd w:id="645"/>
      <w:bookmarkEnd w:id="646"/>
    </w:p>
    <w:p w14:paraId="3DE0A53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采购人或采购代理机构自中标人确定之日起2个工作日内，</w:t>
      </w:r>
      <w:r>
        <w:rPr>
          <w:color w:val="auto"/>
          <w:kern w:val="0"/>
          <w:sz w:val="24"/>
          <w:highlight w:val="none"/>
        </w:rPr>
        <w:t>在北京市政府采购网公告中标结果</w:t>
      </w:r>
      <w:r>
        <w:rPr>
          <w:color w:val="auto"/>
          <w:sz w:val="24"/>
          <w:highlight w:val="none"/>
        </w:rPr>
        <w:t>，同时向中标人发出中标通知书，中标公告期限为1个工作日。</w:t>
      </w:r>
    </w:p>
    <w:p w14:paraId="0E1973DB">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中标通知书对采购人和中标供应商均具有法律效力。中标通知书发出后，采购人改变中标结果的，或者中标供应商放弃中标项目的，应当依法承担法律责任。</w:t>
      </w:r>
    </w:p>
    <w:p w14:paraId="6D18AA55">
      <w:pPr>
        <w:numPr>
          <w:ilvl w:val="1"/>
          <w:numId w:val="8"/>
        </w:numPr>
        <w:tabs>
          <w:tab w:val="left" w:pos="1080"/>
          <w:tab w:val="left" w:pos="2014"/>
        </w:tabs>
        <w:snapToGrid w:val="0"/>
        <w:spacing w:line="360" w:lineRule="auto"/>
        <w:ind w:left="1077" w:hanging="720"/>
        <w:rPr>
          <w:color w:val="auto"/>
          <w:sz w:val="24"/>
          <w:highlight w:val="none"/>
        </w:rPr>
      </w:pPr>
      <w:r>
        <w:rPr>
          <w:rFonts w:hint="eastAsia"/>
          <w:color w:val="auto"/>
          <w:sz w:val="24"/>
          <w:highlight w:val="none"/>
        </w:rPr>
        <w:t>中标公告发布后，未中标供应商可在北京市政府采购电子交易平台查询本单位未通过资格性和符合性审查原因、评审得分与排序等相关信息。</w:t>
      </w:r>
    </w:p>
    <w:p w14:paraId="0E7AE020">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废标</w:t>
      </w:r>
    </w:p>
    <w:p w14:paraId="204235A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在招标采购中，出现下列情形之一的，应予废标：</w:t>
      </w:r>
    </w:p>
    <w:p w14:paraId="01D0B7BF">
      <w:pPr>
        <w:numPr>
          <w:ilvl w:val="2"/>
          <w:numId w:val="8"/>
        </w:numPr>
        <w:snapToGrid w:val="0"/>
        <w:spacing w:line="360" w:lineRule="auto"/>
        <w:rPr>
          <w:color w:val="auto"/>
          <w:sz w:val="24"/>
          <w:highlight w:val="none"/>
        </w:rPr>
      </w:pPr>
      <w:r>
        <w:rPr>
          <w:color w:val="auto"/>
          <w:sz w:val="24"/>
          <w:highlight w:val="none"/>
        </w:rPr>
        <w:t>符合专业条件的供应商或者对招标文件作实质响应的供应商不足三家的；</w:t>
      </w:r>
    </w:p>
    <w:p w14:paraId="2C2E5315">
      <w:pPr>
        <w:numPr>
          <w:ilvl w:val="2"/>
          <w:numId w:val="8"/>
        </w:numPr>
        <w:snapToGrid w:val="0"/>
        <w:spacing w:line="360" w:lineRule="auto"/>
        <w:rPr>
          <w:color w:val="auto"/>
          <w:sz w:val="24"/>
          <w:highlight w:val="none"/>
        </w:rPr>
      </w:pPr>
      <w:r>
        <w:rPr>
          <w:color w:val="auto"/>
          <w:sz w:val="24"/>
          <w:highlight w:val="none"/>
        </w:rPr>
        <w:t>出现影响采购公正的违法、违规行为的；</w:t>
      </w:r>
    </w:p>
    <w:p w14:paraId="0FBF7A78">
      <w:pPr>
        <w:numPr>
          <w:ilvl w:val="2"/>
          <w:numId w:val="8"/>
        </w:numPr>
        <w:snapToGrid w:val="0"/>
        <w:spacing w:line="360" w:lineRule="auto"/>
        <w:rPr>
          <w:color w:val="auto"/>
          <w:sz w:val="24"/>
          <w:highlight w:val="none"/>
        </w:rPr>
      </w:pPr>
      <w:r>
        <w:rPr>
          <w:color w:val="auto"/>
          <w:sz w:val="24"/>
          <w:highlight w:val="none"/>
        </w:rPr>
        <w:t>投标人的报价均超过了采购预算，采购人不能支付的；</w:t>
      </w:r>
    </w:p>
    <w:p w14:paraId="247F3035">
      <w:pPr>
        <w:numPr>
          <w:ilvl w:val="2"/>
          <w:numId w:val="8"/>
        </w:numPr>
        <w:snapToGrid w:val="0"/>
        <w:spacing w:line="360" w:lineRule="auto"/>
        <w:rPr>
          <w:color w:val="auto"/>
          <w:sz w:val="24"/>
          <w:highlight w:val="none"/>
        </w:rPr>
      </w:pPr>
      <w:r>
        <w:rPr>
          <w:color w:val="auto"/>
          <w:sz w:val="24"/>
          <w:highlight w:val="none"/>
        </w:rPr>
        <w:t>因重大变故，采购任务取消的。</w:t>
      </w:r>
    </w:p>
    <w:p w14:paraId="0FE1395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废标后，采购人将废标理由书面通知所有投标人。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14:paraId="0311054E">
      <w:pPr>
        <w:numPr>
          <w:ilvl w:val="0"/>
          <w:numId w:val="8"/>
        </w:numPr>
        <w:tabs>
          <w:tab w:val="left" w:pos="360"/>
        </w:tabs>
        <w:snapToGrid w:val="0"/>
        <w:spacing w:line="360" w:lineRule="auto"/>
        <w:ind w:left="357" w:hanging="357"/>
        <w:outlineLvl w:val="1"/>
        <w:rPr>
          <w:color w:val="auto"/>
          <w:sz w:val="24"/>
          <w:highlight w:val="none"/>
        </w:rPr>
      </w:pPr>
      <w:bookmarkStart w:id="677" w:name="_Toc264969240"/>
      <w:bookmarkStart w:id="678" w:name="_Ref467307062"/>
      <w:bookmarkStart w:id="679" w:name="_Toc150509301"/>
      <w:bookmarkStart w:id="680" w:name="_Toc164229391"/>
      <w:bookmarkStart w:id="681" w:name="_Toc150774755"/>
      <w:bookmarkStart w:id="682" w:name="_Toc164229245"/>
      <w:bookmarkStart w:id="683" w:name="_Toc226309794"/>
      <w:bookmarkStart w:id="684" w:name="_Toc151193648"/>
      <w:bookmarkStart w:id="685" w:name="_Toc127161464"/>
      <w:bookmarkStart w:id="686" w:name="_Toc164608819"/>
      <w:bookmarkStart w:id="687" w:name="_Ref467307204"/>
      <w:bookmarkStart w:id="688" w:name="_Toc149720843"/>
      <w:bookmarkStart w:id="689" w:name="_Toc151193864"/>
      <w:bookmarkStart w:id="690" w:name="_Toc150480788"/>
      <w:bookmarkStart w:id="691" w:name="_Ref467306377"/>
      <w:bookmarkStart w:id="692" w:name="_Toc127151550"/>
      <w:bookmarkStart w:id="693" w:name="_Toc150774650"/>
      <w:bookmarkStart w:id="694" w:name="_Toc164608664"/>
      <w:bookmarkStart w:id="695" w:name="_Toc226337246"/>
      <w:bookmarkStart w:id="696" w:name="_Toc305158818"/>
      <w:bookmarkStart w:id="697" w:name="_Toc151190177"/>
      <w:bookmarkStart w:id="698" w:name="_Toc151193720"/>
      <w:bookmarkStart w:id="699" w:name="_Toc226965823"/>
      <w:bookmarkStart w:id="700" w:name="_Toc151193938"/>
      <w:bookmarkStart w:id="701" w:name="_Toc226965740"/>
      <w:bookmarkStart w:id="702" w:name="_Ref467306978"/>
      <w:bookmarkStart w:id="703" w:name="_Toc127151751"/>
      <w:bookmarkStart w:id="704" w:name="_Toc142311052"/>
      <w:bookmarkStart w:id="705" w:name="_Toc195842915"/>
      <w:bookmarkStart w:id="706" w:name="_Toc151193792"/>
      <w:bookmarkStart w:id="707" w:name="_Toc305158892"/>
      <w:bookmarkStart w:id="708" w:name="_Toc265228388"/>
      <w:bookmarkStart w:id="709" w:name="_Toc164351644"/>
      <w:bookmarkStart w:id="710" w:name="_Toc520356175"/>
      <w:r>
        <w:rPr>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5BE76BF1">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53F2B6B4">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中标人拒绝与采购人签订合同的，采购人可以按照评标报告推荐的中标候选人名单排序，确定下一候选人为中标人，也可以重新开展政府采购活动。</w:t>
      </w:r>
    </w:p>
    <w:p w14:paraId="2FE46A1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联合体中标的，联合体各方应当共同与采购人签订合同，就采购合同约定的事项向采购人承担连带责任。</w:t>
      </w:r>
    </w:p>
    <w:p w14:paraId="46552CAA">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政府采购合同不能转包。</w:t>
      </w:r>
    </w:p>
    <w:p w14:paraId="25C0FCB7">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auto"/>
          <w:sz w:val="24"/>
          <w:highlight w:val="none"/>
        </w:rPr>
        <w:t>，</w:t>
      </w:r>
      <w:r>
        <w:rPr>
          <w:color w:val="auto"/>
          <w:sz w:val="24"/>
          <w:highlight w:val="none"/>
        </w:rPr>
        <w:t>否则</w:t>
      </w:r>
      <w:r>
        <w:rPr>
          <w:b/>
          <w:color w:val="auto"/>
          <w:sz w:val="24"/>
          <w:highlight w:val="none"/>
        </w:rPr>
        <w:t>投标无效</w:t>
      </w:r>
      <w:r>
        <w:rPr>
          <w:color w:val="auto"/>
          <w:sz w:val="24"/>
          <w:highlight w:val="none"/>
        </w:rPr>
        <w:t>。中标人就采购项目和分包项目向采购人负责，分包供应商就分包项目承担责任。</w:t>
      </w:r>
      <w:r>
        <w:rPr>
          <w:rFonts w:hint="eastAsia"/>
          <w:b/>
          <w:bCs/>
          <w:color w:val="auto"/>
          <w:sz w:val="24"/>
          <w:highlight w:val="none"/>
        </w:rPr>
        <w:t>（本项目不涉及）</w:t>
      </w:r>
    </w:p>
    <w:bookmarkEnd w:id="674"/>
    <w:bookmarkEnd w:id="675"/>
    <w:bookmarkEnd w:id="676"/>
    <w:p w14:paraId="4F5F3A3D">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询问与质疑</w:t>
      </w:r>
    </w:p>
    <w:p w14:paraId="22416E40">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询问</w:t>
      </w:r>
    </w:p>
    <w:p w14:paraId="7707B366">
      <w:pPr>
        <w:numPr>
          <w:ilvl w:val="2"/>
          <w:numId w:val="8"/>
        </w:numPr>
        <w:snapToGrid w:val="0"/>
        <w:spacing w:line="360" w:lineRule="auto"/>
        <w:rPr>
          <w:color w:val="auto"/>
          <w:sz w:val="24"/>
          <w:highlight w:val="none"/>
        </w:rPr>
      </w:pPr>
      <w:r>
        <w:rPr>
          <w:color w:val="auto"/>
          <w:sz w:val="24"/>
          <w:highlight w:val="none"/>
        </w:rPr>
        <w:t>投标人对政府采购活动事项有疑问的，可依法提出询问，并按《投标人须知资料表》载明的形式送达采购人或采购代理机构。</w:t>
      </w:r>
    </w:p>
    <w:p w14:paraId="7D6FF83D">
      <w:pPr>
        <w:numPr>
          <w:ilvl w:val="2"/>
          <w:numId w:val="8"/>
        </w:numPr>
        <w:snapToGrid w:val="0"/>
        <w:spacing w:line="360" w:lineRule="auto"/>
        <w:rPr>
          <w:color w:val="auto"/>
          <w:sz w:val="24"/>
          <w:highlight w:val="none"/>
        </w:rPr>
      </w:pPr>
      <w:r>
        <w:rPr>
          <w:color w:val="auto"/>
          <w:sz w:val="24"/>
          <w:highlight w:val="none"/>
        </w:rPr>
        <w:t>采购人或采购代理机构对供应商依法提出的询问，在3个工作日内作出答复，但答复的内容不得涉及商业秘密。</w:t>
      </w:r>
    </w:p>
    <w:p w14:paraId="592163C8">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质疑</w:t>
      </w:r>
    </w:p>
    <w:p w14:paraId="536FBB90">
      <w:pPr>
        <w:numPr>
          <w:ilvl w:val="2"/>
          <w:numId w:val="8"/>
        </w:numPr>
        <w:snapToGrid w:val="0"/>
        <w:spacing w:line="360" w:lineRule="auto"/>
        <w:rPr>
          <w:color w:val="auto"/>
          <w:sz w:val="24"/>
          <w:highlight w:val="none"/>
        </w:rPr>
      </w:pPr>
      <w:r>
        <w:rPr>
          <w:color w:val="auto"/>
          <w:sz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21B4E21">
      <w:pPr>
        <w:numPr>
          <w:ilvl w:val="2"/>
          <w:numId w:val="8"/>
        </w:numPr>
        <w:snapToGrid w:val="0"/>
        <w:spacing w:line="360" w:lineRule="auto"/>
        <w:rPr>
          <w:color w:val="auto"/>
          <w:sz w:val="24"/>
          <w:highlight w:val="none"/>
        </w:rPr>
      </w:pPr>
      <w:r>
        <w:rPr>
          <w:color w:val="auto"/>
          <w:sz w:val="24"/>
          <w:highlight w:val="none"/>
        </w:rPr>
        <w:t>供应商对采购文件中涉及的采购需求、评审标准、合同等由采购人提出的内容及采购结束后采购结果提出质疑的、或供应商提出的质疑事项涉及采购人与交易中心就本项目签署的政府采购委托代理协议中涉及采购人义务事项的，由采购人受理并负责答复；供应商对政府采购法律法规中规定的政府采购组织程序提出质疑的、或供应商提出的质疑事项涉及采购人与交易中心就本项目签署的政府采购委托代理协议中涉及交易中心义务事项的，由交易中心受理并负责答复。</w:t>
      </w:r>
    </w:p>
    <w:p w14:paraId="7C4AC4E9">
      <w:pPr>
        <w:numPr>
          <w:ilvl w:val="2"/>
          <w:numId w:val="8"/>
        </w:numPr>
        <w:snapToGrid w:val="0"/>
        <w:spacing w:line="360" w:lineRule="auto"/>
        <w:rPr>
          <w:color w:val="auto"/>
          <w:sz w:val="24"/>
          <w:highlight w:val="none"/>
        </w:rPr>
      </w:pPr>
      <w:r>
        <w:rPr>
          <w:color w:val="auto"/>
          <w:sz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42EE4399">
      <w:pPr>
        <w:numPr>
          <w:ilvl w:val="2"/>
          <w:numId w:val="8"/>
        </w:numPr>
        <w:snapToGrid w:val="0"/>
        <w:spacing w:line="360" w:lineRule="auto"/>
        <w:rPr>
          <w:color w:val="auto"/>
          <w:sz w:val="24"/>
          <w:highlight w:val="none"/>
        </w:rPr>
      </w:pPr>
      <w:r>
        <w:rPr>
          <w:color w:val="auto"/>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5971B04">
      <w:pPr>
        <w:numPr>
          <w:ilvl w:val="2"/>
          <w:numId w:val="8"/>
        </w:numPr>
        <w:snapToGrid w:val="0"/>
        <w:spacing w:line="360" w:lineRule="auto"/>
        <w:rPr>
          <w:color w:val="auto"/>
          <w:sz w:val="24"/>
          <w:highlight w:val="none"/>
        </w:rPr>
      </w:pPr>
      <w:r>
        <w:rPr>
          <w:color w:val="auto"/>
          <w:sz w:val="24"/>
          <w:highlight w:val="none"/>
        </w:rPr>
        <w:t>投标人应在法定质疑期内一次性提出针对同一采购程序环节的质疑，法定质疑期内针对同一采购程序环节再次提出的质疑，采购人、采购代理机构有权不予答复。</w:t>
      </w:r>
    </w:p>
    <w:p w14:paraId="088FD62E">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接收询问和质疑的联系部门、联系电话和通讯地址见《投标人须知资料表》。</w:t>
      </w:r>
    </w:p>
    <w:p w14:paraId="230E6474">
      <w:pPr>
        <w:numPr>
          <w:ilvl w:val="0"/>
          <w:numId w:val="8"/>
        </w:numPr>
        <w:tabs>
          <w:tab w:val="left" w:pos="360"/>
        </w:tabs>
        <w:snapToGrid w:val="0"/>
        <w:spacing w:line="360" w:lineRule="auto"/>
        <w:ind w:left="357" w:hanging="357"/>
        <w:outlineLvl w:val="1"/>
        <w:rPr>
          <w:color w:val="auto"/>
          <w:sz w:val="24"/>
          <w:highlight w:val="none"/>
        </w:rPr>
      </w:pPr>
      <w:r>
        <w:rPr>
          <w:color w:val="auto"/>
          <w:sz w:val="24"/>
          <w:highlight w:val="none"/>
        </w:rPr>
        <w:t>代理费</w:t>
      </w:r>
    </w:p>
    <w:p w14:paraId="01916C06">
      <w:pPr>
        <w:numPr>
          <w:ilvl w:val="1"/>
          <w:numId w:val="8"/>
        </w:numPr>
        <w:tabs>
          <w:tab w:val="left" w:pos="1080"/>
          <w:tab w:val="left" w:pos="2014"/>
        </w:tabs>
        <w:snapToGrid w:val="0"/>
        <w:spacing w:line="360" w:lineRule="auto"/>
        <w:ind w:left="1077" w:hanging="720"/>
        <w:rPr>
          <w:color w:val="auto"/>
          <w:sz w:val="24"/>
          <w:highlight w:val="none"/>
        </w:rPr>
      </w:pPr>
      <w:r>
        <w:rPr>
          <w:color w:val="auto"/>
          <w:sz w:val="24"/>
          <w:highlight w:val="none"/>
        </w:rPr>
        <w:t>收费对象、收费标准及缴纳时间见《投标人须知资料表》。由中标人支付的，中标人须一次性向采购代理机构缴纳代理费，投标报价应包含代理费用。</w:t>
      </w:r>
      <w:r>
        <w:rPr>
          <w:rFonts w:hint="eastAsia"/>
          <w:b/>
          <w:bCs/>
          <w:color w:val="auto"/>
          <w:sz w:val="24"/>
          <w:highlight w:val="none"/>
        </w:rPr>
        <w:t>（本项目不涉及）</w:t>
      </w:r>
    </w:p>
    <w:p w14:paraId="7CB3EC87">
      <w:pPr>
        <w:tabs>
          <w:tab w:val="left" w:pos="360"/>
          <w:tab w:val="left" w:pos="1080"/>
        </w:tabs>
        <w:snapToGrid w:val="0"/>
        <w:spacing w:line="360" w:lineRule="auto"/>
        <w:ind w:left="360"/>
        <w:rPr>
          <w:color w:val="auto"/>
          <w:sz w:val="24"/>
          <w:highlight w:val="none"/>
        </w:rPr>
      </w:pPr>
    </w:p>
    <w:p w14:paraId="26982011">
      <w:pPr>
        <w:spacing w:line="360" w:lineRule="auto"/>
        <w:jc w:val="center"/>
        <w:outlineLvl w:val="0"/>
        <w:rPr>
          <w:b/>
          <w:color w:val="auto"/>
          <w:sz w:val="36"/>
          <w:szCs w:val="36"/>
          <w:highlight w:val="none"/>
        </w:rPr>
      </w:pPr>
      <w:bookmarkStart w:id="711" w:name="_Toc142311056"/>
      <w:bookmarkStart w:id="712" w:name="_Toc150480792"/>
      <w:bookmarkStart w:id="713" w:name="_Toc353873664"/>
      <w:bookmarkStart w:id="714" w:name="_Toc150774759"/>
      <w:bookmarkStart w:id="715" w:name="_Toc226965827"/>
      <w:bookmarkStart w:id="716" w:name="_Toc305158822"/>
      <w:bookmarkStart w:id="717" w:name="_Toc265228392"/>
      <w:bookmarkStart w:id="718" w:name="_Toc264969244"/>
      <w:bookmarkStart w:id="719" w:name="_Toc305158896"/>
      <w:bookmarkStart w:id="720" w:name="_Toc127151554"/>
      <w:bookmarkStart w:id="721" w:name="_Toc226337250"/>
      <w:bookmarkStart w:id="722" w:name="_Toc353873934"/>
      <w:bookmarkStart w:id="723" w:name="_Toc353825544"/>
      <w:r>
        <w:rPr>
          <w:color w:val="auto"/>
          <w:sz w:val="24"/>
          <w:highlight w:val="none"/>
        </w:rPr>
        <w:br w:type="page"/>
      </w:r>
      <w:bookmarkStart w:id="724" w:name="_Toc99301421"/>
      <w:bookmarkStart w:id="725" w:name="_Toc29864"/>
      <w:r>
        <w:rPr>
          <w:b/>
          <w:color w:val="auto"/>
          <w:sz w:val="36"/>
          <w:szCs w:val="36"/>
          <w:highlight w:val="none"/>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b/>
          <w:color w:val="auto"/>
          <w:sz w:val="36"/>
          <w:szCs w:val="36"/>
          <w:highlight w:val="none"/>
        </w:rPr>
        <w:t>资格审查</w:t>
      </w:r>
      <w:bookmarkEnd w:id="724"/>
      <w:bookmarkEnd w:id="725"/>
      <w:bookmarkStart w:id="726" w:name="_Toc487900382"/>
    </w:p>
    <w:p w14:paraId="77F13519">
      <w:pPr>
        <w:tabs>
          <w:tab w:val="left" w:pos="360"/>
          <w:tab w:val="left" w:pos="900"/>
        </w:tabs>
        <w:snapToGrid w:val="0"/>
        <w:spacing w:line="360" w:lineRule="auto"/>
        <w:jc w:val="center"/>
        <w:outlineLvl w:val="1"/>
        <w:rPr>
          <w:b/>
          <w:color w:val="auto"/>
          <w:sz w:val="24"/>
          <w:highlight w:val="none"/>
        </w:rPr>
      </w:pPr>
      <w:bookmarkStart w:id="727" w:name="_Toc99301422"/>
      <w:r>
        <w:rPr>
          <w:b/>
          <w:color w:val="auto"/>
          <w:sz w:val="24"/>
          <w:highlight w:val="none"/>
        </w:rPr>
        <w:t>一、资格审查程序</w:t>
      </w:r>
      <w:bookmarkEnd w:id="727"/>
    </w:p>
    <w:p w14:paraId="0345F072">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开标结束后，采购人将根据《资格审查要求》中的规定，对投标人进行资格审查，并形成资格审查结果。</w:t>
      </w:r>
    </w:p>
    <w:p w14:paraId="2269090A">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《资格审查要求》中对格式有要求的，除招标文件另有规定外，均为“实质性格式”文件。</w:t>
      </w:r>
    </w:p>
    <w:p w14:paraId="41FB2105">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投标人《资格证明文件》有任何一项不符合《资格审查要求》的，资格审查不合格，其</w:t>
      </w:r>
      <w:r>
        <w:rPr>
          <w:b/>
          <w:color w:val="auto"/>
          <w:sz w:val="24"/>
          <w:highlight w:val="none"/>
        </w:rPr>
        <w:t>投标无效</w:t>
      </w:r>
      <w:r>
        <w:rPr>
          <w:color w:val="auto"/>
          <w:sz w:val="24"/>
          <w:highlight w:val="none"/>
        </w:rPr>
        <w:t>。</w:t>
      </w:r>
    </w:p>
    <w:p w14:paraId="39FD7B2A">
      <w:pPr>
        <w:numPr>
          <w:ilvl w:val="0"/>
          <w:numId w:val="10"/>
        </w:numPr>
        <w:tabs>
          <w:tab w:val="left" w:pos="426"/>
          <w:tab w:val="left" w:pos="851"/>
          <w:tab w:val="clear" w:pos="900"/>
        </w:tabs>
        <w:snapToGrid w:val="0"/>
        <w:spacing w:line="360" w:lineRule="auto"/>
        <w:ind w:left="426" w:hanging="426"/>
        <w:outlineLvl w:val="1"/>
        <w:rPr>
          <w:color w:val="auto"/>
          <w:sz w:val="24"/>
          <w:highlight w:val="none"/>
        </w:rPr>
      </w:pPr>
      <w:r>
        <w:rPr>
          <w:color w:val="auto"/>
          <w:sz w:val="24"/>
          <w:highlight w:val="none"/>
        </w:rPr>
        <w:t>资格审查合格的投标人不足3家的，不进行评标。</w:t>
      </w:r>
    </w:p>
    <w:p w14:paraId="3DBF6E3A">
      <w:pPr>
        <w:widowControl/>
        <w:jc w:val="left"/>
        <w:rPr>
          <w:color w:val="auto"/>
          <w:sz w:val="24"/>
          <w:highlight w:val="none"/>
        </w:rPr>
      </w:pPr>
    </w:p>
    <w:p w14:paraId="38CA8CD1">
      <w:pPr>
        <w:tabs>
          <w:tab w:val="left" w:pos="360"/>
          <w:tab w:val="left" w:pos="900"/>
        </w:tabs>
        <w:snapToGrid w:val="0"/>
        <w:spacing w:line="360" w:lineRule="auto"/>
        <w:jc w:val="center"/>
        <w:outlineLvl w:val="1"/>
        <w:rPr>
          <w:b/>
          <w:color w:val="auto"/>
          <w:sz w:val="24"/>
          <w:highlight w:val="none"/>
        </w:rPr>
      </w:pPr>
      <w:bookmarkStart w:id="728" w:name="_Hlk143693557"/>
      <w:r>
        <w:rPr>
          <w:b/>
          <w:color w:val="auto"/>
          <w:sz w:val="24"/>
          <w:highlight w:val="none"/>
        </w:rPr>
        <w:t>二、资格审查要求</w:t>
      </w:r>
      <w:bookmarkEnd w:id="728"/>
    </w:p>
    <w:tbl>
      <w:tblPr>
        <w:tblStyle w:val="4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14:paraId="350A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blHeader/>
        </w:trPr>
        <w:tc>
          <w:tcPr>
            <w:tcW w:w="824" w:type="dxa"/>
            <w:noWrap w:val="0"/>
            <w:vAlign w:val="center"/>
          </w:tcPr>
          <w:p w14:paraId="4D01B57D">
            <w:pPr>
              <w:tabs>
                <w:tab w:val="left" w:pos="1080"/>
              </w:tabs>
              <w:snapToGrid w:val="0"/>
              <w:jc w:val="center"/>
              <w:rPr>
                <w:b/>
                <w:color w:val="auto"/>
                <w:sz w:val="24"/>
                <w:highlight w:val="none"/>
              </w:rPr>
            </w:pPr>
            <w:bookmarkStart w:id="729" w:name="_Hlt487972895"/>
            <w:bookmarkEnd w:id="729"/>
            <w:bookmarkStart w:id="730" w:name="_Hlk143693460"/>
            <w:r>
              <w:rPr>
                <w:b/>
                <w:color w:val="auto"/>
                <w:sz w:val="24"/>
                <w:highlight w:val="none"/>
              </w:rPr>
              <w:t>序号</w:t>
            </w:r>
          </w:p>
        </w:tc>
        <w:tc>
          <w:tcPr>
            <w:tcW w:w="1934" w:type="dxa"/>
            <w:noWrap w:val="0"/>
            <w:vAlign w:val="center"/>
          </w:tcPr>
          <w:p w14:paraId="035BF6C5">
            <w:pPr>
              <w:tabs>
                <w:tab w:val="left" w:pos="1080"/>
              </w:tabs>
              <w:snapToGrid w:val="0"/>
              <w:jc w:val="center"/>
              <w:rPr>
                <w:b/>
                <w:color w:val="auto"/>
                <w:sz w:val="24"/>
                <w:highlight w:val="none"/>
              </w:rPr>
            </w:pPr>
            <w:r>
              <w:rPr>
                <w:b/>
                <w:color w:val="auto"/>
                <w:sz w:val="24"/>
                <w:highlight w:val="none"/>
              </w:rPr>
              <w:t>审查因素</w:t>
            </w:r>
          </w:p>
        </w:tc>
        <w:tc>
          <w:tcPr>
            <w:tcW w:w="4705" w:type="dxa"/>
            <w:noWrap w:val="0"/>
            <w:vAlign w:val="center"/>
          </w:tcPr>
          <w:p w14:paraId="6D1CC058">
            <w:pPr>
              <w:tabs>
                <w:tab w:val="left" w:pos="1080"/>
              </w:tabs>
              <w:snapToGrid w:val="0"/>
              <w:jc w:val="center"/>
              <w:rPr>
                <w:b/>
                <w:color w:val="auto"/>
                <w:sz w:val="24"/>
                <w:highlight w:val="none"/>
              </w:rPr>
            </w:pPr>
            <w:r>
              <w:rPr>
                <w:b/>
                <w:color w:val="auto"/>
                <w:sz w:val="24"/>
                <w:highlight w:val="none"/>
              </w:rPr>
              <w:t>审查内容</w:t>
            </w:r>
          </w:p>
        </w:tc>
        <w:tc>
          <w:tcPr>
            <w:tcW w:w="1599" w:type="dxa"/>
            <w:noWrap w:val="0"/>
            <w:vAlign w:val="center"/>
          </w:tcPr>
          <w:p w14:paraId="39ECA11E">
            <w:pPr>
              <w:tabs>
                <w:tab w:val="left" w:pos="1080"/>
              </w:tabs>
              <w:snapToGrid w:val="0"/>
              <w:jc w:val="center"/>
              <w:rPr>
                <w:b/>
                <w:color w:val="auto"/>
                <w:sz w:val="24"/>
                <w:highlight w:val="none"/>
              </w:rPr>
            </w:pPr>
            <w:r>
              <w:rPr>
                <w:b/>
                <w:color w:val="auto"/>
                <w:sz w:val="24"/>
                <w:highlight w:val="none"/>
              </w:rPr>
              <w:t>格式要求</w:t>
            </w:r>
          </w:p>
        </w:tc>
      </w:tr>
      <w:tr w14:paraId="14DB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134A2B17">
            <w:pPr>
              <w:tabs>
                <w:tab w:val="left" w:pos="1080"/>
              </w:tabs>
              <w:snapToGrid w:val="0"/>
              <w:jc w:val="center"/>
              <w:rPr>
                <w:color w:val="auto"/>
                <w:sz w:val="24"/>
                <w:highlight w:val="none"/>
              </w:rPr>
            </w:pPr>
            <w:r>
              <w:rPr>
                <w:color w:val="auto"/>
                <w:sz w:val="24"/>
                <w:highlight w:val="none"/>
              </w:rPr>
              <w:t>1</w:t>
            </w:r>
          </w:p>
        </w:tc>
        <w:tc>
          <w:tcPr>
            <w:tcW w:w="1934" w:type="dxa"/>
            <w:noWrap w:val="0"/>
            <w:vAlign w:val="center"/>
          </w:tcPr>
          <w:p w14:paraId="22CBECF1">
            <w:pPr>
              <w:tabs>
                <w:tab w:val="left" w:pos="1080"/>
              </w:tabs>
              <w:snapToGrid w:val="0"/>
              <w:rPr>
                <w:color w:val="auto"/>
                <w:sz w:val="24"/>
                <w:highlight w:val="none"/>
              </w:rPr>
            </w:pPr>
            <w:r>
              <w:rPr>
                <w:color w:val="auto"/>
                <w:sz w:val="24"/>
                <w:highlight w:val="none"/>
              </w:rPr>
              <w:t>满足《中华人民共和国政府采购法》第二十二条规定</w:t>
            </w:r>
          </w:p>
        </w:tc>
        <w:tc>
          <w:tcPr>
            <w:tcW w:w="4705" w:type="dxa"/>
            <w:noWrap w:val="0"/>
            <w:vAlign w:val="center"/>
          </w:tcPr>
          <w:p w14:paraId="73E10822">
            <w:pPr>
              <w:tabs>
                <w:tab w:val="left" w:pos="1080"/>
              </w:tabs>
              <w:snapToGrid w:val="0"/>
              <w:rPr>
                <w:color w:val="auto"/>
                <w:sz w:val="24"/>
                <w:highlight w:val="none"/>
              </w:rPr>
            </w:pPr>
            <w:r>
              <w:rPr>
                <w:color w:val="auto"/>
                <w:sz w:val="24"/>
                <w:highlight w:val="none"/>
              </w:rPr>
              <w:t>具体规定见第一章《投标邀请》</w:t>
            </w:r>
          </w:p>
        </w:tc>
        <w:tc>
          <w:tcPr>
            <w:tcW w:w="1599" w:type="dxa"/>
            <w:noWrap w:val="0"/>
            <w:vAlign w:val="center"/>
          </w:tcPr>
          <w:p w14:paraId="2E91B9C2">
            <w:pPr>
              <w:tabs>
                <w:tab w:val="left" w:pos="1080"/>
              </w:tabs>
              <w:snapToGrid w:val="0"/>
              <w:rPr>
                <w:color w:val="auto"/>
                <w:sz w:val="24"/>
                <w:highlight w:val="none"/>
              </w:rPr>
            </w:pPr>
          </w:p>
        </w:tc>
      </w:tr>
      <w:tr w14:paraId="1192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1140C70D">
            <w:pPr>
              <w:tabs>
                <w:tab w:val="left" w:pos="1080"/>
              </w:tabs>
              <w:snapToGrid w:val="0"/>
              <w:jc w:val="center"/>
              <w:rPr>
                <w:color w:val="auto"/>
                <w:sz w:val="24"/>
                <w:highlight w:val="none"/>
              </w:rPr>
            </w:pPr>
            <w:r>
              <w:rPr>
                <w:color w:val="auto"/>
                <w:sz w:val="24"/>
                <w:highlight w:val="none"/>
              </w:rPr>
              <w:t>1-1</w:t>
            </w:r>
          </w:p>
        </w:tc>
        <w:tc>
          <w:tcPr>
            <w:tcW w:w="1934" w:type="dxa"/>
            <w:noWrap w:val="0"/>
            <w:vAlign w:val="center"/>
          </w:tcPr>
          <w:p w14:paraId="61CCD510">
            <w:pPr>
              <w:tabs>
                <w:tab w:val="left" w:pos="1080"/>
              </w:tabs>
              <w:snapToGrid w:val="0"/>
              <w:rPr>
                <w:color w:val="auto"/>
                <w:sz w:val="24"/>
                <w:highlight w:val="none"/>
              </w:rPr>
            </w:pPr>
            <w:r>
              <w:rPr>
                <w:color w:val="auto"/>
                <w:sz w:val="24"/>
                <w:highlight w:val="none"/>
              </w:rPr>
              <w:t>营业执照等证明文件</w:t>
            </w:r>
          </w:p>
        </w:tc>
        <w:tc>
          <w:tcPr>
            <w:tcW w:w="4705" w:type="dxa"/>
            <w:noWrap w:val="0"/>
            <w:vAlign w:val="center"/>
          </w:tcPr>
          <w:p w14:paraId="6843A300">
            <w:pPr>
              <w:tabs>
                <w:tab w:val="left" w:pos="1080"/>
              </w:tabs>
              <w:snapToGrid w:val="0"/>
              <w:rPr>
                <w:color w:val="auto"/>
                <w:sz w:val="24"/>
                <w:highlight w:val="none"/>
              </w:rPr>
            </w:pPr>
            <w:r>
              <w:rPr>
                <w:color w:val="auto"/>
                <w:sz w:val="24"/>
                <w:highlight w:val="none"/>
              </w:rPr>
              <w:t>投标人为企业（包括合伙企业）的，应提供有效的“营业执照”；</w:t>
            </w:r>
          </w:p>
          <w:p w14:paraId="237DC8B2">
            <w:pPr>
              <w:tabs>
                <w:tab w:val="left" w:pos="1080"/>
              </w:tabs>
              <w:snapToGrid w:val="0"/>
              <w:rPr>
                <w:color w:val="auto"/>
                <w:sz w:val="24"/>
                <w:highlight w:val="none"/>
              </w:rPr>
            </w:pPr>
            <w:r>
              <w:rPr>
                <w:color w:val="auto"/>
                <w:sz w:val="24"/>
                <w:highlight w:val="none"/>
              </w:rPr>
              <w:t>投标人为事业单位的，应提供有效的“事业单位法人证书”；</w:t>
            </w:r>
          </w:p>
          <w:p w14:paraId="5AD04DB3">
            <w:pPr>
              <w:tabs>
                <w:tab w:val="left" w:pos="1080"/>
              </w:tabs>
              <w:snapToGrid w:val="0"/>
              <w:rPr>
                <w:color w:val="auto"/>
                <w:sz w:val="24"/>
                <w:highlight w:val="none"/>
              </w:rPr>
            </w:pPr>
            <w:r>
              <w:rPr>
                <w:color w:val="auto"/>
                <w:sz w:val="24"/>
                <w:highlight w:val="none"/>
              </w:rPr>
              <w:t>投标人是非企业机构的，应提供有效的“执业许可证”、“登记证书”等证明文件；</w:t>
            </w:r>
          </w:p>
          <w:p w14:paraId="4EC9A90B">
            <w:pPr>
              <w:tabs>
                <w:tab w:val="left" w:pos="1080"/>
              </w:tabs>
              <w:snapToGrid w:val="0"/>
              <w:rPr>
                <w:color w:val="auto"/>
                <w:sz w:val="24"/>
                <w:highlight w:val="none"/>
              </w:rPr>
            </w:pPr>
            <w:r>
              <w:rPr>
                <w:color w:val="auto"/>
                <w:sz w:val="24"/>
                <w:highlight w:val="none"/>
              </w:rPr>
              <w:t>投标人是个体工商户的，应提供有效的“个体工商户营业执照”；</w:t>
            </w:r>
          </w:p>
          <w:p w14:paraId="41D3CE50">
            <w:pPr>
              <w:tabs>
                <w:tab w:val="left" w:pos="1080"/>
              </w:tabs>
              <w:snapToGrid w:val="0"/>
              <w:rPr>
                <w:color w:val="auto"/>
                <w:sz w:val="24"/>
                <w:highlight w:val="none"/>
              </w:rPr>
            </w:pPr>
            <w:r>
              <w:rPr>
                <w:color w:val="auto"/>
                <w:sz w:val="24"/>
                <w:highlight w:val="none"/>
              </w:rPr>
              <w:t>投标人是自然人的，应提供有效的自然人身份证明。</w:t>
            </w:r>
          </w:p>
          <w:p w14:paraId="0E17EAA0">
            <w:pPr>
              <w:tabs>
                <w:tab w:val="left" w:pos="1080"/>
              </w:tabs>
              <w:snapToGrid w:val="0"/>
              <w:rPr>
                <w:color w:val="auto"/>
                <w:sz w:val="24"/>
                <w:highlight w:val="none"/>
              </w:rPr>
            </w:pPr>
            <w:r>
              <w:rPr>
                <w:color w:val="auto"/>
                <w:sz w:val="24"/>
                <w:highlight w:val="none"/>
              </w:rPr>
              <w:t>分支机构参加投标的，应提供该分支机构或其所属法人</w:t>
            </w:r>
            <w:r>
              <w:rPr>
                <w:rFonts w:hint="eastAsia"/>
                <w:color w:val="auto"/>
                <w:sz w:val="24"/>
                <w:highlight w:val="none"/>
              </w:rPr>
              <w:t>/</w:t>
            </w:r>
            <w:r>
              <w:rPr>
                <w:color w:val="auto"/>
                <w:sz w:val="24"/>
                <w:highlight w:val="none"/>
              </w:rPr>
              <w:t>其他组织的相应证明文件；同时还应提供其所属法人/其他组织出具的授权其参与本项目的授权书（格式自拟，须加盖其所属法人/其他组织的公章）；对于</w:t>
            </w:r>
            <w:r>
              <w:rPr>
                <w:iCs/>
                <w:color w:val="auto"/>
                <w:sz w:val="24"/>
                <w:highlight w:val="none"/>
              </w:rPr>
              <w:t>银行、保险、石油石化、电力、电信等行业的分支机构，可以提供上述</w:t>
            </w:r>
            <w:r>
              <w:rPr>
                <w:color w:val="auto"/>
                <w:sz w:val="24"/>
                <w:highlight w:val="none"/>
              </w:rPr>
              <w:t>授权，也可以提供其所属法人/其他组织的有关文件或制度等能够证明授权其独立开展业务的证明材料。</w:t>
            </w:r>
          </w:p>
        </w:tc>
        <w:tc>
          <w:tcPr>
            <w:tcW w:w="1599" w:type="dxa"/>
            <w:noWrap w:val="0"/>
            <w:vAlign w:val="center"/>
          </w:tcPr>
          <w:p w14:paraId="704D4302">
            <w:pPr>
              <w:tabs>
                <w:tab w:val="left" w:pos="1080"/>
              </w:tabs>
              <w:snapToGrid w:val="0"/>
              <w:rPr>
                <w:color w:val="auto"/>
                <w:sz w:val="24"/>
                <w:highlight w:val="none"/>
              </w:rPr>
            </w:pPr>
            <w:r>
              <w:rPr>
                <w:color w:val="auto"/>
                <w:sz w:val="24"/>
                <w:highlight w:val="none"/>
              </w:rPr>
              <w:t>提供证明文件的电子件或电子证照</w:t>
            </w:r>
          </w:p>
        </w:tc>
      </w:tr>
      <w:tr w14:paraId="56948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4C2F6D81">
            <w:pPr>
              <w:tabs>
                <w:tab w:val="left" w:pos="1080"/>
              </w:tabs>
              <w:snapToGrid w:val="0"/>
              <w:jc w:val="center"/>
              <w:rPr>
                <w:color w:val="auto"/>
                <w:sz w:val="24"/>
                <w:highlight w:val="none"/>
              </w:rPr>
            </w:pPr>
            <w:r>
              <w:rPr>
                <w:color w:val="auto"/>
                <w:sz w:val="24"/>
                <w:highlight w:val="none"/>
              </w:rPr>
              <w:t>1-2</w:t>
            </w:r>
          </w:p>
        </w:tc>
        <w:tc>
          <w:tcPr>
            <w:tcW w:w="1934" w:type="dxa"/>
            <w:noWrap w:val="0"/>
            <w:vAlign w:val="center"/>
          </w:tcPr>
          <w:p w14:paraId="2FAB48A3">
            <w:pPr>
              <w:tabs>
                <w:tab w:val="left" w:pos="1080"/>
              </w:tabs>
              <w:snapToGrid w:val="0"/>
              <w:rPr>
                <w:color w:val="auto"/>
                <w:sz w:val="24"/>
                <w:highlight w:val="none"/>
              </w:rPr>
            </w:pPr>
            <w:r>
              <w:rPr>
                <w:color w:val="auto"/>
                <w:sz w:val="24"/>
                <w:highlight w:val="none"/>
              </w:rPr>
              <w:t>投标人资格声明书</w:t>
            </w:r>
          </w:p>
        </w:tc>
        <w:tc>
          <w:tcPr>
            <w:tcW w:w="4705" w:type="dxa"/>
            <w:noWrap w:val="0"/>
            <w:vAlign w:val="center"/>
          </w:tcPr>
          <w:p w14:paraId="7ACE221B">
            <w:pPr>
              <w:tabs>
                <w:tab w:val="left" w:pos="1080"/>
              </w:tabs>
              <w:snapToGrid w:val="0"/>
              <w:rPr>
                <w:color w:val="auto"/>
                <w:sz w:val="24"/>
                <w:highlight w:val="none"/>
              </w:rPr>
            </w:pPr>
            <w:r>
              <w:rPr>
                <w:color w:val="auto"/>
                <w:sz w:val="24"/>
                <w:highlight w:val="none"/>
              </w:rPr>
              <w:t>提供了符合招标文件要求的《投标人资格声明书》。</w:t>
            </w:r>
          </w:p>
        </w:tc>
        <w:tc>
          <w:tcPr>
            <w:tcW w:w="1599" w:type="dxa"/>
            <w:noWrap w:val="0"/>
            <w:vAlign w:val="center"/>
          </w:tcPr>
          <w:p w14:paraId="603D5CDD">
            <w:pPr>
              <w:tabs>
                <w:tab w:val="left" w:pos="1080"/>
              </w:tabs>
              <w:snapToGrid w:val="0"/>
              <w:rPr>
                <w:color w:val="auto"/>
                <w:sz w:val="24"/>
                <w:highlight w:val="none"/>
              </w:rPr>
            </w:pPr>
            <w:r>
              <w:rPr>
                <w:color w:val="auto"/>
                <w:sz w:val="24"/>
                <w:highlight w:val="none"/>
              </w:rPr>
              <w:t>格式见《投标文件格式》</w:t>
            </w:r>
          </w:p>
        </w:tc>
      </w:tr>
      <w:tr w14:paraId="2DE23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46F49156">
            <w:pPr>
              <w:tabs>
                <w:tab w:val="left" w:pos="1080"/>
              </w:tabs>
              <w:snapToGrid w:val="0"/>
              <w:jc w:val="center"/>
              <w:rPr>
                <w:color w:val="auto"/>
                <w:sz w:val="24"/>
                <w:highlight w:val="none"/>
              </w:rPr>
            </w:pPr>
            <w:r>
              <w:rPr>
                <w:color w:val="auto"/>
                <w:sz w:val="24"/>
                <w:highlight w:val="none"/>
              </w:rPr>
              <w:t>1-3</w:t>
            </w:r>
          </w:p>
        </w:tc>
        <w:tc>
          <w:tcPr>
            <w:tcW w:w="1934" w:type="dxa"/>
            <w:noWrap w:val="0"/>
            <w:vAlign w:val="center"/>
          </w:tcPr>
          <w:p w14:paraId="736A2EE6">
            <w:pPr>
              <w:tabs>
                <w:tab w:val="left" w:pos="1080"/>
              </w:tabs>
              <w:snapToGrid w:val="0"/>
              <w:rPr>
                <w:color w:val="auto"/>
                <w:sz w:val="24"/>
                <w:highlight w:val="none"/>
              </w:rPr>
            </w:pPr>
            <w:r>
              <w:rPr>
                <w:color w:val="auto"/>
                <w:sz w:val="24"/>
                <w:highlight w:val="none"/>
              </w:rPr>
              <w:t>投标人信用记录</w:t>
            </w:r>
          </w:p>
        </w:tc>
        <w:tc>
          <w:tcPr>
            <w:tcW w:w="4705" w:type="dxa"/>
            <w:noWrap w:val="0"/>
            <w:vAlign w:val="center"/>
          </w:tcPr>
          <w:p w14:paraId="12DE96C0">
            <w:pPr>
              <w:tabs>
                <w:tab w:val="left" w:pos="1080"/>
              </w:tabs>
              <w:snapToGrid w:val="0"/>
              <w:rPr>
                <w:color w:val="auto"/>
                <w:sz w:val="24"/>
                <w:highlight w:val="none"/>
              </w:rPr>
            </w:pPr>
            <w:r>
              <w:rPr>
                <w:color w:val="auto"/>
                <w:sz w:val="24"/>
                <w:highlight w:val="none"/>
              </w:rPr>
              <w:t>查询渠道：信用中国网站和中国政府采购网（</w:t>
            </w:r>
            <w:r>
              <w:rPr>
                <w:color w:val="auto"/>
                <w:highlight w:val="none"/>
              </w:rPr>
              <w:t>www.creditchina.gov.cn</w:t>
            </w:r>
            <w:r>
              <w:rPr>
                <w:color w:val="auto"/>
                <w:sz w:val="24"/>
                <w:highlight w:val="none"/>
              </w:rPr>
              <w:t>、</w:t>
            </w:r>
            <w:r>
              <w:rPr>
                <w:color w:val="auto"/>
                <w:highlight w:val="none"/>
              </w:rPr>
              <w:t>www.ccgp.gov.cn</w:t>
            </w:r>
            <w:r>
              <w:rPr>
                <w:color w:val="auto"/>
                <w:sz w:val="24"/>
                <w:highlight w:val="none"/>
              </w:rPr>
              <w:t>）；</w:t>
            </w:r>
          </w:p>
          <w:p w14:paraId="1EA1EB52">
            <w:pPr>
              <w:tabs>
                <w:tab w:val="left" w:pos="900"/>
                <w:tab w:val="left" w:pos="1980"/>
              </w:tabs>
              <w:snapToGrid w:val="0"/>
              <w:rPr>
                <w:color w:val="auto"/>
                <w:sz w:val="24"/>
                <w:highlight w:val="none"/>
              </w:rPr>
            </w:pPr>
            <w:r>
              <w:rPr>
                <w:color w:val="auto"/>
                <w:sz w:val="24"/>
                <w:highlight w:val="none"/>
              </w:rPr>
              <w:t>截止时点：投标截止时间以后、资格审查阶段采购人或采购代理机构的实际查询时间；</w:t>
            </w:r>
          </w:p>
          <w:p w14:paraId="0F04B4BA">
            <w:pPr>
              <w:tabs>
                <w:tab w:val="left" w:pos="900"/>
                <w:tab w:val="left" w:pos="1980"/>
              </w:tabs>
              <w:snapToGrid w:val="0"/>
              <w:rPr>
                <w:color w:val="auto"/>
                <w:sz w:val="24"/>
                <w:highlight w:val="none"/>
              </w:rPr>
            </w:pPr>
            <w:r>
              <w:rPr>
                <w:color w:val="auto"/>
                <w:sz w:val="24"/>
                <w:highlight w:val="none"/>
              </w:rPr>
              <w:t>信用信息查询记录和证据留存具体方式：查询结果网页打印页作为查询记录和证据，与其他采购文件一并保存；</w:t>
            </w:r>
          </w:p>
          <w:p w14:paraId="6F79280B">
            <w:pPr>
              <w:tabs>
                <w:tab w:val="left" w:pos="1080"/>
              </w:tabs>
              <w:snapToGrid w:val="0"/>
              <w:rPr>
                <w:color w:val="auto"/>
                <w:sz w:val="24"/>
                <w:highlight w:val="none"/>
              </w:rPr>
            </w:pPr>
            <w:r>
              <w:rPr>
                <w:color w:val="auto"/>
                <w:sz w:val="24"/>
                <w:highlight w:val="none"/>
              </w:rPr>
              <w:t>信用信息的使用原则：经认定的被列入失信被执行人、重大税收违法案件当事人名单、政府采购严重违法失信行为记录名单的投标人，其</w:t>
            </w:r>
            <w:r>
              <w:rPr>
                <w:b/>
                <w:color w:val="auto"/>
                <w:sz w:val="24"/>
                <w:highlight w:val="none"/>
              </w:rPr>
              <w:t>投标无效</w:t>
            </w:r>
            <w:r>
              <w:rPr>
                <w:color w:val="auto"/>
                <w:sz w:val="24"/>
                <w:highlight w:val="none"/>
              </w:rPr>
              <w:t>。联合体形式投标的，联合体成员存在不良信用记录，视同联合体存在不良信用记录。</w:t>
            </w:r>
          </w:p>
        </w:tc>
        <w:tc>
          <w:tcPr>
            <w:tcW w:w="1599" w:type="dxa"/>
            <w:noWrap w:val="0"/>
            <w:vAlign w:val="center"/>
          </w:tcPr>
          <w:p w14:paraId="41E94ABA">
            <w:pPr>
              <w:tabs>
                <w:tab w:val="left" w:pos="1080"/>
              </w:tabs>
              <w:snapToGrid w:val="0"/>
              <w:rPr>
                <w:color w:val="auto"/>
                <w:sz w:val="24"/>
                <w:highlight w:val="none"/>
              </w:rPr>
            </w:pPr>
            <w:r>
              <w:rPr>
                <w:color w:val="auto"/>
                <w:sz w:val="24"/>
                <w:highlight w:val="none"/>
              </w:rPr>
              <w:t>无须投标人提供，由采购人查询。</w:t>
            </w:r>
          </w:p>
        </w:tc>
      </w:tr>
      <w:tr w14:paraId="20BF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58AD4D6D">
            <w:pPr>
              <w:tabs>
                <w:tab w:val="left" w:pos="1080"/>
              </w:tabs>
              <w:snapToGrid w:val="0"/>
              <w:jc w:val="center"/>
              <w:rPr>
                <w:color w:val="auto"/>
                <w:sz w:val="24"/>
                <w:highlight w:val="none"/>
              </w:rPr>
            </w:pPr>
            <w:r>
              <w:rPr>
                <w:color w:val="auto"/>
                <w:sz w:val="24"/>
                <w:highlight w:val="none"/>
              </w:rPr>
              <w:t>1-4</w:t>
            </w:r>
          </w:p>
        </w:tc>
        <w:tc>
          <w:tcPr>
            <w:tcW w:w="1934" w:type="dxa"/>
            <w:noWrap w:val="0"/>
            <w:vAlign w:val="center"/>
          </w:tcPr>
          <w:p w14:paraId="24B255A5">
            <w:pPr>
              <w:tabs>
                <w:tab w:val="left" w:pos="1080"/>
              </w:tabs>
              <w:snapToGrid w:val="0"/>
              <w:rPr>
                <w:color w:val="auto"/>
                <w:sz w:val="24"/>
                <w:highlight w:val="none"/>
              </w:rPr>
            </w:pPr>
            <w:r>
              <w:rPr>
                <w:color w:val="auto"/>
                <w:sz w:val="24"/>
                <w:highlight w:val="none"/>
              </w:rPr>
              <w:t>法律、行政法规规定的其他条件</w:t>
            </w:r>
          </w:p>
        </w:tc>
        <w:tc>
          <w:tcPr>
            <w:tcW w:w="4705" w:type="dxa"/>
            <w:noWrap w:val="0"/>
            <w:vAlign w:val="center"/>
          </w:tcPr>
          <w:p w14:paraId="76AC1CE8">
            <w:pPr>
              <w:tabs>
                <w:tab w:val="left" w:pos="1080"/>
              </w:tabs>
              <w:snapToGrid w:val="0"/>
              <w:rPr>
                <w:color w:val="auto"/>
                <w:sz w:val="24"/>
                <w:highlight w:val="none"/>
              </w:rPr>
            </w:pPr>
            <w:r>
              <w:rPr>
                <w:color w:val="auto"/>
                <w:sz w:val="24"/>
                <w:highlight w:val="none"/>
              </w:rPr>
              <w:t>法律、行政法规规定的其他条件</w:t>
            </w:r>
          </w:p>
        </w:tc>
        <w:tc>
          <w:tcPr>
            <w:tcW w:w="1599" w:type="dxa"/>
            <w:noWrap w:val="0"/>
            <w:vAlign w:val="center"/>
          </w:tcPr>
          <w:p w14:paraId="2F876312">
            <w:pPr>
              <w:tabs>
                <w:tab w:val="left" w:pos="1080"/>
              </w:tabs>
              <w:snapToGrid w:val="0"/>
              <w:jc w:val="center"/>
              <w:rPr>
                <w:color w:val="auto"/>
                <w:sz w:val="24"/>
                <w:highlight w:val="none"/>
              </w:rPr>
            </w:pPr>
            <w:r>
              <w:rPr>
                <w:color w:val="auto"/>
                <w:sz w:val="24"/>
                <w:highlight w:val="none"/>
              </w:rPr>
              <w:t>/</w:t>
            </w:r>
          </w:p>
        </w:tc>
      </w:tr>
      <w:tr w14:paraId="6AED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012AD5F9">
            <w:pPr>
              <w:tabs>
                <w:tab w:val="left" w:pos="1080"/>
              </w:tabs>
              <w:snapToGrid w:val="0"/>
              <w:jc w:val="center"/>
              <w:rPr>
                <w:color w:val="auto"/>
                <w:sz w:val="24"/>
                <w:highlight w:val="none"/>
              </w:rPr>
            </w:pPr>
            <w:r>
              <w:rPr>
                <w:color w:val="auto"/>
                <w:sz w:val="24"/>
                <w:highlight w:val="none"/>
              </w:rPr>
              <w:t>2</w:t>
            </w:r>
          </w:p>
        </w:tc>
        <w:tc>
          <w:tcPr>
            <w:tcW w:w="1934" w:type="dxa"/>
            <w:noWrap w:val="0"/>
            <w:vAlign w:val="center"/>
          </w:tcPr>
          <w:p w14:paraId="247AE9EF">
            <w:pPr>
              <w:tabs>
                <w:tab w:val="left" w:pos="1080"/>
              </w:tabs>
              <w:snapToGrid w:val="0"/>
              <w:rPr>
                <w:color w:val="auto"/>
                <w:sz w:val="24"/>
                <w:highlight w:val="none"/>
              </w:rPr>
            </w:pPr>
            <w:r>
              <w:rPr>
                <w:color w:val="auto"/>
                <w:sz w:val="24"/>
                <w:highlight w:val="none"/>
              </w:rPr>
              <w:t>本项目的特定资格要求</w:t>
            </w:r>
          </w:p>
        </w:tc>
        <w:tc>
          <w:tcPr>
            <w:tcW w:w="4705" w:type="dxa"/>
            <w:noWrap w:val="0"/>
            <w:vAlign w:val="center"/>
          </w:tcPr>
          <w:p w14:paraId="698A70B2">
            <w:pPr>
              <w:tabs>
                <w:tab w:val="left" w:pos="1080"/>
              </w:tabs>
              <w:snapToGrid w:val="0"/>
              <w:rPr>
                <w:color w:val="auto"/>
                <w:sz w:val="24"/>
                <w:highlight w:val="none"/>
              </w:rPr>
            </w:pPr>
            <w:r>
              <w:rPr>
                <w:color w:val="auto"/>
                <w:sz w:val="24"/>
                <w:highlight w:val="none"/>
              </w:rPr>
              <w:t>见第一章《投标邀请》</w:t>
            </w:r>
          </w:p>
        </w:tc>
        <w:tc>
          <w:tcPr>
            <w:tcW w:w="1599" w:type="dxa"/>
            <w:noWrap w:val="0"/>
            <w:vAlign w:val="center"/>
          </w:tcPr>
          <w:p w14:paraId="35F03256">
            <w:pPr>
              <w:tabs>
                <w:tab w:val="left" w:pos="1080"/>
              </w:tabs>
              <w:snapToGrid w:val="0"/>
              <w:rPr>
                <w:color w:val="auto"/>
                <w:sz w:val="24"/>
                <w:highlight w:val="none"/>
              </w:rPr>
            </w:pPr>
          </w:p>
        </w:tc>
      </w:tr>
      <w:tr w14:paraId="5376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2A81A98E">
            <w:pPr>
              <w:tabs>
                <w:tab w:val="left" w:pos="1080"/>
              </w:tabs>
              <w:snapToGrid w:val="0"/>
              <w:jc w:val="center"/>
              <w:rPr>
                <w:color w:val="auto"/>
                <w:sz w:val="24"/>
                <w:highlight w:val="none"/>
              </w:rPr>
            </w:pPr>
            <w:r>
              <w:rPr>
                <w:rFonts w:hint="eastAsia"/>
                <w:color w:val="auto"/>
                <w:sz w:val="24"/>
                <w:highlight w:val="none"/>
              </w:rPr>
              <w:t>2-1</w:t>
            </w:r>
          </w:p>
        </w:tc>
        <w:tc>
          <w:tcPr>
            <w:tcW w:w="1934" w:type="dxa"/>
            <w:noWrap w:val="0"/>
            <w:vAlign w:val="center"/>
          </w:tcPr>
          <w:p w14:paraId="4EB02033">
            <w:pPr>
              <w:tabs>
                <w:tab w:val="left" w:pos="1080"/>
              </w:tabs>
              <w:snapToGrid w:val="0"/>
              <w:rPr>
                <w:color w:val="auto"/>
                <w:sz w:val="24"/>
                <w:highlight w:val="none"/>
              </w:rPr>
            </w:pPr>
            <w:r>
              <w:rPr>
                <w:color w:val="auto"/>
                <w:sz w:val="24"/>
                <w:highlight w:val="none"/>
              </w:rPr>
              <w:t>政府购买服务承接主体的要求</w:t>
            </w:r>
          </w:p>
        </w:tc>
        <w:tc>
          <w:tcPr>
            <w:tcW w:w="4705" w:type="dxa"/>
            <w:noWrap w:val="0"/>
            <w:vAlign w:val="center"/>
          </w:tcPr>
          <w:p w14:paraId="3D881C79">
            <w:pPr>
              <w:tabs>
                <w:tab w:val="left" w:pos="1080"/>
              </w:tabs>
              <w:snapToGrid w:val="0"/>
              <w:rPr>
                <w:color w:val="auto"/>
                <w:sz w:val="24"/>
                <w:highlight w:val="none"/>
              </w:rPr>
            </w:pPr>
            <w:r>
              <w:rPr>
                <w:color w:val="auto"/>
                <w:sz w:val="24"/>
                <w:highlight w:val="none"/>
              </w:rPr>
              <w:t>如本项目属于政府购买服务，投标人不属于公益一类事业单位、使用事业编制且由财政拨款保障的群团组织。</w:t>
            </w:r>
          </w:p>
        </w:tc>
        <w:tc>
          <w:tcPr>
            <w:tcW w:w="1599" w:type="dxa"/>
            <w:noWrap w:val="0"/>
            <w:vAlign w:val="center"/>
          </w:tcPr>
          <w:p w14:paraId="66FE8D6A">
            <w:pPr>
              <w:tabs>
                <w:tab w:val="left" w:pos="1080"/>
              </w:tabs>
              <w:snapToGrid w:val="0"/>
              <w:jc w:val="center"/>
              <w:rPr>
                <w:color w:val="auto"/>
                <w:sz w:val="24"/>
                <w:highlight w:val="none"/>
              </w:rPr>
            </w:pPr>
            <w:r>
              <w:rPr>
                <w:color w:val="auto"/>
                <w:sz w:val="24"/>
                <w:highlight w:val="none"/>
              </w:rPr>
              <w:t>格式见《投标文件格式》</w:t>
            </w:r>
          </w:p>
        </w:tc>
      </w:tr>
      <w:tr w14:paraId="387C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14:paraId="71B686C1">
            <w:pPr>
              <w:tabs>
                <w:tab w:val="left" w:pos="1080"/>
              </w:tabs>
              <w:snapToGrid w:val="0"/>
              <w:jc w:val="center"/>
              <w:rPr>
                <w:rFonts w:hint="eastAsia"/>
                <w:color w:val="auto"/>
                <w:sz w:val="24"/>
                <w:highlight w:val="none"/>
              </w:rPr>
            </w:pPr>
            <w:bookmarkStart w:id="731" w:name="_Toc127161490"/>
            <w:bookmarkStart w:id="732" w:name="_Toc226965858"/>
            <w:bookmarkStart w:id="733" w:name="_Toc353825550"/>
            <w:bookmarkStart w:id="734" w:name="_Toc127151779"/>
            <w:bookmarkStart w:id="735" w:name="_Toc353873940"/>
            <w:r>
              <w:rPr>
                <w:color w:val="auto"/>
                <w:sz w:val="24"/>
                <w:highlight w:val="none"/>
              </w:rPr>
              <w:t>2-</w:t>
            </w:r>
            <w:r>
              <w:rPr>
                <w:rFonts w:hint="eastAsia"/>
                <w:color w:val="auto"/>
                <w:sz w:val="24"/>
                <w:highlight w:val="none"/>
              </w:rPr>
              <w:t>2</w:t>
            </w:r>
          </w:p>
        </w:tc>
        <w:tc>
          <w:tcPr>
            <w:tcW w:w="1934" w:type="dxa"/>
            <w:noWrap w:val="0"/>
            <w:vAlign w:val="center"/>
          </w:tcPr>
          <w:p w14:paraId="48440CBF">
            <w:pPr>
              <w:tabs>
                <w:tab w:val="left" w:pos="1080"/>
              </w:tabs>
              <w:snapToGrid w:val="0"/>
              <w:rPr>
                <w:color w:val="auto"/>
                <w:sz w:val="24"/>
                <w:highlight w:val="none"/>
              </w:rPr>
            </w:pPr>
            <w:r>
              <w:rPr>
                <w:color w:val="auto"/>
                <w:sz w:val="24"/>
                <w:highlight w:val="none"/>
              </w:rPr>
              <w:t>其他特定资格要求</w:t>
            </w:r>
          </w:p>
        </w:tc>
        <w:tc>
          <w:tcPr>
            <w:tcW w:w="4705" w:type="dxa"/>
            <w:noWrap w:val="0"/>
            <w:vAlign w:val="center"/>
          </w:tcPr>
          <w:p w14:paraId="3E8159E3">
            <w:pPr>
              <w:tabs>
                <w:tab w:val="left" w:pos="1080"/>
              </w:tabs>
              <w:snapToGrid w:val="0"/>
              <w:rPr>
                <w:color w:val="auto"/>
                <w:sz w:val="24"/>
                <w:highlight w:val="none"/>
              </w:rPr>
            </w:pPr>
            <w:r>
              <w:rPr>
                <w:color w:val="auto"/>
                <w:sz w:val="24"/>
                <w:highlight w:val="none"/>
              </w:rPr>
              <w:t>见第一章《投标邀请》</w:t>
            </w:r>
          </w:p>
        </w:tc>
        <w:tc>
          <w:tcPr>
            <w:tcW w:w="1599" w:type="dxa"/>
            <w:noWrap w:val="0"/>
            <w:vAlign w:val="center"/>
          </w:tcPr>
          <w:p w14:paraId="15FDC9C9">
            <w:pPr>
              <w:tabs>
                <w:tab w:val="left" w:pos="1080"/>
              </w:tabs>
              <w:snapToGrid w:val="0"/>
              <w:rPr>
                <w:color w:val="auto"/>
                <w:sz w:val="24"/>
                <w:highlight w:val="none"/>
              </w:rPr>
            </w:pPr>
            <w:r>
              <w:rPr>
                <w:color w:val="auto"/>
                <w:sz w:val="24"/>
                <w:highlight w:val="none"/>
              </w:rPr>
              <w:t>提供证明文件的电子件或电子证照</w:t>
            </w:r>
          </w:p>
        </w:tc>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6"/>
      <w:bookmarkEnd w:id="730"/>
    </w:tbl>
    <w:p w14:paraId="4C065192">
      <w:pPr>
        <w:widowControl/>
        <w:jc w:val="left"/>
        <w:rPr>
          <w:color w:val="auto"/>
          <w:sz w:val="24"/>
          <w:highlight w:val="none"/>
        </w:rPr>
      </w:pPr>
      <w:r>
        <w:rPr>
          <w:color w:val="auto"/>
          <w:sz w:val="24"/>
          <w:highlight w:val="none"/>
        </w:rPr>
        <w:br w:type="page"/>
      </w:r>
    </w:p>
    <w:p w14:paraId="7AF47DC0">
      <w:pPr>
        <w:spacing w:line="360" w:lineRule="auto"/>
        <w:jc w:val="center"/>
        <w:outlineLvl w:val="0"/>
        <w:rPr>
          <w:b/>
          <w:color w:val="auto"/>
          <w:sz w:val="36"/>
          <w:szCs w:val="36"/>
          <w:highlight w:val="none"/>
        </w:rPr>
      </w:pPr>
      <w:bookmarkStart w:id="736" w:name="_Toc9232"/>
      <w:bookmarkStart w:id="737" w:name="_Toc99301423"/>
      <w:r>
        <w:rPr>
          <w:b/>
          <w:color w:val="auto"/>
          <w:sz w:val="36"/>
          <w:szCs w:val="36"/>
          <w:highlight w:val="none"/>
        </w:rPr>
        <w:t xml:space="preserve">第四章   </w:t>
      </w:r>
      <w:bookmarkEnd w:id="731"/>
      <w:bookmarkEnd w:id="732"/>
      <w:bookmarkEnd w:id="733"/>
      <w:bookmarkEnd w:id="734"/>
      <w:bookmarkEnd w:id="735"/>
      <w:bookmarkStart w:id="738" w:name="_Hlt164229061"/>
      <w:bookmarkEnd w:id="738"/>
      <w:r>
        <w:rPr>
          <w:b/>
          <w:color w:val="auto"/>
          <w:sz w:val="36"/>
          <w:szCs w:val="36"/>
          <w:highlight w:val="none"/>
        </w:rPr>
        <w:t>评标程序、评标方法和评标标准</w:t>
      </w:r>
      <w:bookmarkEnd w:id="736"/>
      <w:bookmarkEnd w:id="737"/>
    </w:p>
    <w:p w14:paraId="328AC931">
      <w:pPr>
        <w:tabs>
          <w:tab w:val="left" w:pos="360"/>
          <w:tab w:val="left" w:pos="900"/>
        </w:tabs>
        <w:snapToGrid w:val="0"/>
        <w:spacing w:line="360" w:lineRule="auto"/>
        <w:jc w:val="center"/>
        <w:outlineLvl w:val="1"/>
        <w:rPr>
          <w:b/>
          <w:color w:val="auto"/>
          <w:highlight w:val="none"/>
        </w:rPr>
      </w:pPr>
      <w:r>
        <w:rPr>
          <w:b/>
          <w:color w:val="auto"/>
          <w:sz w:val="24"/>
          <w:highlight w:val="none"/>
        </w:rPr>
        <w:t>一、评标方法</w:t>
      </w:r>
    </w:p>
    <w:p w14:paraId="492AB07E">
      <w:pPr>
        <w:numPr>
          <w:ilvl w:val="0"/>
          <w:numId w:val="11"/>
        </w:numPr>
        <w:tabs>
          <w:tab w:val="left" w:pos="360"/>
        </w:tabs>
        <w:snapToGrid w:val="0"/>
        <w:spacing w:line="360" w:lineRule="auto"/>
        <w:outlineLvl w:val="1"/>
        <w:rPr>
          <w:color w:val="auto"/>
          <w:sz w:val="24"/>
          <w:highlight w:val="none"/>
        </w:rPr>
      </w:pPr>
      <w:bookmarkStart w:id="739" w:name="_Toc226965814"/>
      <w:bookmarkStart w:id="740" w:name="_Toc151193711"/>
      <w:bookmarkStart w:id="741" w:name="_Toc150480779"/>
      <w:bookmarkStart w:id="742" w:name="_Toc151193929"/>
      <w:bookmarkStart w:id="743" w:name="_Toc164229236"/>
      <w:bookmarkStart w:id="744" w:name="_Toc226337237"/>
      <w:bookmarkStart w:id="745" w:name="_Toc149720834"/>
      <w:bookmarkStart w:id="746" w:name="_Toc265228379"/>
      <w:bookmarkStart w:id="747" w:name="_Toc305158883"/>
      <w:bookmarkStart w:id="748" w:name="_Toc151193783"/>
      <w:bookmarkStart w:id="749" w:name="_Toc151193855"/>
      <w:bookmarkStart w:id="750" w:name="_Toc127161455"/>
      <w:bookmarkStart w:id="751" w:name="_Toc150509292"/>
      <w:bookmarkStart w:id="752" w:name="_Toc195842906"/>
      <w:bookmarkStart w:id="753" w:name="_Toc264969231"/>
      <w:bookmarkStart w:id="754" w:name="_Toc150774641"/>
      <w:bookmarkStart w:id="755" w:name="_Toc127151541"/>
      <w:bookmarkStart w:id="756" w:name="_Toc164608655"/>
      <w:bookmarkStart w:id="757" w:name="_Toc226965731"/>
      <w:bookmarkStart w:id="758" w:name="_Toc142311043"/>
      <w:bookmarkStart w:id="759" w:name="_Toc164351635"/>
      <w:bookmarkStart w:id="760" w:name="_Toc305158809"/>
      <w:bookmarkStart w:id="761" w:name="_Toc127151742"/>
      <w:bookmarkStart w:id="762" w:name="_Toc164229382"/>
      <w:bookmarkStart w:id="763" w:name="_Toc226309785"/>
      <w:bookmarkStart w:id="764" w:name="_Toc150774746"/>
      <w:bookmarkStart w:id="765" w:name="_Toc151190168"/>
      <w:bookmarkStart w:id="766" w:name="_Toc151193639"/>
      <w:bookmarkStart w:id="767" w:name="_Toc164608810"/>
      <w:bookmarkStart w:id="768" w:name="_Toc353825551"/>
      <w:bookmarkStart w:id="769" w:name="_Toc353873941"/>
      <w:bookmarkStart w:id="770" w:name="_Toc353873935"/>
      <w:bookmarkStart w:id="771" w:name="_Toc150774760"/>
      <w:bookmarkStart w:id="772" w:name="_Toc353825545"/>
      <w:bookmarkStart w:id="773" w:name="_Toc305158823"/>
      <w:bookmarkStart w:id="774" w:name="_Toc264969245"/>
      <w:bookmarkStart w:id="775" w:name="_Toc195842920"/>
      <w:bookmarkStart w:id="776" w:name="_Toc226965828"/>
      <w:bookmarkStart w:id="777" w:name="_Toc127151555"/>
      <w:bookmarkStart w:id="778" w:name="_Toc226337251"/>
      <w:bookmarkStart w:id="779" w:name="_Toc265228393"/>
      <w:bookmarkStart w:id="780" w:name="_Toc150480793"/>
      <w:bookmarkStart w:id="781" w:name="_Toc305158897"/>
      <w:bookmarkStart w:id="782" w:name="_Toc142311057"/>
      <w:bookmarkStart w:id="783" w:name="_Toc353873665"/>
      <w:r>
        <w:rPr>
          <w:color w:val="auto"/>
          <w:sz w:val="24"/>
          <w:highlight w:val="none"/>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0086B370">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评标委员会对资格审查合格的投标人的投标文件进行符合性审查，以确定其是否满足招标文件的实质性要求。</w:t>
      </w:r>
      <w:bookmarkStart w:id="784" w:name="_Toc520356167"/>
    </w:p>
    <w:p w14:paraId="10C10E4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4"/>
      <w:r>
        <w:rPr>
          <w:color w:val="auto"/>
          <w:sz w:val="24"/>
          <w:highlight w:val="none"/>
        </w:rPr>
        <w:t>要求的，</w:t>
      </w:r>
      <w:r>
        <w:rPr>
          <w:b/>
          <w:color w:val="auto"/>
          <w:sz w:val="24"/>
          <w:highlight w:val="none"/>
        </w:rPr>
        <w:t>投标无效</w:t>
      </w:r>
      <w:r>
        <w:rPr>
          <w:color w:val="auto"/>
          <w:sz w:val="24"/>
          <w:highlight w:val="none"/>
        </w:rPr>
        <w:t>。</w:t>
      </w:r>
    </w:p>
    <w:p w14:paraId="7619C86D">
      <w:pPr>
        <w:tabs>
          <w:tab w:val="left" w:pos="900"/>
          <w:tab w:val="left" w:pos="1080"/>
          <w:tab w:val="left" w:pos="1589"/>
        </w:tabs>
        <w:snapToGrid w:val="0"/>
        <w:spacing w:line="360" w:lineRule="auto"/>
        <w:ind w:leftChars="-170" w:hanging="357" w:hangingChars="148"/>
        <w:jc w:val="center"/>
        <w:rPr>
          <w:b/>
          <w:color w:val="auto"/>
          <w:sz w:val="24"/>
          <w:highlight w:val="none"/>
        </w:rPr>
      </w:pPr>
      <w:r>
        <w:rPr>
          <w:b/>
          <w:color w:val="auto"/>
          <w:sz w:val="24"/>
          <w:highlight w:val="none"/>
        </w:rPr>
        <w:t>符合性审查要求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14:paraId="43D6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noWrap w:val="0"/>
            <w:vAlign w:val="center"/>
          </w:tcPr>
          <w:p w14:paraId="55D6FC48">
            <w:pPr>
              <w:widowControl/>
              <w:jc w:val="center"/>
              <w:rPr>
                <w:b/>
                <w:color w:val="auto"/>
                <w:kern w:val="0"/>
                <w:sz w:val="24"/>
                <w:highlight w:val="none"/>
              </w:rPr>
            </w:pPr>
            <w:r>
              <w:rPr>
                <w:b/>
                <w:color w:val="auto"/>
                <w:kern w:val="0"/>
                <w:sz w:val="24"/>
                <w:highlight w:val="none"/>
              </w:rPr>
              <w:t>序号</w:t>
            </w:r>
          </w:p>
        </w:tc>
        <w:tc>
          <w:tcPr>
            <w:tcW w:w="1769" w:type="dxa"/>
            <w:noWrap w:val="0"/>
            <w:vAlign w:val="center"/>
          </w:tcPr>
          <w:p w14:paraId="746B9237">
            <w:pPr>
              <w:widowControl/>
              <w:jc w:val="center"/>
              <w:rPr>
                <w:b/>
                <w:color w:val="auto"/>
                <w:kern w:val="0"/>
                <w:sz w:val="24"/>
                <w:highlight w:val="none"/>
              </w:rPr>
            </w:pPr>
            <w:r>
              <w:rPr>
                <w:b/>
                <w:color w:val="auto"/>
                <w:kern w:val="0"/>
                <w:sz w:val="24"/>
                <w:highlight w:val="none"/>
              </w:rPr>
              <w:t>审查因素</w:t>
            </w:r>
          </w:p>
        </w:tc>
        <w:tc>
          <w:tcPr>
            <w:tcW w:w="6561" w:type="dxa"/>
            <w:noWrap w:val="0"/>
            <w:vAlign w:val="center"/>
          </w:tcPr>
          <w:p w14:paraId="749F404A">
            <w:pPr>
              <w:widowControl/>
              <w:jc w:val="center"/>
              <w:rPr>
                <w:b/>
                <w:color w:val="auto"/>
                <w:kern w:val="0"/>
                <w:sz w:val="24"/>
                <w:highlight w:val="none"/>
              </w:rPr>
            </w:pPr>
            <w:r>
              <w:rPr>
                <w:b/>
                <w:color w:val="auto"/>
                <w:kern w:val="0"/>
                <w:sz w:val="24"/>
                <w:highlight w:val="none"/>
              </w:rPr>
              <w:t>审查内容</w:t>
            </w:r>
          </w:p>
        </w:tc>
      </w:tr>
      <w:tr w14:paraId="47F1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046EBFD4">
            <w:pPr>
              <w:widowControl/>
              <w:jc w:val="center"/>
              <w:rPr>
                <w:color w:val="auto"/>
                <w:kern w:val="0"/>
                <w:sz w:val="24"/>
                <w:highlight w:val="none"/>
              </w:rPr>
            </w:pPr>
            <w:r>
              <w:rPr>
                <w:color w:val="auto"/>
                <w:kern w:val="0"/>
                <w:sz w:val="24"/>
                <w:highlight w:val="none"/>
              </w:rPr>
              <w:t>1</w:t>
            </w:r>
          </w:p>
        </w:tc>
        <w:tc>
          <w:tcPr>
            <w:tcW w:w="1769" w:type="dxa"/>
            <w:noWrap w:val="0"/>
            <w:vAlign w:val="center"/>
          </w:tcPr>
          <w:p w14:paraId="2BBD2422">
            <w:pPr>
              <w:widowControl/>
              <w:jc w:val="left"/>
              <w:rPr>
                <w:color w:val="auto"/>
                <w:kern w:val="0"/>
                <w:sz w:val="24"/>
                <w:highlight w:val="none"/>
              </w:rPr>
            </w:pPr>
            <w:r>
              <w:rPr>
                <w:color w:val="auto"/>
                <w:kern w:val="0"/>
                <w:sz w:val="24"/>
                <w:highlight w:val="none"/>
              </w:rPr>
              <w:t>授权委托书</w:t>
            </w:r>
          </w:p>
        </w:tc>
        <w:tc>
          <w:tcPr>
            <w:tcW w:w="6561" w:type="dxa"/>
            <w:noWrap w:val="0"/>
            <w:vAlign w:val="center"/>
          </w:tcPr>
          <w:p w14:paraId="788BCD33">
            <w:pPr>
              <w:widowControl/>
              <w:jc w:val="left"/>
              <w:rPr>
                <w:color w:val="auto"/>
                <w:kern w:val="0"/>
                <w:sz w:val="24"/>
                <w:highlight w:val="none"/>
              </w:rPr>
            </w:pPr>
            <w:r>
              <w:rPr>
                <w:color w:val="auto"/>
                <w:kern w:val="0"/>
                <w:sz w:val="24"/>
                <w:highlight w:val="none"/>
              </w:rPr>
              <w:t>按招标文件要求提供授权委托书；</w:t>
            </w:r>
          </w:p>
        </w:tc>
      </w:tr>
      <w:tr w14:paraId="2426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1E7091B8">
            <w:pPr>
              <w:widowControl/>
              <w:jc w:val="center"/>
              <w:rPr>
                <w:color w:val="auto"/>
                <w:kern w:val="0"/>
                <w:sz w:val="24"/>
                <w:highlight w:val="none"/>
              </w:rPr>
            </w:pPr>
            <w:r>
              <w:rPr>
                <w:color w:val="auto"/>
                <w:kern w:val="0"/>
                <w:sz w:val="24"/>
                <w:highlight w:val="none"/>
              </w:rPr>
              <w:t>2</w:t>
            </w:r>
          </w:p>
        </w:tc>
        <w:tc>
          <w:tcPr>
            <w:tcW w:w="1769" w:type="dxa"/>
            <w:noWrap w:val="0"/>
            <w:vAlign w:val="center"/>
          </w:tcPr>
          <w:p w14:paraId="370DCFDA">
            <w:pPr>
              <w:widowControl/>
              <w:jc w:val="left"/>
              <w:rPr>
                <w:color w:val="auto"/>
                <w:kern w:val="0"/>
                <w:sz w:val="24"/>
                <w:highlight w:val="none"/>
              </w:rPr>
            </w:pPr>
            <w:r>
              <w:rPr>
                <w:color w:val="auto"/>
                <w:kern w:val="0"/>
                <w:sz w:val="24"/>
                <w:highlight w:val="none"/>
              </w:rPr>
              <w:t>投标完整性</w:t>
            </w:r>
          </w:p>
        </w:tc>
        <w:tc>
          <w:tcPr>
            <w:tcW w:w="6561" w:type="dxa"/>
            <w:noWrap w:val="0"/>
            <w:vAlign w:val="center"/>
          </w:tcPr>
          <w:p w14:paraId="79DB2704">
            <w:pPr>
              <w:widowControl/>
              <w:jc w:val="left"/>
              <w:rPr>
                <w:color w:val="auto"/>
                <w:kern w:val="0"/>
                <w:sz w:val="24"/>
                <w:highlight w:val="none"/>
              </w:rPr>
            </w:pPr>
            <w:r>
              <w:rPr>
                <w:color w:val="auto"/>
                <w:sz w:val="24"/>
                <w:highlight w:val="none"/>
              </w:rPr>
              <w:t>未将一个采购包中的内容拆分投标；</w:t>
            </w:r>
          </w:p>
        </w:tc>
      </w:tr>
      <w:tr w14:paraId="6496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6CF35609">
            <w:pPr>
              <w:widowControl/>
              <w:jc w:val="center"/>
              <w:rPr>
                <w:color w:val="auto"/>
                <w:kern w:val="0"/>
                <w:sz w:val="24"/>
                <w:highlight w:val="none"/>
              </w:rPr>
            </w:pPr>
            <w:r>
              <w:rPr>
                <w:color w:val="auto"/>
                <w:kern w:val="0"/>
                <w:sz w:val="24"/>
                <w:highlight w:val="none"/>
              </w:rPr>
              <w:t>3</w:t>
            </w:r>
          </w:p>
        </w:tc>
        <w:tc>
          <w:tcPr>
            <w:tcW w:w="1769" w:type="dxa"/>
            <w:noWrap w:val="0"/>
            <w:vAlign w:val="center"/>
          </w:tcPr>
          <w:p w14:paraId="49E0C2D1">
            <w:pPr>
              <w:widowControl/>
              <w:jc w:val="left"/>
              <w:rPr>
                <w:color w:val="auto"/>
                <w:kern w:val="0"/>
                <w:sz w:val="24"/>
                <w:highlight w:val="none"/>
              </w:rPr>
            </w:pPr>
            <w:r>
              <w:rPr>
                <w:color w:val="auto"/>
                <w:kern w:val="0"/>
                <w:sz w:val="24"/>
                <w:highlight w:val="none"/>
              </w:rPr>
              <w:t>投标报价</w:t>
            </w:r>
          </w:p>
        </w:tc>
        <w:tc>
          <w:tcPr>
            <w:tcW w:w="6561" w:type="dxa"/>
            <w:noWrap w:val="0"/>
            <w:vAlign w:val="center"/>
          </w:tcPr>
          <w:p w14:paraId="57805B3A">
            <w:pPr>
              <w:widowControl/>
              <w:jc w:val="left"/>
              <w:rPr>
                <w:color w:val="auto"/>
                <w:kern w:val="0"/>
                <w:sz w:val="24"/>
                <w:highlight w:val="none"/>
              </w:rPr>
            </w:pPr>
            <w:r>
              <w:rPr>
                <w:color w:val="auto"/>
                <w:kern w:val="0"/>
                <w:sz w:val="24"/>
                <w:highlight w:val="none"/>
              </w:rPr>
              <w:t>投标报价未</w:t>
            </w:r>
            <w:r>
              <w:rPr>
                <w:color w:val="auto"/>
                <w:sz w:val="24"/>
                <w:highlight w:val="none"/>
              </w:rPr>
              <w:t>超过招标文件中规定的项目/采购包预算金额或者项目/采购包最高限价</w:t>
            </w:r>
            <w:r>
              <w:rPr>
                <w:color w:val="auto"/>
                <w:kern w:val="0"/>
                <w:sz w:val="24"/>
                <w:highlight w:val="none"/>
              </w:rPr>
              <w:t>；</w:t>
            </w:r>
          </w:p>
        </w:tc>
      </w:tr>
      <w:tr w14:paraId="58AF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6246D21F">
            <w:pPr>
              <w:widowControl/>
              <w:jc w:val="center"/>
              <w:rPr>
                <w:color w:val="auto"/>
                <w:kern w:val="0"/>
                <w:sz w:val="24"/>
                <w:highlight w:val="none"/>
              </w:rPr>
            </w:pPr>
            <w:r>
              <w:rPr>
                <w:color w:val="auto"/>
                <w:kern w:val="0"/>
                <w:sz w:val="24"/>
                <w:highlight w:val="none"/>
              </w:rPr>
              <w:t>4</w:t>
            </w:r>
          </w:p>
        </w:tc>
        <w:tc>
          <w:tcPr>
            <w:tcW w:w="1769" w:type="dxa"/>
            <w:noWrap w:val="0"/>
            <w:vAlign w:val="center"/>
          </w:tcPr>
          <w:p w14:paraId="3A6F908F">
            <w:pPr>
              <w:widowControl/>
              <w:jc w:val="left"/>
              <w:rPr>
                <w:color w:val="auto"/>
                <w:kern w:val="0"/>
                <w:sz w:val="24"/>
                <w:highlight w:val="none"/>
              </w:rPr>
            </w:pPr>
            <w:r>
              <w:rPr>
                <w:color w:val="auto"/>
                <w:kern w:val="0"/>
                <w:sz w:val="24"/>
                <w:highlight w:val="none"/>
              </w:rPr>
              <w:t>报价唯一性</w:t>
            </w:r>
          </w:p>
        </w:tc>
        <w:tc>
          <w:tcPr>
            <w:tcW w:w="6561" w:type="dxa"/>
            <w:noWrap w:val="0"/>
            <w:vAlign w:val="center"/>
          </w:tcPr>
          <w:p w14:paraId="23FB3FB6">
            <w:pPr>
              <w:widowControl/>
              <w:jc w:val="left"/>
              <w:rPr>
                <w:color w:val="auto"/>
                <w:kern w:val="0"/>
                <w:sz w:val="24"/>
                <w:highlight w:val="none"/>
              </w:rPr>
            </w:pPr>
            <w:r>
              <w:rPr>
                <w:color w:val="auto"/>
                <w:kern w:val="0"/>
                <w:sz w:val="24"/>
                <w:highlight w:val="none"/>
              </w:rPr>
              <w:t>投标文件未</w:t>
            </w:r>
            <w:r>
              <w:rPr>
                <w:color w:val="auto"/>
                <w:sz w:val="24"/>
                <w:highlight w:val="none"/>
              </w:rPr>
              <w:t>出现可选择性或可调整的报价（招标文件另有规定的除外）</w:t>
            </w:r>
            <w:r>
              <w:rPr>
                <w:color w:val="auto"/>
                <w:kern w:val="0"/>
                <w:sz w:val="24"/>
                <w:highlight w:val="none"/>
              </w:rPr>
              <w:t>；</w:t>
            </w:r>
          </w:p>
        </w:tc>
      </w:tr>
      <w:tr w14:paraId="126A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32E59E99">
            <w:pPr>
              <w:widowControl/>
              <w:jc w:val="center"/>
              <w:rPr>
                <w:color w:val="auto"/>
                <w:kern w:val="0"/>
                <w:sz w:val="24"/>
                <w:highlight w:val="none"/>
              </w:rPr>
            </w:pPr>
            <w:r>
              <w:rPr>
                <w:color w:val="auto"/>
                <w:kern w:val="0"/>
                <w:sz w:val="24"/>
                <w:highlight w:val="none"/>
              </w:rPr>
              <w:t>5</w:t>
            </w:r>
          </w:p>
        </w:tc>
        <w:tc>
          <w:tcPr>
            <w:tcW w:w="1769" w:type="dxa"/>
            <w:noWrap w:val="0"/>
            <w:vAlign w:val="center"/>
          </w:tcPr>
          <w:p w14:paraId="7ACE790C">
            <w:pPr>
              <w:widowControl/>
              <w:jc w:val="left"/>
              <w:rPr>
                <w:color w:val="auto"/>
                <w:kern w:val="0"/>
                <w:sz w:val="24"/>
                <w:highlight w:val="none"/>
              </w:rPr>
            </w:pPr>
            <w:r>
              <w:rPr>
                <w:color w:val="auto"/>
                <w:kern w:val="0"/>
                <w:sz w:val="24"/>
                <w:highlight w:val="none"/>
              </w:rPr>
              <w:t>投标有效期</w:t>
            </w:r>
          </w:p>
        </w:tc>
        <w:tc>
          <w:tcPr>
            <w:tcW w:w="6561" w:type="dxa"/>
            <w:noWrap w:val="0"/>
            <w:vAlign w:val="center"/>
          </w:tcPr>
          <w:p w14:paraId="34053347">
            <w:pPr>
              <w:widowControl/>
              <w:jc w:val="left"/>
              <w:rPr>
                <w:color w:val="auto"/>
                <w:kern w:val="0"/>
                <w:sz w:val="24"/>
                <w:highlight w:val="none"/>
              </w:rPr>
            </w:pPr>
            <w:r>
              <w:rPr>
                <w:color w:val="auto"/>
                <w:kern w:val="0"/>
                <w:sz w:val="24"/>
                <w:highlight w:val="none"/>
              </w:rPr>
              <w:t>投标文件中承诺的投标有效期满足招标文件中载明的投标有效期的；</w:t>
            </w:r>
          </w:p>
        </w:tc>
      </w:tr>
      <w:tr w14:paraId="163C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33DE3209">
            <w:pPr>
              <w:widowControl/>
              <w:jc w:val="center"/>
              <w:rPr>
                <w:color w:val="auto"/>
                <w:kern w:val="0"/>
                <w:sz w:val="24"/>
                <w:highlight w:val="none"/>
              </w:rPr>
            </w:pPr>
            <w:r>
              <w:rPr>
                <w:color w:val="auto"/>
                <w:kern w:val="0"/>
                <w:sz w:val="24"/>
                <w:highlight w:val="none"/>
              </w:rPr>
              <w:t>6</w:t>
            </w:r>
          </w:p>
        </w:tc>
        <w:tc>
          <w:tcPr>
            <w:tcW w:w="1769" w:type="dxa"/>
            <w:noWrap w:val="0"/>
            <w:vAlign w:val="center"/>
          </w:tcPr>
          <w:p w14:paraId="0811303D">
            <w:pPr>
              <w:widowControl/>
              <w:jc w:val="left"/>
              <w:rPr>
                <w:color w:val="auto"/>
                <w:kern w:val="0"/>
                <w:sz w:val="24"/>
                <w:highlight w:val="none"/>
              </w:rPr>
            </w:pPr>
            <w:r>
              <w:rPr>
                <w:color w:val="auto"/>
                <w:kern w:val="0"/>
                <w:sz w:val="24"/>
                <w:highlight w:val="none"/>
              </w:rPr>
              <w:t>实质性格式</w:t>
            </w:r>
          </w:p>
        </w:tc>
        <w:tc>
          <w:tcPr>
            <w:tcW w:w="6561" w:type="dxa"/>
            <w:noWrap w:val="0"/>
            <w:vAlign w:val="center"/>
          </w:tcPr>
          <w:p w14:paraId="51E292F5">
            <w:pPr>
              <w:widowControl/>
              <w:jc w:val="left"/>
              <w:rPr>
                <w:color w:val="auto"/>
                <w:kern w:val="0"/>
                <w:sz w:val="24"/>
                <w:highlight w:val="none"/>
              </w:rPr>
            </w:pPr>
            <w:r>
              <w:rPr>
                <w:color w:val="auto"/>
                <w:kern w:val="0"/>
                <w:sz w:val="24"/>
                <w:highlight w:val="none"/>
              </w:rPr>
              <w:t>标记为“实质性格式”的文件均按招标文件要求提供且签署、盖章的；</w:t>
            </w:r>
          </w:p>
        </w:tc>
      </w:tr>
      <w:tr w14:paraId="6A0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10423D37">
            <w:pPr>
              <w:widowControl/>
              <w:jc w:val="center"/>
              <w:rPr>
                <w:color w:val="auto"/>
                <w:kern w:val="0"/>
                <w:sz w:val="24"/>
                <w:highlight w:val="none"/>
              </w:rPr>
            </w:pPr>
            <w:r>
              <w:rPr>
                <w:color w:val="auto"/>
                <w:kern w:val="0"/>
                <w:sz w:val="24"/>
                <w:highlight w:val="none"/>
              </w:rPr>
              <w:t>7</w:t>
            </w:r>
          </w:p>
        </w:tc>
        <w:tc>
          <w:tcPr>
            <w:tcW w:w="1769" w:type="dxa"/>
            <w:noWrap w:val="0"/>
            <w:vAlign w:val="center"/>
          </w:tcPr>
          <w:p w14:paraId="66F512CC">
            <w:pPr>
              <w:widowControl/>
              <w:jc w:val="left"/>
              <w:rPr>
                <w:color w:val="auto"/>
                <w:kern w:val="0"/>
                <w:sz w:val="24"/>
                <w:highlight w:val="none"/>
              </w:rPr>
            </w:pPr>
            <w:r>
              <w:rPr>
                <w:rFonts w:ascii="Segoe UI Symbol" w:hAnsi="Segoe UI Symbol" w:cs="Segoe UI Symbol"/>
                <w:color w:val="auto"/>
                <w:kern w:val="0"/>
                <w:sz w:val="24"/>
                <w:highlight w:val="none"/>
              </w:rPr>
              <w:t>★</w:t>
            </w:r>
            <w:r>
              <w:rPr>
                <w:color w:val="auto"/>
                <w:kern w:val="0"/>
                <w:sz w:val="24"/>
                <w:highlight w:val="none"/>
              </w:rPr>
              <w:t>号条款响应</w:t>
            </w:r>
          </w:p>
        </w:tc>
        <w:tc>
          <w:tcPr>
            <w:tcW w:w="6561" w:type="dxa"/>
            <w:noWrap w:val="0"/>
            <w:vAlign w:val="center"/>
          </w:tcPr>
          <w:p w14:paraId="6FD05481">
            <w:pPr>
              <w:widowControl/>
              <w:jc w:val="left"/>
              <w:rPr>
                <w:color w:val="auto"/>
                <w:kern w:val="0"/>
                <w:sz w:val="24"/>
                <w:highlight w:val="none"/>
              </w:rPr>
            </w:pPr>
            <w:r>
              <w:rPr>
                <w:color w:val="auto"/>
                <w:kern w:val="0"/>
                <w:sz w:val="24"/>
                <w:highlight w:val="none"/>
              </w:rPr>
              <w:t>投标文件满足招标文件</w:t>
            </w:r>
            <w:r>
              <w:rPr>
                <w:color w:val="auto"/>
                <w:sz w:val="24"/>
                <w:highlight w:val="none"/>
              </w:rPr>
              <w:t>第五章《采购需求》</w:t>
            </w:r>
            <w:r>
              <w:rPr>
                <w:color w:val="auto"/>
                <w:kern w:val="0"/>
                <w:sz w:val="24"/>
                <w:highlight w:val="none"/>
              </w:rPr>
              <w:t>中</w:t>
            </w:r>
            <w:r>
              <w:rPr>
                <w:rFonts w:ascii="Segoe UI Symbol" w:hAnsi="Segoe UI Symbol" w:cs="Segoe UI Symbol"/>
                <w:color w:val="auto"/>
                <w:kern w:val="0"/>
                <w:sz w:val="24"/>
                <w:highlight w:val="none"/>
              </w:rPr>
              <w:t>★</w:t>
            </w:r>
            <w:r>
              <w:rPr>
                <w:color w:val="auto"/>
                <w:kern w:val="0"/>
                <w:sz w:val="24"/>
                <w:highlight w:val="none"/>
              </w:rPr>
              <w:t>号条款要求的；</w:t>
            </w:r>
          </w:p>
        </w:tc>
      </w:tr>
      <w:tr w14:paraId="0DC7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35A472C5">
            <w:pPr>
              <w:widowControl/>
              <w:jc w:val="center"/>
              <w:rPr>
                <w:rFonts w:hint="eastAsia"/>
                <w:color w:val="auto"/>
                <w:kern w:val="0"/>
                <w:sz w:val="24"/>
                <w:highlight w:val="none"/>
              </w:rPr>
            </w:pPr>
            <w:r>
              <w:rPr>
                <w:rFonts w:hint="eastAsia"/>
                <w:color w:val="auto"/>
                <w:kern w:val="0"/>
                <w:sz w:val="24"/>
                <w:highlight w:val="none"/>
              </w:rPr>
              <w:t>8</w:t>
            </w:r>
          </w:p>
        </w:tc>
        <w:tc>
          <w:tcPr>
            <w:tcW w:w="1769" w:type="dxa"/>
            <w:noWrap w:val="0"/>
            <w:vAlign w:val="center"/>
          </w:tcPr>
          <w:p w14:paraId="09F00F2F">
            <w:pPr>
              <w:widowControl/>
              <w:jc w:val="left"/>
              <w:rPr>
                <w:color w:val="auto"/>
                <w:kern w:val="0"/>
                <w:sz w:val="24"/>
                <w:highlight w:val="none"/>
              </w:rPr>
            </w:pPr>
            <w:r>
              <w:rPr>
                <w:color w:val="auto"/>
                <w:kern w:val="0"/>
                <w:sz w:val="24"/>
                <w:highlight w:val="none"/>
              </w:rPr>
              <w:t>报价的修正（如有）</w:t>
            </w:r>
          </w:p>
        </w:tc>
        <w:tc>
          <w:tcPr>
            <w:tcW w:w="6561" w:type="dxa"/>
            <w:noWrap w:val="0"/>
            <w:vAlign w:val="center"/>
          </w:tcPr>
          <w:p w14:paraId="617763B3">
            <w:pPr>
              <w:widowControl/>
              <w:jc w:val="left"/>
              <w:rPr>
                <w:color w:val="auto"/>
                <w:kern w:val="0"/>
                <w:sz w:val="24"/>
                <w:highlight w:val="none"/>
              </w:rPr>
            </w:pPr>
            <w:r>
              <w:rPr>
                <w:color w:val="auto"/>
                <w:kern w:val="0"/>
                <w:sz w:val="24"/>
                <w:highlight w:val="none"/>
              </w:rPr>
              <w:t>不涉及报价修正，或投标文件报价出现前后不一致时，投标人对修正后的报价予以确认；（如有）</w:t>
            </w:r>
          </w:p>
        </w:tc>
      </w:tr>
      <w:tr w14:paraId="1DE5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520929D6">
            <w:pPr>
              <w:widowControl/>
              <w:jc w:val="center"/>
              <w:rPr>
                <w:rFonts w:hint="eastAsia"/>
                <w:color w:val="auto"/>
                <w:kern w:val="0"/>
                <w:sz w:val="24"/>
                <w:highlight w:val="none"/>
              </w:rPr>
            </w:pPr>
            <w:r>
              <w:rPr>
                <w:rFonts w:hint="eastAsia"/>
                <w:color w:val="auto"/>
                <w:kern w:val="0"/>
                <w:sz w:val="24"/>
                <w:highlight w:val="none"/>
              </w:rPr>
              <w:t>9</w:t>
            </w:r>
          </w:p>
        </w:tc>
        <w:tc>
          <w:tcPr>
            <w:tcW w:w="1769" w:type="dxa"/>
            <w:noWrap w:val="0"/>
            <w:vAlign w:val="center"/>
          </w:tcPr>
          <w:p w14:paraId="7C39484D">
            <w:pPr>
              <w:widowControl/>
              <w:jc w:val="left"/>
              <w:rPr>
                <w:color w:val="auto"/>
                <w:kern w:val="0"/>
                <w:sz w:val="24"/>
                <w:highlight w:val="none"/>
              </w:rPr>
            </w:pPr>
            <w:r>
              <w:rPr>
                <w:color w:val="auto"/>
                <w:kern w:val="0"/>
                <w:sz w:val="24"/>
                <w:highlight w:val="none"/>
              </w:rPr>
              <w:t>报价合理性</w:t>
            </w:r>
          </w:p>
        </w:tc>
        <w:tc>
          <w:tcPr>
            <w:tcW w:w="6561" w:type="dxa"/>
            <w:noWrap w:val="0"/>
            <w:vAlign w:val="center"/>
          </w:tcPr>
          <w:p w14:paraId="23D6AE97">
            <w:pPr>
              <w:widowControl/>
              <w:jc w:val="left"/>
              <w:rPr>
                <w:color w:val="auto"/>
                <w:kern w:val="0"/>
                <w:sz w:val="24"/>
                <w:highlight w:val="none"/>
              </w:rPr>
            </w:pPr>
            <w:r>
              <w:rPr>
                <w:color w:val="auto"/>
                <w:kern w:val="0"/>
                <w:sz w:val="24"/>
                <w:highlight w:val="none"/>
              </w:rPr>
              <w:t>报价合理，或</w:t>
            </w:r>
            <w:r>
              <w:rPr>
                <w:color w:val="auto"/>
                <w:sz w:val="24"/>
                <w:highlight w:val="none"/>
              </w:rPr>
              <w:t>投标人的报价明显低于其他通过符合性审查投标人的报价，有可能影响产品质量或者不能诚信履约的，能够应评标委员会要求在规定时间内证明其报价合理性的</w:t>
            </w:r>
            <w:r>
              <w:rPr>
                <w:color w:val="auto"/>
                <w:kern w:val="0"/>
                <w:sz w:val="24"/>
                <w:highlight w:val="none"/>
              </w:rPr>
              <w:t>；</w:t>
            </w:r>
          </w:p>
        </w:tc>
      </w:tr>
      <w:tr w14:paraId="1191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62CDA06D">
            <w:pPr>
              <w:widowControl/>
              <w:jc w:val="center"/>
              <w:rPr>
                <w:rFonts w:hint="eastAsia"/>
                <w:color w:val="auto"/>
                <w:kern w:val="0"/>
                <w:sz w:val="24"/>
                <w:highlight w:val="none"/>
              </w:rPr>
            </w:pPr>
            <w:r>
              <w:rPr>
                <w:color w:val="auto"/>
                <w:kern w:val="0"/>
                <w:sz w:val="24"/>
                <w:highlight w:val="none"/>
              </w:rPr>
              <w:t>1</w:t>
            </w:r>
            <w:r>
              <w:rPr>
                <w:rFonts w:hint="eastAsia"/>
                <w:color w:val="auto"/>
                <w:kern w:val="0"/>
                <w:sz w:val="24"/>
                <w:highlight w:val="none"/>
              </w:rPr>
              <w:t>0</w:t>
            </w:r>
          </w:p>
        </w:tc>
        <w:tc>
          <w:tcPr>
            <w:tcW w:w="1769" w:type="dxa"/>
            <w:noWrap w:val="0"/>
            <w:vAlign w:val="center"/>
          </w:tcPr>
          <w:p w14:paraId="3FB98E39">
            <w:pPr>
              <w:widowControl/>
              <w:jc w:val="left"/>
              <w:rPr>
                <w:color w:val="auto"/>
                <w:kern w:val="0"/>
                <w:sz w:val="24"/>
                <w:highlight w:val="none"/>
              </w:rPr>
            </w:pPr>
            <w:r>
              <w:rPr>
                <w:color w:val="auto"/>
                <w:kern w:val="0"/>
                <w:sz w:val="24"/>
                <w:highlight w:val="none"/>
              </w:rPr>
              <w:t>进口产品</w:t>
            </w:r>
          </w:p>
          <w:p w14:paraId="54F6803D">
            <w:pPr>
              <w:widowControl/>
              <w:jc w:val="left"/>
              <w:rPr>
                <w:color w:val="auto"/>
                <w:kern w:val="0"/>
                <w:sz w:val="24"/>
                <w:highlight w:val="none"/>
              </w:rPr>
            </w:pPr>
            <w:r>
              <w:rPr>
                <w:color w:val="auto"/>
                <w:kern w:val="0"/>
                <w:sz w:val="24"/>
                <w:highlight w:val="none"/>
              </w:rPr>
              <w:t>（</w:t>
            </w:r>
            <w:r>
              <w:rPr>
                <w:rFonts w:hint="eastAsia"/>
                <w:color w:val="auto"/>
                <w:kern w:val="0"/>
                <w:sz w:val="24"/>
                <w:highlight w:val="none"/>
              </w:rPr>
              <w:t>本项目不涉及</w:t>
            </w:r>
            <w:r>
              <w:rPr>
                <w:color w:val="auto"/>
                <w:kern w:val="0"/>
                <w:sz w:val="24"/>
                <w:highlight w:val="none"/>
              </w:rPr>
              <w:t>）</w:t>
            </w:r>
          </w:p>
        </w:tc>
        <w:tc>
          <w:tcPr>
            <w:tcW w:w="6561" w:type="dxa"/>
            <w:noWrap w:val="0"/>
            <w:vAlign w:val="center"/>
          </w:tcPr>
          <w:p w14:paraId="663F617C">
            <w:pPr>
              <w:widowControl/>
              <w:jc w:val="left"/>
              <w:rPr>
                <w:color w:val="auto"/>
                <w:kern w:val="0"/>
                <w:sz w:val="24"/>
                <w:highlight w:val="none"/>
              </w:rPr>
            </w:pPr>
            <w:r>
              <w:rPr>
                <w:color w:val="auto"/>
                <w:sz w:val="24"/>
                <w:highlight w:val="none"/>
              </w:rPr>
              <w:t>招标文件不接受进口产品投标的内容时，投标人所投产品不含进口产品；</w:t>
            </w:r>
          </w:p>
        </w:tc>
      </w:tr>
      <w:tr w14:paraId="32CD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700AA950">
            <w:pPr>
              <w:widowControl/>
              <w:jc w:val="center"/>
              <w:rPr>
                <w:rFonts w:hint="eastAsia"/>
                <w:color w:val="auto"/>
                <w:kern w:val="0"/>
                <w:sz w:val="24"/>
                <w:highlight w:val="none"/>
              </w:rPr>
            </w:pPr>
            <w:r>
              <w:rPr>
                <w:color w:val="auto"/>
                <w:kern w:val="0"/>
                <w:sz w:val="24"/>
                <w:highlight w:val="none"/>
              </w:rPr>
              <w:t>1</w:t>
            </w:r>
            <w:r>
              <w:rPr>
                <w:rFonts w:hint="eastAsia"/>
                <w:color w:val="auto"/>
                <w:kern w:val="0"/>
                <w:sz w:val="24"/>
                <w:highlight w:val="none"/>
              </w:rPr>
              <w:t>1</w:t>
            </w:r>
          </w:p>
        </w:tc>
        <w:tc>
          <w:tcPr>
            <w:tcW w:w="1769" w:type="dxa"/>
            <w:noWrap w:val="0"/>
            <w:vAlign w:val="center"/>
          </w:tcPr>
          <w:p w14:paraId="19676416">
            <w:pPr>
              <w:widowControl/>
              <w:jc w:val="left"/>
              <w:rPr>
                <w:color w:val="auto"/>
                <w:kern w:val="0"/>
                <w:sz w:val="24"/>
                <w:highlight w:val="none"/>
              </w:rPr>
            </w:pPr>
            <w:r>
              <w:rPr>
                <w:color w:val="auto"/>
                <w:kern w:val="0"/>
                <w:sz w:val="24"/>
                <w:highlight w:val="none"/>
              </w:rPr>
              <w:t>公平竞争</w:t>
            </w:r>
          </w:p>
        </w:tc>
        <w:tc>
          <w:tcPr>
            <w:tcW w:w="6561" w:type="dxa"/>
            <w:noWrap w:val="0"/>
            <w:vAlign w:val="center"/>
          </w:tcPr>
          <w:p w14:paraId="1B4B5E4E">
            <w:pPr>
              <w:widowControl/>
              <w:jc w:val="left"/>
              <w:rPr>
                <w:color w:val="auto"/>
                <w:kern w:val="0"/>
                <w:sz w:val="24"/>
                <w:highlight w:val="none"/>
              </w:rPr>
            </w:pPr>
            <w:r>
              <w:rPr>
                <w:color w:val="auto"/>
                <w:sz w:val="24"/>
                <w:highlight w:val="none"/>
              </w:rPr>
              <w:t>投标人遵循公平竞争的原则，不存在恶意串通，妨碍其他投标人的竞争行为，不存在损害采购人或者其他投标人的合法权益情形的；</w:t>
            </w:r>
          </w:p>
        </w:tc>
      </w:tr>
      <w:tr w14:paraId="5BCD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2F9AC190">
            <w:pPr>
              <w:widowControl/>
              <w:jc w:val="center"/>
              <w:rPr>
                <w:rFonts w:hint="eastAsia"/>
                <w:color w:val="auto"/>
                <w:kern w:val="0"/>
                <w:sz w:val="24"/>
                <w:highlight w:val="none"/>
              </w:rPr>
            </w:pPr>
            <w:r>
              <w:rPr>
                <w:color w:val="auto"/>
                <w:kern w:val="0"/>
                <w:sz w:val="24"/>
                <w:highlight w:val="none"/>
              </w:rPr>
              <w:t>1</w:t>
            </w:r>
            <w:r>
              <w:rPr>
                <w:rFonts w:hint="eastAsia"/>
                <w:color w:val="auto"/>
                <w:kern w:val="0"/>
                <w:sz w:val="24"/>
                <w:highlight w:val="none"/>
              </w:rPr>
              <w:t>2</w:t>
            </w:r>
          </w:p>
        </w:tc>
        <w:tc>
          <w:tcPr>
            <w:tcW w:w="1769" w:type="dxa"/>
            <w:noWrap w:val="0"/>
            <w:vAlign w:val="center"/>
          </w:tcPr>
          <w:p w14:paraId="00890118">
            <w:pPr>
              <w:widowControl/>
              <w:jc w:val="left"/>
              <w:rPr>
                <w:color w:val="auto"/>
                <w:kern w:val="0"/>
                <w:sz w:val="24"/>
                <w:highlight w:val="none"/>
              </w:rPr>
            </w:pPr>
            <w:r>
              <w:rPr>
                <w:color w:val="auto"/>
                <w:kern w:val="0"/>
                <w:sz w:val="24"/>
                <w:highlight w:val="none"/>
              </w:rPr>
              <w:t>串通投标</w:t>
            </w:r>
          </w:p>
        </w:tc>
        <w:tc>
          <w:tcPr>
            <w:tcW w:w="6561" w:type="dxa"/>
            <w:noWrap w:val="0"/>
            <w:vAlign w:val="center"/>
          </w:tcPr>
          <w:p w14:paraId="6AF8371C">
            <w:pPr>
              <w:widowControl/>
              <w:jc w:val="left"/>
              <w:rPr>
                <w:color w:val="auto"/>
                <w:kern w:val="0"/>
                <w:sz w:val="24"/>
                <w:highlight w:val="none"/>
              </w:rPr>
            </w:pPr>
            <w:r>
              <w:rPr>
                <w:color w:val="auto"/>
                <w:sz w:val="24"/>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08DE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54341C10">
            <w:pPr>
              <w:widowControl/>
              <w:jc w:val="center"/>
              <w:rPr>
                <w:rFonts w:hint="eastAsia"/>
                <w:color w:val="auto"/>
                <w:kern w:val="0"/>
                <w:sz w:val="24"/>
                <w:highlight w:val="none"/>
              </w:rPr>
            </w:pPr>
            <w:r>
              <w:rPr>
                <w:color w:val="auto"/>
                <w:kern w:val="0"/>
                <w:sz w:val="24"/>
                <w:highlight w:val="none"/>
              </w:rPr>
              <w:t>1</w:t>
            </w:r>
            <w:r>
              <w:rPr>
                <w:rFonts w:hint="eastAsia"/>
                <w:color w:val="auto"/>
                <w:kern w:val="0"/>
                <w:sz w:val="24"/>
                <w:highlight w:val="none"/>
              </w:rPr>
              <w:t>3</w:t>
            </w:r>
          </w:p>
        </w:tc>
        <w:tc>
          <w:tcPr>
            <w:tcW w:w="1769" w:type="dxa"/>
            <w:noWrap w:val="0"/>
            <w:vAlign w:val="center"/>
          </w:tcPr>
          <w:p w14:paraId="50BFCCD1">
            <w:pPr>
              <w:widowControl/>
              <w:jc w:val="left"/>
              <w:rPr>
                <w:color w:val="auto"/>
                <w:kern w:val="0"/>
                <w:sz w:val="24"/>
                <w:highlight w:val="none"/>
              </w:rPr>
            </w:pPr>
            <w:r>
              <w:rPr>
                <w:color w:val="auto"/>
                <w:kern w:val="0"/>
                <w:sz w:val="24"/>
                <w:highlight w:val="none"/>
              </w:rPr>
              <w:t>附加条件</w:t>
            </w:r>
          </w:p>
        </w:tc>
        <w:tc>
          <w:tcPr>
            <w:tcW w:w="6561" w:type="dxa"/>
            <w:noWrap w:val="0"/>
            <w:vAlign w:val="center"/>
          </w:tcPr>
          <w:p w14:paraId="763F0AD6">
            <w:pPr>
              <w:widowControl/>
              <w:jc w:val="left"/>
              <w:rPr>
                <w:color w:val="auto"/>
                <w:kern w:val="0"/>
                <w:sz w:val="24"/>
                <w:highlight w:val="none"/>
              </w:rPr>
            </w:pPr>
            <w:r>
              <w:rPr>
                <w:color w:val="auto"/>
                <w:kern w:val="0"/>
                <w:sz w:val="24"/>
                <w:highlight w:val="none"/>
              </w:rPr>
              <w:t>投标文件未含有采购人不能接受的附加条件的；</w:t>
            </w:r>
          </w:p>
        </w:tc>
      </w:tr>
      <w:tr w14:paraId="7EF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14:paraId="23B87CED">
            <w:pPr>
              <w:widowControl/>
              <w:jc w:val="center"/>
              <w:rPr>
                <w:rFonts w:hint="eastAsia"/>
                <w:color w:val="auto"/>
                <w:kern w:val="0"/>
                <w:sz w:val="24"/>
                <w:highlight w:val="none"/>
              </w:rPr>
            </w:pPr>
            <w:r>
              <w:rPr>
                <w:color w:val="auto"/>
                <w:kern w:val="0"/>
                <w:sz w:val="24"/>
                <w:highlight w:val="none"/>
              </w:rPr>
              <w:t>1</w:t>
            </w:r>
            <w:r>
              <w:rPr>
                <w:rFonts w:hint="eastAsia"/>
                <w:color w:val="auto"/>
                <w:kern w:val="0"/>
                <w:sz w:val="24"/>
                <w:highlight w:val="none"/>
              </w:rPr>
              <w:t>4</w:t>
            </w:r>
          </w:p>
        </w:tc>
        <w:tc>
          <w:tcPr>
            <w:tcW w:w="1769" w:type="dxa"/>
            <w:noWrap w:val="0"/>
            <w:vAlign w:val="center"/>
          </w:tcPr>
          <w:p w14:paraId="259E25FD">
            <w:pPr>
              <w:widowControl/>
              <w:jc w:val="left"/>
              <w:rPr>
                <w:color w:val="auto"/>
                <w:kern w:val="0"/>
                <w:sz w:val="24"/>
                <w:highlight w:val="none"/>
              </w:rPr>
            </w:pPr>
            <w:r>
              <w:rPr>
                <w:color w:val="auto"/>
                <w:kern w:val="0"/>
                <w:sz w:val="24"/>
                <w:highlight w:val="none"/>
              </w:rPr>
              <w:t>其他无效情形</w:t>
            </w:r>
          </w:p>
        </w:tc>
        <w:tc>
          <w:tcPr>
            <w:tcW w:w="6561" w:type="dxa"/>
            <w:noWrap w:val="0"/>
            <w:vAlign w:val="center"/>
          </w:tcPr>
          <w:p w14:paraId="53BE4632">
            <w:pPr>
              <w:widowControl/>
              <w:jc w:val="left"/>
              <w:rPr>
                <w:color w:val="auto"/>
                <w:kern w:val="0"/>
                <w:sz w:val="24"/>
                <w:highlight w:val="none"/>
              </w:rPr>
            </w:pPr>
            <w:r>
              <w:rPr>
                <w:color w:val="auto"/>
                <w:sz w:val="24"/>
                <w:highlight w:val="none"/>
              </w:rPr>
              <w:t>投标人、投标文件不存在不符合法律、法规和招标文件规定的其他无效情形。</w:t>
            </w:r>
          </w:p>
        </w:tc>
      </w:tr>
    </w:tbl>
    <w:p w14:paraId="2A7993A4">
      <w:pPr>
        <w:numPr>
          <w:ilvl w:val="0"/>
          <w:numId w:val="12"/>
        </w:numPr>
        <w:tabs>
          <w:tab w:val="left" w:pos="1080"/>
          <w:tab w:val="left" w:pos="1589"/>
        </w:tabs>
        <w:snapToGrid w:val="0"/>
        <w:spacing w:line="360" w:lineRule="auto"/>
        <w:rPr>
          <w:color w:val="auto"/>
          <w:sz w:val="24"/>
          <w:highlight w:val="none"/>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14:paraId="7199C5A1">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投标文件有关事项的澄清或者说明</w:t>
      </w:r>
    </w:p>
    <w:p w14:paraId="17ABC435">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color w:val="auto"/>
          <w:sz w:val="24"/>
          <w:highlight w:val="none"/>
        </w:rPr>
        <w:t>（</w:t>
      </w:r>
      <w:bookmarkStart w:id="785" w:name="_Hlk144225607"/>
      <w:r>
        <w:rPr>
          <w:color w:val="auto"/>
          <w:sz w:val="24"/>
          <w:szCs w:val="20"/>
          <w:highlight w:val="none"/>
        </w:rPr>
        <w:t>若</w:t>
      </w:r>
      <w:r>
        <w:rPr>
          <w:rFonts w:hint="eastAsia"/>
          <w:color w:val="auto"/>
          <w:sz w:val="24"/>
          <w:szCs w:val="20"/>
          <w:highlight w:val="none"/>
        </w:rPr>
        <w:t>投标人</w:t>
      </w:r>
      <w:r>
        <w:rPr>
          <w:color w:val="auto"/>
          <w:sz w:val="24"/>
          <w:szCs w:val="20"/>
          <w:highlight w:val="none"/>
        </w:rPr>
        <w:t>为事业单位或其他组织或分支机构，可为单位负责人</w:t>
      </w:r>
      <w:bookmarkEnd w:id="785"/>
      <w:r>
        <w:rPr>
          <w:rFonts w:hint="eastAsia"/>
          <w:color w:val="auto"/>
          <w:sz w:val="24"/>
          <w:highlight w:val="none"/>
        </w:rPr>
        <w:t>）</w:t>
      </w:r>
      <w:r>
        <w:rPr>
          <w:color w:val="auto"/>
          <w:sz w:val="24"/>
          <w:highlight w:val="none"/>
        </w:rPr>
        <w:t>或其授权的代表签字。投标人的澄清、说明或者补正不得超出投标文件的范围或者改变投标文件的实质性内容。澄清文件将作为投标文件内容的一部分。</w:t>
      </w:r>
    </w:p>
    <w:p w14:paraId="238A38E0">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auto"/>
          <w:sz w:val="24"/>
          <w:highlight w:val="none"/>
        </w:rPr>
        <w:t>无效投标处理</w:t>
      </w:r>
      <w:r>
        <w:rPr>
          <w:color w:val="auto"/>
          <w:sz w:val="24"/>
          <w:highlight w:val="none"/>
        </w:rPr>
        <w:t>。</w:t>
      </w:r>
    </w:p>
    <w:p w14:paraId="567300B9">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auto"/>
          <w:sz w:val="24"/>
          <w:highlight w:val="none"/>
        </w:rPr>
        <w:t>投标无效</w:t>
      </w:r>
      <w:r>
        <w:rPr>
          <w:color w:val="auto"/>
          <w:sz w:val="24"/>
          <w:highlight w:val="none"/>
        </w:rPr>
        <w:t>。</w:t>
      </w:r>
    </w:p>
    <w:p w14:paraId="581DEDA0">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投标文件报价出现前后不一致的，按照下列规定修正：</w:t>
      </w:r>
    </w:p>
    <w:p w14:paraId="3679796C">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招标文件对于报价修正是否另有规定：</w:t>
      </w:r>
    </w:p>
    <w:p w14:paraId="306C8FAE">
      <w:pPr>
        <w:tabs>
          <w:tab w:val="left" w:pos="1080"/>
          <w:tab w:val="left" w:pos="1589"/>
          <w:tab w:val="left" w:pos="2035"/>
          <w:tab w:val="left" w:pos="2114"/>
        </w:tabs>
        <w:snapToGrid w:val="0"/>
        <w:spacing w:line="360" w:lineRule="auto"/>
        <w:ind w:left="2035"/>
        <w:rPr>
          <w:color w:val="auto"/>
          <w:sz w:val="24"/>
          <w:highlight w:val="none"/>
          <w:u w:val="single"/>
        </w:rPr>
      </w:pPr>
      <w:r>
        <w:rPr>
          <w:color w:val="auto"/>
          <w:sz w:val="24"/>
          <w:highlight w:val="none"/>
        </w:rPr>
        <w:t>□有，具体规定为：______________</w:t>
      </w:r>
    </w:p>
    <w:p w14:paraId="515391E1">
      <w:p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sym w:font="Wingdings 2" w:char="0052"/>
      </w:r>
      <w:r>
        <w:rPr>
          <w:color w:val="auto"/>
          <w:sz w:val="24"/>
          <w:highlight w:val="none"/>
        </w:rPr>
        <w:t>无，按下述2.4.2-2.4.</w:t>
      </w:r>
      <w:r>
        <w:rPr>
          <w:rFonts w:hint="eastAsia"/>
          <w:color w:val="auto"/>
          <w:sz w:val="24"/>
          <w:highlight w:val="none"/>
        </w:rPr>
        <w:t>6</w:t>
      </w:r>
      <w:r>
        <w:rPr>
          <w:color w:val="auto"/>
          <w:sz w:val="24"/>
          <w:highlight w:val="none"/>
        </w:rPr>
        <w:t>项规定修正。</w:t>
      </w:r>
    </w:p>
    <w:p w14:paraId="4118F5DD">
      <w:pPr>
        <w:numPr>
          <w:ilvl w:val="2"/>
          <w:numId w:val="11"/>
        </w:numPr>
        <w:tabs>
          <w:tab w:val="left" w:pos="2035"/>
          <w:tab w:val="left" w:pos="2114"/>
          <w:tab w:val="left" w:pos="2977"/>
        </w:tabs>
        <w:snapToGrid w:val="0"/>
        <w:spacing w:line="360" w:lineRule="auto"/>
        <w:ind w:left="2035"/>
        <w:rPr>
          <w:color w:val="auto"/>
          <w:sz w:val="24"/>
          <w:highlight w:val="none"/>
        </w:rPr>
      </w:pPr>
      <w:r>
        <w:rPr>
          <w:rFonts w:hint="eastAsia"/>
          <w:color w:val="auto"/>
          <w:sz w:val="24"/>
          <w:highlight w:val="none"/>
        </w:rPr>
        <w:t>开标时，在北京市政府采购电子交易平台上显示的投标报价内容与投标文件中相应内容不一致的,以开标时显示的投标报价内容为准；</w:t>
      </w:r>
    </w:p>
    <w:p w14:paraId="711F6069">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大写金额和小写金额不一致的，以大写金额为准；</w:t>
      </w:r>
    </w:p>
    <w:p w14:paraId="5F15DC2B">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单价金额小数点或者百分比有明显错位的，以开标一览表的总价为准，并修改单价；</w:t>
      </w:r>
    </w:p>
    <w:p w14:paraId="0057CBF3">
      <w:pPr>
        <w:numPr>
          <w:ilvl w:val="2"/>
          <w:numId w:val="11"/>
        </w:numPr>
        <w:tabs>
          <w:tab w:val="left" w:pos="2035"/>
          <w:tab w:val="left" w:pos="2114"/>
          <w:tab w:val="left" w:pos="2977"/>
        </w:tabs>
        <w:snapToGrid w:val="0"/>
        <w:spacing w:line="360" w:lineRule="auto"/>
        <w:ind w:left="2035"/>
        <w:rPr>
          <w:color w:val="auto"/>
          <w:sz w:val="24"/>
          <w:highlight w:val="none"/>
        </w:rPr>
      </w:pPr>
      <w:r>
        <w:rPr>
          <w:color w:val="auto"/>
          <w:sz w:val="24"/>
          <w:highlight w:val="none"/>
        </w:rPr>
        <w:t>总价金额与按单价汇总金额不一致的，以单价金额计算结果为准。</w:t>
      </w:r>
    </w:p>
    <w:p w14:paraId="56086A8B">
      <w:pPr>
        <w:numPr>
          <w:ilvl w:val="2"/>
          <w:numId w:val="11"/>
        </w:numPr>
        <w:tabs>
          <w:tab w:val="left" w:pos="1080"/>
          <w:tab w:val="left" w:pos="1589"/>
          <w:tab w:val="left" w:pos="2035"/>
          <w:tab w:val="left" w:pos="2114"/>
        </w:tabs>
        <w:snapToGrid w:val="0"/>
        <w:spacing w:line="360" w:lineRule="auto"/>
        <w:ind w:left="2035"/>
        <w:rPr>
          <w:color w:val="auto"/>
          <w:sz w:val="24"/>
          <w:highlight w:val="none"/>
        </w:rPr>
      </w:pPr>
      <w:r>
        <w:rPr>
          <w:color w:val="auto"/>
          <w:sz w:val="24"/>
          <w:highlight w:val="none"/>
        </w:rPr>
        <w:t>同时出现两种以上不一致的，按照前款规定的顺序修正。修正后的报价经投标人书面确认后产生约束力，投标人不确认的，其</w:t>
      </w:r>
      <w:r>
        <w:rPr>
          <w:b/>
          <w:color w:val="auto"/>
          <w:sz w:val="24"/>
          <w:highlight w:val="none"/>
        </w:rPr>
        <w:t>投标无效</w:t>
      </w:r>
      <w:r>
        <w:rPr>
          <w:color w:val="auto"/>
          <w:sz w:val="24"/>
          <w:highlight w:val="none"/>
        </w:rPr>
        <w:t>。</w:t>
      </w:r>
    </w:p>
    <w:p w14:paraId="15D9B6B1">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落实政府采购政策的价格调整：只有符合第二章《投标人须知》5.2条规定情形的，可以享受中小企业扶持政策，用扣除后的价格参加评审；否则，评标时价格不予扣除。</w:t>
      </w:r>
    </w:p>
    <w:p w14:paraId="12AA0898">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rPr>
        <w:t>10</w:t>
      </w:r>
      <w:r>
        <w:rPr>
          <w:color w:val="auto"/>
          <w:sz w:val="24"/>
          <w:highlight w:val="none"/>
        </w:rPr>
        <w:t>%的扣除，用扣除后的价格参加评审。</w:t>
      </w:r>
    </w:p>
    <w:p w14:paraId="40BF3F0A">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color w:val="auto"/>
          <w:sz w:val="24"/>
          <w:highlight w:val="none"/>
        </w:rPr>
        <w:t>4</w:t>
      </w:r>
      <w:r>
        <w:rPr>
          <w:color w:val="auto"/>
          <w:sz w:val="24"/>
          <w:highlight w:val="none"/>
        </w:rPr>
        <w:t>%的扣除，用扣除后的价格参加评审。</w:t>
      </w:r>
    </w:p>
    <w:p w14:paraId="6BC72699">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41890F7D">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价格扣除比例对小型企业和微型企业同等对待，不作区分。</w:t>
      </w:r>
    </w:p>
    <w:p w14:paraId="645623C1">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中小企业参加政府采购活动，应当按照招标文件给定的格式出具《中小企业声明函》，否则不得享受相关中小企业扶持政策。</w:t>
      </w:r>
    </w:p>
    <w:p w14:paraId="418BAFD5">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监狱企业提供了由省级以上监狱管理局、戒毒管理局（含新疆生产建设兵团）出具的属于监狱企业的证明文件的，视同小微企业。</w:t>
      </w:r>
    </w:p>
    <w:p w14:paraId="77E15616">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残疾人福利性单位按招标文件要求提供了《残疾人福利性单位声明函》的，视同小微企业。</w:t>
      </w:r>
    </w:p>
    <w:p w14:paraId="34665050">
      <w:pPr>
        <w:numPr>
          <w:ilvl w:val="2"/>
          <w:numId w:val="11"/>
        </w:numPr>
        <w:tabs>
          <w:tab w:val="left" w:pos="1080"/>
          <w:tab w:val="left" w:pos="1589"/>
          <w:tab w:val="left" w:pos="2014"/>
          <w:tab w:val="clear" w:pos="1980"/>
        </w:tabs>
        <w:snapToGrid w:val="0"/>
        <w:spacing w:line="360" w:lineRule="auto"/>
        <w:ind w:left="2035"/>
        <w:rPr>
          <w:color w:val="auto"/>
          <w:sz w:val="24"/>
          <w:highlight w:val="none"/>
        </w:rPr>
      </w:pPr>
      <w:r>
        <w:rPr>
          <w:color w:val="auto"/>
          <w:sz w:val="24"/>
          <w:highlight w:val="none"/>
        </w:rPr>
        <w:t>若投标人同时属于小型或微型企业、监狱企业、残疾人福利性单位中的两种及以上，将不重复享受小微企业价格扣减的优惠政策。</w:t>
      </w:r>
    </w:p>
    <w:p w14:paraId="665B5AFB">
      <w:pPr>
        <w:numPr>
          <w:ilvl w:val="0"/>
          <w:numId w:val="11"/>
        </w:numPr>
        <w:tabs>
          <w:tab w:val="left" w:pos="360"/>
        </w:tabs>
        <w:snapToGrid w:val="0"/>
        <w:spacing w:line="360" w:lineRule="auto"/>
        <w:outlineLvl w:val="1"/>
        <w:rPr>
          <w:color w:val="auto"/>
          <w:sz w:val="24"/>
          <w:highlight w:val="none"/>
        </w:rPr>
      </w:pPr>
      <w:r>
        <w:rPr>
          <w:color w:val="auto"/>
          <w:sz w:val="24"/>
          <w:highlight w:val="none"/>
        </w:rPr>
        <w:t>投标文件的比较和评价</w:t>
      </w:r>
      <w:bookmarkEnd w:id="768"/>
      <w:bookmarkEnd w:id="769"/>
    </w:p>
    <w:p w14:paraId="3CCB81C2">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评标委员会将按照招标文件中规定的评标方法和标准，对符合性审查合格的投标文件进行商务和技术评估，综合比较与评价；未通过符合性审查的投标文件不得进入比较与评价。</w:t>
      </w:r>
    </w:p>
    <w:p w14:paraId="70B7C4EC">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评标方法和评标标准</w:t>
      </w:r>
    </w:p>
    <w:p w14:paraId="531EA41B">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本项目采用的评标方法为：</w:t>
      </w:r>
    </w:p>
    <w:p w14:paraId="4A95782C">
      <w:pPr>
        <w:tabs>
          <w:tab w:val="left" w:pos="900"/>
          <w:tab w:val="left" w:pos="1589"/>
          <w:tab w:val="left" w:pos="1701"/>
        </w:tabs>
        <w:snapToGrid w:val="0"/>
        <w:spacing w:line="360" w:lineRule="auto"/>
        <w:ind w:left="1985"/>
        <w:rPr>
          <w:color w:val="auto"/>
          <w:sz w:val="24"/>
          <w:highlight w:val="none"/>
        </w:rPr>
      </w:pPr>
      <w:r>
        <w:rPr>
          <w:color w:val="auto"/>
          <w:sz w:val="24"/>
          <w:highlight w:val="none"/>
        </w:rPr>
        <w:sym w:font="Wingdings 2" w:char="0052"/>
      </w:r>
      <w:r>
        <w:rPr>
          <w:color w:val="auto"/>
          <w:sz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C426B89">
      <w:pPr>
        <w:tabs>
          <w:tab w:val="left" w:pos="900"/>
          <w:tab w:val="left" w:pos="1589"/>
          <w:tab w:val="left" w:pos="1701"/>
        </w:tabs>
        <w:snapToGrid w:val="0"/>
        <w:spacing w:line="360" w:lineRule="auto"/>
        <w:ind w:left="1985"/>
        <w:rPr>
          <w:color w:val="auto"/>
          <w:sz w:val="24"/>
          <w:highlight w:val="none"/>
        </w:rPr>
      </w:pPr>
      <w:r>
        <w:rPr>
          <w:color w:val="auto"/>
          <w:sz w:val="24"/>
          <w:highlight w:val="none"/>
        </w:rPr>
        <w:t>□最低评标价法，指投标文件满足招标文件全部实质性要求，且投标报价最低的投标人为中标候选人的评标方法。</w:t>
      </w:r>
    </w:p>
    <w:p w14:paraId="3DAFC63A">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auto"/>
          <w:sz w:val="24"/>
          <w:highlight w:val="none"/>
        </w:rPr>
        <w:t>投标无效</w:t>
      </w:r>
      <w:r>
        <w:rPr>
          <w:color w:val="auto"/>
          <w:sz w:val="24"/>
          <w:highlight w:val="none"/>
        </w:rPr>
        <w:t>。</w:t>
      </w:r>
      <w:r>
        <w:rPr>
          <w:rFonts w:hint="eastAsia"/>
          <w:b/>
          <w:bCs/>
          <w:color w:val="auto"/>
          <w:sz w:val="24"/>
          <w:highlight w:val="none"/>
        </w:rPr>
        <w:t>（本项目不涉及）</w:t>
      </w:r>
    </w:p>
    <w:p w14:paraId="038183D4">
      <w:pPr>
        <w:tabs>
          <w:tab w:val="left" w:pos="1080"/>
          <w:tab w:val="left" w:pos="1589"/>
          <w:tab w:val="left" w:pos="2035"/>
        </w:tabs>
        <w:snapToGrid w:val="0"/>
        <w:spacing w:line="360" w:lineRule="auto"/>
        <w:ind w:left="2035"/>
        <w:rPr>
          <w:color w:val="auto"/>
          <w:sz w:val="24"/>
          <w:highlight w:val="none"/>
        </w:rPr>
      </w:pPr>
      <w:r>
        <w:rPr>
          <w:color w:val="auto"/>
          <w:sz w:val="24"/>
          <w:highlight w:val="none"/>
        </w:rPr>
        <w:sym w:font="Wingdings 2" w:char="00A3"/>
      </w:r>
      <w:r>
        <w:rPr>
          <w:color w:val="auto"/>
          <w:sz w:val="24"/>
          <w:highlight w:val="none"/>
        </w:rPr>
        <w:t>随机抽取</w:t>
      </w:r>
    </w:p>
    <w:p w14:paraId="24735D0B">
      <w:pPr>
        <w:tabs>
          <w:tab w:val="left" w:pos="1080"/>
          <w:tab w:val="left" w:pos="1589"/>
          <w:tab w:val="left" w:pos="2035"/>
        </w:tabs>
        <w:snapToGrid w:val="0"/>
        <w:spacing w:line="360" w:lineRule="auto"/>
        <w:ind w:left="2035"/>
        <w:rPr>
          <w:color w:val="auto"/>
          <w:highlight w:val="none"/>
        </w:rPr>
      </w:pPr>
      <w:r>
        <w:rPr>
          <w:color w:val="auto"/>
          <w:sz w:val="24"/>
          <w:highlight w:val="none"/>
        </w:rPr>
        <w:t>□其他方式，具体要求：_____</w:t>
      </w:r>
    </w:p>
    <w:p w14:paraId="59E91D43">
      <w:pPr>
        <w:numPr>
          <w:ilvl w:val="2"/>
          <w:numId w:val="11"/>
        </w:numPr>
        <w:tabs>
          <w:tab w:val="left" w:pos="1080"/>
          <w:tab w:val="left" w:pos="1589"/>
          <w:tab w:val="left" w:pos="2035"/>
        </w:tabs>
        <w:snapToGrid w:val="0"/>
        <w:spacing w:line="360" w:lineRule="auto"/>
        <w:ind w:left="2035"/>
        <w:rPr>
          <w:color w:val="auto"/>
          <w:sz w:val="24"/>
          <w:highlight w:val="none"/>
        </w:rPr>
      </w:pPr>
      <w:r>
        <w:rPr>
          <w:color w:val="auto"/>
          <w:sz w:val="24"/>
          <w:highlight w:val="none"/>
        </w:rPr>
        <w:t>非政府强制采购的节能产品或环境标志产品，依据品目清单和认证证书实施政府优先采购。优先采购的具体规定（如涉及）</w:t>
      </w:r>
      <w:r>
        <w:rPr>
          <w:rFonts w:hint="eastAsia"/>
          <w:color w:val="auto"/>
          <w:sz w:val="24"/>
          <w:highlight w:val="none"/>
          <w:u w:val="single"/>
        </w:rPr>
        <w:t>详见第四部分</w:t>
      </w:r>
      <w:r>
        <w:rPr>
          <w:color w:val="auto"/>
          <w:sz w:val="24"/>
          <w:highlight w:val="none"/>
          <w:u w:val="single"/>
        </w:rPr>
        <w:t>评标程序、评标方法和评标标准</w:t>
      </w:r>
      <w:r>
        <w:rPr>
          <w:color w:val="auto"/>
          <w:sz w:val="24"/>
          <w:highlight w:val="none"/>
        </w:rPr>
        <w:t>。</w:t>
      </w:r>
      <w:r>
        <w:rPr>
          <w:rFonts w:hint="eastAsia"/>
          <w:b/>
          <w:bCs/>
          <w:color w:val="auto"/>
          <w:sz w:val="24"/>
          <w:highlight w:val="none"/>
        </w:rPr>
        <w:t>（本项目不涉及）</w:t>
      </w:r>
    </w:p>
    <w:p w14:paraId="2FD103A4">
      <w:pPr>
        <w:tabs>
          <w:tab w:val="left" w:pos="1080"/>
          <w:tab w:val="left" w:pos="1589"/>
          <w:tab w:val="left" w:pos="2035"/>
        </w:tabs>
        <w:snapToGrid w:val="0"/>
        <w:spacing w:line="360" w:lineRule="auto"/>
        <w:ind w:left="1135"/>
        <w:rPr>
          <w:color w:val="auto"/>
          <w:sz w:val="24"/>
          <w:highlight w:val="none"/>
        </w:rPr>
      </w:pPr>
    </w:p>
    <w:p w14:paraId="7B480FD4">
      <w:pPr>
        <w:numPr>
          <w:ilvl w:val="0"/>
          <w:numId w:val="11"/>
        </w:numPr>
        <w:tabs>
          <w:tab w:val="left" w:pos="360"/>
        </w:tabs>
        <w:snapToGrid w:val="0"/>
        <w:spacing w:line="360" w:lineRule="auto"/>
        <w:outlineLvl w:val="1"/>
        <w:rPr>
          <w:color w:val="auto"/>
          <w:sz w:val="24"/>
          <w:highlight w:val="none"/>
        </w:rPr>
      </w:pPr>
      <w:r>
        <w:rPr>
          <w:color w:val="auto"/>
          <w:sz w:val="24"/>
          <w:highlight w:val="none"/>
        </w:rPr>
        <w:t>确定</w:t>
      </w:r>
      <w:bookmarkStart w:id="786" w:name="_Toc164229387"/>
      <w:bookmarkStart w:id="787" w:name="_Toc164229241"/>
      <w:bookmarkStart w:id="788" w:name="_Toc150774646"/>
      <w:bookmarkStart w:id="789" w:name="_Toc150509297"/>
      <w:bookmarkStart w:id="790" w:name="_Toc127151546"/>
      <w:bookmarkStart w:id="791" w:name="_Toc151193860"/>
      <w:bookmarkStart w:id="792" w:name="_Toc127161460"/>
      <w:bookmarkStart w:id="793" w:name="_Ref467307010"/>
      <w:bookmarkStart w:id="794" w:name="_Toc226337242"/>
      <w:bookmarkStart w:id="795" w:name="_Toc151193716"/>
      <w:bookmarkStart w:id="796" w:name="_Toc226965736"/>
      <w:bookmarkStart w:id="797" w:name="_Toc226965819"/>
      <w:bookmarkStart w:id="798" w:name="_Toc520356170"/>
      <w:bookmarkStart w:id="799" w:name="_Toc142311048"/>
      <w:bookmarkStart w:id="800" w:name="_Toc164608660"/>
      <w:bookmarkStart w:id="801" w:name="_Toc151190173"/>
      <w:bookmarkStart w:id="802" w:name="_Toc127151747"/>
      <w:bookmarkStart w:id="803" w:name="_Toc305158814"/>
      <w:bookmarkStart w:id="804" w:name="_Toc305158888"/>
      <w:bookmarkStart w:id="805" w:name="_Toc150480784"/>
      <w:bookmarkStart w:id="806" w:name="_Toc151193644"/>
      <w:bookmarkStart w:id="807" w:name="_Toc164608815"/>
      <w:bookmarkStart w:id="808" w:name="_Toc264969236"/>
      <w:bookmarkStart w:id="809" w:name="_Toc226309790"/>
      <w:bookmarkStart w:id="810" w:name="_Toc149720839"/>
      <w:bookmarkStart w:id="811" w:name="_Toc151193934"/>
      <w:bookmarkStart w:id="812" w:name="_Toc150774751"/>
      <w:bookmarkStart w:id="813" w:name="_Toc265228384"/>
      <w:bookmarkStart w:id="814" w:name="_Toc195842911"/>
      <w:bookmarkStart w:id="815" w:name="_Toc151193788"/>
      <w:bookmarkStart w:id="816" w:name="_Toc164351640"/>
      <w:r>
        <w:rPr>
          <w:color w:val="auto"/>
          <w:sz w:val="24"/>
          <w:highlight w:val="none"/>
        </w:rPr>
        <w:t>中标候选人名单</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58BFB3C">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415CB4B">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t>□随机抽取</w:t>
      </w:r>
    </w:p>
    <w:p w14:paraId="5F93D730">
      <w:pPr>
        <w:pStyle w:val="24"/>
        <w:tabs>
          <w:tab w:val="left" w:pos="900"/>
          <w:tab w:val="left" w:pos="2127"/>
        </w:tabs>
        <w:adjustRightInd w:val="0"/>
        <w:snapToGrid w:val="0"/>
        <w:spacing w:line="360" w:lineRule="auto"/>
        <w:ind w:left="993" w:firstLine="136" w:firstLineChars="57"/>
        <w:rPr>
          <w:rFonts w:hint="default" w:ascii="Times New Roman" w:hAnsi="Times New Roman"/>
          <w:color w:val="auto"/>
          <w:sz w:val="24"/>
          <w:szCs w:val="24"/>
          <w:highlight w:val="none"/>
        </w:rPr>
      </w:pPr>
      <w:r>
        <w:rPr>
          <w:rFonts w:hint="default" w:ascii="Times New Roman" w:hAnsi="Times New Roman"/>
          <w:color w:val="auto"/>
          <w:sz w:val="24"/>
          <w:szCs w:val="24"/>
          <w:highlight w:val="none"/>
        </w:rPr>
        <w:sym w:font="Wingdings 2" w:char="0052"/>
      </w:r>
      <w:r>
        <w:rPr>
          <w:rFonts w:hint="default" w:ascii="Times New Roman" w:hAnsi="Times New Roman"/>
          <w:color w:val="auto"/>
          <w:sz w:val="24"/>
          <w:szCs w:val="24"/>
          <w:highlight w:val="none"/>
        </w:rPr>
        <w:t>其他方式，具体要求：</w:t>
      </w:r>
      <w:r>
        <w:rPr>
          <w:rFonts w:ascii="Times New Roman" w:hAnsi="Times New Roman"/>
          <w:color w:val="auto"/>
          <w:sz w:val="24"/>
          <w:szCs w:val="24"/>
          <w:highlight w:val="none"/>
        </w:rPr>
        <w:t>投标人评审得分相同的，按投标报价由低向高顺序排列。得分且投标报价相同的，</w:t>
      </w:r>
      <w:r>
        <w:rPr>
          <w:rFonts w:hint="default" w:ascii="Times New Roman" w:hAnsi="Times New Roman"/>
          <w:color w:val="auto"/>
          <w:sz w:val="24"/>
          <w:highlight w:val="none"/>
        </w:rPr>
        <w:t>以</w:t>
      </w:r>
      <w:r>
        <w:rPr>
          <w:rFonts w:hint="default" w:ascii="Times New Roman" w:hAnsi="Times New Roman"/>
          <w:color w:val="auto"/>
          <w:sz w:val="24"/>
          <w:szCs w:val="24"/>
          <w:highlight w:val="none"/>
        </w:rPr>
        <w:t>技术部分</w:t>
      </w:r>
      <w:r>
        <w:rPr>
          <w:rFonts w:hint="default" w:ascii="Times New Roman" w:hAnsi="Times New Roman"/>
          <w:color w:val="auto"/>
          <w:sz w:val="24"/>
          <w:highlight w:val="none"/>
        </w:rPr>
        <w:t>得分</w:t>
      </w:r>
      <w:r>
        <w:rPr>
          <w:rFonts w:ascii="Times New Roman" w:hAnsi="Times New Roman"/>
          <w:color w:val="auto"/>
          <w:sz w:val="24"/>
          <w:szCs w:val="24"/>
          <w:highlight w:val="none"/>
        </w:rPr>
        <w:t>顺序排列。</w:t>
      </w:r>
    </w:p>
    <w:p w14:paraId="18583762">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D079CB4">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3BBE0C97">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评标委员会要对评分汇总情况进行复核，特别是对排名第一的、报价最低的、投标或响应文件被认定为无效的情形进行重点复核。</w:t>
      </w:r>
    </w:p>
    <w:p w14:paraId="594262CB">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评标委员会将根据各投标人的评标排序，依次推荐本项目（各采购包）的中标候选人，起草并签署评标报告。本项目（各采购包）评标委员会共（各）推荐</w:t>
      </w:r>
      <w:r>
        <w:rPr>
          <w:rFonts w:hint="eastAsia"/>
          <w:color w:val="auto"/>
          <w:sz w:val="24"/>
          <w:highlight w:val="none"/>
        </w:rPr>
        <w:t>所有进入评标排序且符合核心产品（如有）要求的投标人为</w:t>
      </w:r>
      <w:r>
        <w:rPr>
          <w:color w:val="auto"/>
          <w:sz w:val="24"/>
          <w:highlight w:val="none"/>
        </w:rPr>
        <w:t>中标候选人。</w:t>
      </w:r>
    </w:p>
    <w:p w14:paraId="1F58C888">
      <w:pPr>
        <w:numPr>
          <w:ilvl w:val="0"/>
          <w:numId w:val="11"/>
        </w:numPr>
        <w:tabs>
          <w:tab w:val="left" w:pos="360"/>
        </w:tabs>
        <w:snapToGrid w:val="0"/>
        <w:spacing w:line="360" w:lineRule="auto"/>
        <w:outlineLvl w:val="1"/>
        <w:rPr>
          <w:color w:val="auto"/>
          <w:sz w:val="24"/>
          <w:highlight w:val="none"/>
        </w:rPr>
      </w:pPr>
      <w:r>
        <w:rPr>
          <w:color w:val="auto"/>
          <w:sz w:val="24"/>
          <w:highlight w:val="none"/>
        </w:rPr>
        <w:t>报告违法行为</w:t>
      </w:r>
    </w:p>
    <w:p w14:paraId="309F9DAA">
      <w:pPr>
        <w:numPr>
          <w:ilvl w:val="1"/>
          <w:numId w:val="11"/>
        </w:numPr>
        <w:tabs>
          <w:tab w:val="left" w:pos="1080"/>
        </w:tabs>
        <w:snapToGrid w:val="0"/>
        <w:spacing w:line="360" w:lineRule="auto"/>
        <w:ind w:left="1077" w:hanging="720"/>
        <w:rPr>
          <w:color w:val="auto"/>
          <w:sz w:val="24"/>
          <w:highlight w:val="none"/>
        </w:rPr>
      </w:pPr>
      <w:r>
        <w:rPr>
          <w:color w:val="auto"/>
          <w:sz w:val="24"/>
          <w:highlight w:val="none"/>
        </w:rPr>
        <w:t>评标委员会在评标过程中发现投标人有行贿、提供虚假材料或者串通等违法行为时，有向采购人、采购代理机构或者有关部门报告的职责。</w:t>
      </w:r>
    </w:p>
    <w:p w14:paraId="3B7C9F6D">
      <w:pPr>
        <w:tabs>
          <w:tab w:val="left" w:pos="360"/>
          <w:tab w:val="left" w:pos="900"/>
        </w:tabs>
        <w:snapToGrid w:val="0"/>
        <w:spacing w:line="360" w:lineRule="auto"/>
        <w:jc w:val="center"/>
        <w:outlineLvl w:val="1"/>
        <w:rPr>
          <w:b/>
          <w:color w:val="auto"/>
          <w:sz w:val="24"/>
          <w:highlight w:val="none"/>
        </w:rPr>
      </w:pPr>
      <w:r>
        <w:rPr>
          <w:b/>
          <w:color w:val="auto"/>
          <w:sz w:val="24"/>
          <w:highlight w:val="none"/>
        </w:rPr>
        <w:br w:type="page"/>
      </w:r>
      <w:r>
        <w:rPr>
          <w:b/>
          <w:color w:val="auto"/>
          <w:sz w:val="24"/>
          <w:highlight w:val="none"/>
        </w:rPr>
        <w:t>二、评标标准</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267"/>
        <w:gridCol w:w="791"/>
        <w:gridCol w:w="4800"/>
        <w:gridCol w:w="683"/>
      </w:tblGrid>
      <w:tr w14:paraId="3CD82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tcBorders>
              <w:top w:val="single" w:color="auto" w:sz="6" w:space="0"/>
              <w:left w:val="single" w:color="auto" w:sz="6" w:space="0"/>
              <w:bottom w:val="single" w:color="auto" w:sz="6" w:space="0"/>
              <w:right w:val="single" w:color="auto" w:sz="4" w:space="0"/>
            </w:tcBorders>
            <w:noWrap w:val="0"/>
            <w:vAlign w:val="center"/>
          </w:tcPr>
          <w:p w14:paraId="7DB9EAEC">
            <w:pPr>
              <w:pStyle w:val="24"/>
              <w:jc w:val="center"/>
              <w:rPr>
                <w:rFonts w:ascii="Times New Roman" w:hAnsi="Times New Roman"/>
                <w:color w:val="auto"/>
                <w:highlight w:val="none"/>
              </w:rPr>
            </w:pPr>
            <w:r>
              <w:rPr>
                <w:rFonts w:ascii="Times New Roman" w:hAnsi="Times New Roman"/>
                <w:color w:val="auto"/>
                <w:highlight w:val="none"/>
              </w:rPr>
              <w:t>评分部分</w:t>
            </w:r>
          </w:p>
        </w:tc>
        <w:tc>
          <w:tcPr>
            <w:tcW w:w="1267" w:type="dxa"/>
            <w:tcBorders>
              <w:top w:val="single" w:color="auto" w:sz="6" w:space="0"/>
              <w:left w:val="single" w:color="auto" w:sz="4" w:space="0"/>
              <w:bottom w:val="single" w:color="auto" w:sz="6" w:space="0"/>
              <w:right w:val="single" w:color="auto" w:sz="6" w:space="0"/>
            </w:tcBorders>
            <w:noWrap w:val="0"/>
            <w:vAlign w:val="center"/>
          </w:tcPr>
          <w:p w14:paraId="1A9D37C4">
            <w:pPr>
              <w:pStyle w:val="24"/>
              <w:jc w:val="center"/>
              <w:rPr>
                <w:rFonts w:ascii="Times New Roman" w:hAnsi="Times New Roman"/>
                <w:color w:val="auto"/>
                <w:highlight w:val="none"/>
              </w:rPr>
            </w:pPr>
            <w:r>
              <w:rPr>
                <w:rFonts w:ascii="Times New Roman" w:hAnsi="Times New Roman"/>
                <w:color w:val="auto"/>
                <w:highlight w:val="none"/>
              </w:rPr>
              <w:t>评分因素</w:t>
            </w:r>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746256F6">
            <w:pPr>
              <w:pStyle w:val="24"/>
              <w:jc w:val="center"/>
              <w:rPr>
                <w:rFonts w:ascii="Times New Roman" w:hAnsi="Times New Roman"/>
                <w:color w:val="auto"/>
                <w:highlight w:val="none"/>
              </w:rPr>
            </w:pPr>
            <w:r>
              <w:rPr>
                <w:rFonts w:ascii="Times New Roman" w:hAnsi="Times New Roman"/>
                <w:color w:val="auto"/>
                <w:highlight w:val="none"/>
              </w:rPr>
              <w:t>分数</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6D00D698">
            <w:pPr>
              <w:pStyle w:val="24"/>
              <w:jc w:val="center"/>
              <w:rPr>
                <w:rFonts w:ascii="Times New Roman" w:hAnsi="Times New Roman"/>
                <w:color w:val="auto"/>
                <w:highlight w:val="none"/>
              </w:rPr>
            </w:pPr>
            <w:r>
              <w:rPr>
                <w:rFonts w:ascii="Times New Roman" w:hAnsi="Times New Roman"/>
                <w:color w:val="auto"/>
                <w:highlight w:val="none"/>
              </w:rPr>
              <w:t>评分标准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62E3E0E6">
            <w:pPr>
              <w:pStyle w:val="24"/>
              <w:jc w:val="center"/>
              <w:rPr>
                <w:rFonts w:ascii="Times New Roman" w:hAnsi="Times New Roman"/>
                <w:color w:val="auto"/>
                <w:highlight w:val="none"/>
              </w:rPr>
            </w:pPr>
            <w:r>
              <w:rPr>
                <w:rFonts w:ascii="Times New Roman" w:hAnsi="Times New Roman"/>
                <w:color w:val="auto"/>
                <w:highlight w:val="none"/>
              </w:rPr>
              <w:t>分值属性</w:t>
            </w:r>
          </w:p>
        </w:tc>
      </w:tr>
      <w:tr w14:paraId="54168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1242" w:type="dxa"/>
            <w:tcBorders>
              <w:top w:val="single" w:color="auto" w:sz="4" w:space="0"/>
              <w:left w:val="single" w:color="auto" w:sz="6" w:space="0"/>
              <w:right w:val="single" w:color="auto" w:sz="6" w:space="0"/>
            </w:tcBorders>
            <w:noWrap w:val="0"/>
            <w:vAlign w:val="center"/>
          </w:tcPr>
          <w:p w14:paraId="13EBB7E9">
            <w:pPr>
              <w:pStyle w:val="24"/>
              <w:rPr>
                <w:rFonts w:ascii="Times New Roman" w:hAnsi="Times New Roman"/>
                <w:color w:val="auto"/>
                <w:kern w:val="0"/>
                <w:highlight w:val="none"/>
              </w:rPr>
            </w:pPr>
            <w:bookmarkStart w:id="817" w:name="_Toc166775771"/>
            <w:r>
              <w:rPr>
                <w:rFonts w:ascii="Times New Roman" w:hAnsi="Times New Roman"/>
                <w:color w:val="auto"/>
                <w:kern w:val="0"/>
                <w:highlight w:val="none"/>
              </w:rPr>
              <w:t>价格部分（10分）</w:t>
            </w:r>
            <w:bookmarkEnd w:id="817"/>
          </w:p>
        </w:tc>
        <w:tc>
          <w:tcPr>
            <w:tcW w:w="1267" w:type="dxa"/>
            <w:tcBorders>
              <w:top w:val="single" w:color="auto" w:sz="6" w:space="0"/>
              <w:left w:val="single" w:color="auto" w:sz="6" w:space="0"/>
              <w:right w:val="single" w:color="auto" w:sz="6" w:space="0"/>
            </w:tcBorders>
            <w:noWrap w:val="0"/>
            <w:tcMar>
              <w:top w:w="100" w:type="dxa"/>
              <w:right w:w="100" w:type="dxa"/>
            </w:tcMar>
            <w:vAlign w:val="center"/>
          </w:tcPr>
          <w:p w14:paraId="602C7D2D">
            <w:pPr>
              <w:pStyle w:val="24"/>
              <w:rPr>
                <w:rFonts w:ascii="Times New Roman" w:hAnsi="Times New Roman"/>
                <w:color w:val="auto"/>
                <w:kern w:val="0"/>
                <w:highlight w:val="none"/>
              </w:rPr>
            </w:pPr>
            <w:bookmarkStart w:id="818" w:name="_Toc166775772"/>
            <w:r>
              <w:rPr>
                <w:rFonts w:ascii="Times New Roman" w:hAnsi="Times New Roman"/>
                <w:color w:val="auto"/>
                <w:kern w:val="0"/>
                <w:highlight w:val="none"/>
              </w:rPr>
              <w:t>价格</w:t>
            </w:r>
            <w:bookmarkEnd w:id="818"/>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12FCE5B8">
            <w:pPr>
              <w:pStyle w:val="24"/>
              <w:rPr>
                <w:rFonts w:ascii="Times New Roman" w:hAnsi="Times New Roman"/>
                <w:color w:val="auto"/>
                <w:kern w:val="0"/>
                <w:highlight w:val="none"/>
              </w:rPr>
            </w:pPr>
            <w:bookmarkStart w:id="819" w:name="_Toc166775773"/>
            <w:r>
              <w:rPr>
                <w:rFonts w:ascii="Times New Roman" w:hAnsi="Times New Roman"/>
                <w:color w:val="auto"/>
                <w:kern w:val="0"/>
                <w:highlight w:val="none"/>
              </w:rPr>
              <w:t>1</w:t>
            </w:r>
            <w:r>
              <w:rPr>
                <w:rFonts w:hint="default" w:ascii="Times New Roman" w:hAnsi="Times New Roman"/>
                <w:color w:val="auto"/>
                <w:kern w:val="0"/>
                <w:highlight w:val="none"/>
              </w:rPr>
              <w:t>0</w:t>
            </w:r>
            <w:r>
              <w:rPr>
                <w:rFonts w:ascii="Times New Roman" w:hAnsi="Times New Roman"/>
                <w:color w:val="auto"/>
                <w:kern w:val="0"/>
                <w:highlight w:val="none"/>
              </w:rPr>
              <w:t>分</w:t>
            </w:r>
            <w:bookmarkEnd w:id="819"/>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E9A4989">
            <w:pPr>
              <w:pStyle w:val="24"/>
              <w:rPr>
                <w:rFonts w:ascii="Times New Roman" w:hAnsi="Times New Roman"/>
                <w:color w:val="auto"/>
                <w:kern w:val="0"/>
                <w:highlight w:val="none"/>
              </w:rPr>
            </w:pPr>
            <w:r>
              <w:rPr>
                <w:rFonts w:ascii="Times New Roman" w:hAnsi="Times New Roman"/>
                <w:color w:val="auto"/>
                <w:kern w:val="0"/>
                <w:highlight w:val="none"/>
              </w:rPr>
              <w:t>满足招标文件要求且投标价格最低的投标报价为评标基准价，其价格分为满分。其他投标人的价格分统一按照下列公式计算：</w:t>
            </w:r>
          </w:p>
          <w:p w14:paraId="2C301433">
            <w:pPr>
              <w:pStyle w:val="24"/>
              <w:rPr>
                <w:rFonts w:ascii="Times New Roman" w:hAnsi="Times New Roman"/>
                <w:color w:val="auto"/>
                <w:kern w:val="0"/>
                <w:highlight w:val="none"/>
              </w:rPr>
            </w:pPr>
            <w:r>
              <w:rPr>
                <w:rFonts w:ascii="Times New Roman" w:hAnsi="Times New Roman"/>
                <w:color w:val="auto"/>
                <w:kern w:val="0"/>
                <w:highlight w:val="none"/>
              </w:rPr>
              <w:t>投标报价得分＝（评标基准价/投标报价）×1</w:t>
            </w:r>
            <w:r>
              <w:rPr>
                <w:rFonts w:hint="default" w:ascii="Times New Roman" w:hAnsi="Times New Roman"/>
                <w:color w:val="auto"/>
                <w:kern w:val="0"/>
                <w:highlight w:val="none"/>
              </w:rPr>
              <w:t>0</w:t>
            </w:r>
            <w:r>
              <w:rPr>
                <w:rFonts w:ascii="Times New Roman" w:hAnsi="Times New Roman"/>
                <w:color w:val="auto"/>
                <w:kern w:val="0"/>
                <w:highlight w:val="none"/>
              </w:rPr>
              <w:t>。</w:t>
            </w:r>
          </w:p>
          <w:p w14:paraId="28582A4B">
            <w:pPr>
              <w:pStyle w:val="24"/>
              <w:rPr>
                <w:rFonts w:ascii="Times New Roman" w:hAnsi="Times New Roman"/>
                <w:color w:val="auto"/>
                <w:kern w:val="0"/>
                <w:highlight w:val="none"/>
              </w:rPr>
            </w:pPr>
            <w:r>
              <w:rPr>
                <w:rFonts w:ascii="Times New Roman" w:hAnsi="Times New Roman"/>
                <w:color w:val="auto"/>
                <w:kern w:val="0"/>
                <w:highlight w:val="none"/>
              </w:rPr>
              <w:t>此处投标报价指经过报价修正，及因落实政府采购政策进行价格调整后的报价，详见第四章《评标程序、评标方法和评标标准》2.4及2.5</w:t>
            </w:r>
          </w:p>
        </w:tc>
        <w:tc>
          <w:tcPr>
            <w:tcW w:w="683" w:type="dxa"/>
            <w:tcBorders>
              <w:top w:val="single" w:color="auto" w:sz="6" w:space="0"/>
              <w:left w:val="single" w:color="auto" w:sz="6" w:space="0"/>
              <w:right w:val="single" w:color="auto" w:sz="6" w:space="0"/>
            </w:tcBorders>
            <w:noWrap w:val="0"/>
            <w:tcMar>
              <w:top w:w="100" w:type="dxa"/>
              <w:right w:w="100" w:type="dxa"/>
            </w:tcMar>
            <w:vAlign w:val="center"/>
          </w:tcPr>
          <w:p w14:paraId="33ACBD48">
            <w:pPr>
              <w:pStyle w:val="24"/>
              <w:rPr>
                <w:rFonts w:ascii="Times New Roman" w:hAnsi="Times New Roman"/>
                <w:color w:val="auto"/>
                <w:kern w:val="0"/>
                <w:highlight w:val="none"/>
              </w:rPr>
            </w:pPr>
            <w:r>
              <w:rPr>
                <w:rFonts w:ascii="Times New Roman" w:hAnsi="Times New Roman"/>
                <w:color w:val="auto"/>
                <w:kern w:val="0"/>
                <w:highlight w:val="none"/>
              </w:rPr>
              <w:t>客观</w:t>
            </w:r>
          </w:p>
        </w:tc>
      </w:tr>
      <w:tr w14:paraId="6041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1242" w:type="dxa"/>
            <w:vMerge w:val="restart"/>
            <w:tcBorders>
              <w:top w:val="single" w:color="auto" w:sz="4" w:space="0"/>
              <w:left w:val="single" w:color="auto" w:sz="6" w:space="0"/>
              <w:right w:val="single" w:color="auto" w:sz="6" w:space="0"/>
            </w:tcBorders>
            <w:noWrap w:val="0"/>
            <w:vAlign w:val="center"/>
          </w:tcPr>
          <w:p w14:paraId="1B919EE3">
            <w:pPr>
              <w:pStyle w:val="24"/>
              <w:rPr>
                <w:rFonts w:ascii="Times New Roman" w:hAnsi="Times New Roman"/>
                <w:color w:val="auto"/>
                <w:kern w:val="0"/>
                <w:highlight w:val="none"/>
              </w:rPr>
            </w:pPr>
            <w:bookmarkStart w:id="820" w:name="_Toc166775774"/>
            <w:r>
              <w:rPr>
                <w:rFonts w:ascii="Times New Roman" w:hAnsi="Times New Roman"/>
                <w:color w:val="auto"/>
                <w:kern w:val="0"/>
                <w:highlight w:val="none"/>
              </w:rPr>
              <w:t>商务部分</w:t>
            </w:r>
            <w:bookmarkEnd w:id="820"/>
          </w:p>
          <w:p w14:paraId="5B7CD3E6">
            <w:pPr>
              <w:pStyle w:val="24"/>
              <w:rPr>
                <w:rFonts w:ascii="Times New Roman" w:hAnsi="Times New Roman"/>
                <w:color w:val="auto"/>
                <w:highlight w:val="none"/>
              </w:rPr>
            </w:pPr>
            <w:bookmarkStart w:id="821" w:name="_Toc166775775"/>
            <w:r>
              <w:rPr>
                <w:rFonts w:ascii="Times New Roman" w:hAnsi="Times New Roman"/>
                <w:color w:val="auto"/>
                <w:kern w:val="0"/>
                <w:highlight w:val="none"/>
              </w:rPr>
              <w:t>（16分）</w:t>
            </w:r>
            <w:bookmarkEnd w:id="821"/>
          </w:p>
        </w:tc>
        <w:tc>
          <w:tcPr>
            <w:tcW w:w="1267"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02D4F5EF">
            <w:pPr>
              <w:pStyle w:val="24"/>
              <w:rPr>
                <w:rFonts w:ascii="Times New Roman" w:hAnsi="Times New Roman"/>
                <w:color w:val="auto"/>
                <w:kern w:val="0"/>
                <w:highlight w:val="none"/>
              </w:rPr>
            </w:pPr>
            <w:bookmarkStart w:id="822" w:name="_Toc166775776"/>
            <w:r>
              <w:rPr>
                <w:rFonts w:ascii="Times New Roman" w:hAnsi="Times New Roman"/>
                <w:color w:val="auto"/>
                <w:kern w:val="0"/>
                <w:highlight w:val="none"/>
              </w:rPr>
              <w:t>管理体系认证</w:t>
            </w:r>
            <w:bookmarkEnd w:id="822"/>
            <w:r>
              <w:rPr>
                <w:rFonts w:ascii="Times New Roman" w:hAnsi="Times New Roman"/>
                <w:color w:val="auto"/>
                <w:kern w:val="0"/>
                <w:highlight w:val="none"/>
              </w:rPr>
              <w:t>及其他资质</w:t>
            </w:r>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7BAFBFF">
            <w:pPr>
              <w:pStyle w:val="24"/>
              <w:rPr>
                <w:rFonts w:ascii="Times New Roman" w:hAnsi="Times New Roman"/>
                <w:color w:val="auto"/>
                <w:kern w:val="0"/>
                <w:highlight w:val="none"/>
              </w:rPr>
            </w:pPr>
            <w:bookmarkStart w:id="823" w:name="_Toc166775777"/>
            <w:r>
              <w:rPr>
                <w:rFonts w:ascii="Times New Roman" w:hAnsi="Times New Roman"/>
                <w:color w:val="auto"/>
                <w:kern w:val="0"/>
                <w:highlight w:val="none"/>
              </w:rPr>
              <w:t>6分</w:t>
            </w:r>
            <w:bookmarkEnd w:id="823"/>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7DA4BFB4">
            <w:pPr>
              <w:rPr>
                <w:color w:val="auto"/>
                <w:highlight w:val="none"/>
              </w:rPr>
            </w:pPr>
            <w:bookmarkStart w:id="824" w:name="_Toc166775778"/>
            <w:r>
              <w:rPr>
                <w:color w:val="auto"/>
                <w:kern w:val="0"/>
                <w:highlight w:val="none"/>
              </w:rPr>
              <w:t>投标人具有有效期内的质量管理体系认证证书、环境管理体系认证证书、职业健康安全管理体系认证证书，均需提供证书复印件，每提供1项得2分，最高6分。不提供不得分。</w:t>
            </w:r>
            <w:bookmarkEnd w:id="824"/>
          </w:p>
          <w:p w14:paraId="1AFC4468">
            <w:pPr>
              <w:pStyle w:val="24"/>
              <w:rPr>
                <w:rFonts w:ascii="Times New Roman" w:hAnsi="Times New Roman"/>
                <w:color w:val="auto"/>
                <w:kern w:val="0"/>
                <w:highlight w:val="none"/>
                <w:lang w:val="zh-CN"/>
              </w:rPr>
            </w:pP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5BE6E8F">
            <w:pPr>
              <w:pStyle w:val="24"/>
              <w:rPr>
                <w:rFonts w:ascii="Times New Roman" w:hAnsi="Times New Roman"/>
                <w:color w:val="auto"/>
                <w:kern w:val="0"/>
                <w:highlight w:val="none"/>
              </w:rPr>
            </w:pPr>
            <w:bookmarkStart w:id="825" w:name="_Toc166775779"/>
            <w:r>
              <w:rPr>
                <w:rFonts w:ascii="Times New Roman" w:hAnsi="Times New Roman"/>
                <w:color w:val="auto"/>
                <w:kern w:val="0"/>
                <w:highlight w:val="none"/>
              </w:rPr>
              <w:t>客观</w:t>
            </w:r>
            <w:bookmarkEnd w:id="825"/>
          </w:p>
        </w:tc>
      </w:tr>
      <w:tr w14:paraId="0C7D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continue"/>
            <w:tcBorders>
              <w:left w:val="single" w:color="auto" w:sz="6" w:space="0"/>
              <w:right w:val="single" w:color="auto" w:sz="6" w:space="0"/>
            </w:tcBorders>
            <w:noWrap w:val="0"/>
            <w:vAlign w:val="center"/>
          </w:tcPr>
          <w:p w14:paraId="1B874888">
            <w:pPr>
              <w:pStyle w:val="24"/>
              <w:rPr>
                <w:rFonts w:ascii="Times New Roman" w:hAnsi="Times New Roman"/>
                <w:color w:val="auto"/>
                <w:highlight w:val="none"/>
              </w:rPr>
            </w:pPr>
          </w:p>
        </w:tc>
        <w:tc>
          <w:tcPr>
            <w:tcW w:w="1267"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066C90DD">
            <w:pPr>
              <w:pStyle w:val="24"/>
              <w:rPr>
                <w:rFonts w:ascii="Times New Roman" w:hAnsi="Times New Roman"/>
                <w:color w:val="auto"/>
                <w:kern w:val="0"/>
                <w:highlight w:val="none"/>
              </w:rPr>
            </w:pPr>
            <w:bookmarkStart w:id="826" w:name="_Toc166775780"/>
            <w:r>
              <w:rPr>
                <w:rFonts w:ascii="Times New Roman" w:hAnsi="Times New Roman"/>
                <w:color w:val="auto"/>
                <w:kern w:val="0"/>
                <w:highlight w:val="none"/>
              </w:rPr>
              <w:t>企业业绩及经验</w:t>
            </w:r>
            <w:bookmarkEnd w:id="826"/>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078D5D0A">
            <w:pPr>
              <w:pStyle w:val="24"/>
              <w:rPr>
                <w:rFonts w:ascii="Times New Roman" w:hAnsi="Times New Roman"/>
                <w:color w:val="auto"/>
                <w:kern w:val="0"/>
                <w:highlight w:val="none"/>
              </w:rPr>
            </w:pPr>
            <w:r>
              <w:rPr>
                <w:rFonts w:ascii="Times New Roman" w:hAnsi="Times New Roman"/>
                <w:color w:val="auto"/>
                <w:kern w:val="0"/>
                <w:highlight w:val="none"/>
              </w:rPr>
              <w:t>10分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191B679">
            <w:pPr>
              <w:pStyle w:val="24"/>
              <w:rPr>
                <w:rFonts w:ascii="Times New Roman" w:hAnsi="Times New Roman"/>
                <w:color w:val="auto"/>
                <w:kern w:val="0"/>
                <w:highlight w:val="none"/>
              </w:rPr>
            </w:pPr>
            <w:r>
              <w:rPr>
                <w:rFonts w:ascii="Times New Roman" w:hAnsi="Times New Roman"/>
                <w:color w:val="auto"/>
                <w:kern w:val="0"/>
                <w:highlight w:val="none"/>
              </w:rPr>
              <w:t>从2018年1月1日至递交投标文件截止日承担过</w:t>
            </w:r>
            <w:r>
              <w:rPr>
                <w:color w:val="auto"/>
                <w:highlight w:val="none"/>
              </w:rPr>
              <w:t>及正在履约</w:t>
            </w:r>
            <w:r>
              <w:rPr>
                <w:rFonts w:ascii="Times New Roman" w:hAnsi="Times New Roman"/>
                <w:color w:val="auto"/>
                <w:kern w:val="0"/>
                <w:highlight w:val="none"/>
              </w:rPr>
              <w:t>的类似项目业绩，根据合同（关键页复印件，复印件内容需体现合同名称、签订双方名称、合同金额、签订时间、主要服务内容以及双方盖章页）。类似项目业绩（至少包含保洁内容案例，每提供一个案例得1分，满分10分，未按要求提供完整材料的，不得分；一个单位分年度多次签订的案例，计入1个案例；同一个项目，分两期或以上建设完成的，计入1个案例。(以合同签订日期为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3469A88">
            <w:pPr>
              <w:pStyle w:val="24"/>
              <w:rPr>
                <w:rFonts w:ascii="Times New Roman" w:hAnsi="Times New Roman"/>
                <w:color w:val="auto"/>
                <w:kern w:val="0"/>
                <w:highlight w:val="none"/>
              </w:rPr>
            </w:pPr>
            <w:bookmarkStart w:id="827" w:name="_Toc166775783"/>
            <w:r>
              <w:rPr>
                <w:rFonts w:ascii="Times New Roman" w:hAnsi="Times New Roman"/>
                <w:color w:val="auto"/>
                <w:kern w:val="0"/>
                <w:highlight w:val="none"/>
              </w:rPr>
              <w:t>客观</w:t>
            </w:r>
            <w:bookmarkEnd w:id="827"/>
          </w:p>
        </w:tc>
      </w:tr>
      <w:tr w14:paraId="1D2B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242" w:type="dxa"/>
            <w:vMerge w:val="restart"/>
            <w:tcBorders>
              <w:left w:val="single" w:color="auto" w:sz="6" w:space="0"/>
              <w:right w:val="single" w:color="auto" w:sz="6" w:space="0"/>
            </w:tcBorders>
            <w:noWrap w:val="0"/>
            <w:vAlign w:val="center"/>
          </w:tcPr>
          <w:p w14:paraId="4B8CFB55">
            <w:pPr>
              <w:pStyle w:val="24"/>
              <w:rPr>
                <w:rFonts w:ascii="Times New Roman" w:hAnsi="Times New Roman"/>
                <w:color w:val="auto"/>
                <w:highlight w:val="none"/>
              </w:rPr>
            </w:pPr>
            <w:r>
              <w:rPr>
                <w:rFonts w:ascii="Times New Roman" w:hAnsi="Times New Roman"/>
                <w:color w:val="auto"/>
                <w:highlight w:val="none"/>
              </w:rPr>
              <w:t>技术部分</w:t>
            </w:r>
          </w:p>
          <w:p w14:paraId="414FE263">
            <w:pPr>
              <w:pStyle w:val="24"/>
              <w:ind w:firstLine="210" w:firstLineChars="100"/>
              <w:rPr>
                <w:rFonts w:ascii="Times New Roman" w:hAnsi="Times New Roman"/>
                <w:color w:val="auto"/>
                <w:highlight w:val="none"/>
              </w:rPr>
            </w:pPr>
            <w:r>
              <w:rPr>
                <w:rFonts w:ascii="Times New Roman" w:hAnsi="Times New Roman"/>
                <w:color w:val="auto"/>
                <w:highlight w:val="none"/>
              </w:rPr>
              <w:t>（74分）</w:t>
            </w:r>
          </w:p>
        </w:tc>
        <w:tc>
          <w:tcPr>
            <w:tcW w:w="1267"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523D3866">
            <w:pPr>
              <w:pStyle w:val="24"/>
              <w:rPr>
                <w:rFonts w:ascii="Times New Roman" w:hAnsi="Times New Roman"/>
                <w:color w:val="auto"/>
                <w:highlight w:val="none"/>
                <w:lang w:val="zh-CN"/>
              </w:rPr>
            </w:pPr>
            <w:r>
              <w:rPr>
                <w:rFonts w:ascii="Times New Roman" w:hAnsi="Times New Roman"/>
                <w:color w:val="auto"/>
                <w:kern w:val="0"/>
                <w:highlight w:val="none"/>
              </w:rPr>
              <w:t>服务方案及相关制度措施-针对本项目的重点工作方案</w:t>
            </w:r>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547EAEA8">
            <w:pPr>
              <w:pStyle w:val="24"/>
              <w:rPr>
                <w:rFonts w:ascii="Times New Roman" w:hAnsi="Times New Roman"/>
                <w:color w:val="auto"/>
                <w:kern w:val="0"/>
                <w:highlight w:val="none"/>
              </w:rPr>
            </w:pPr>
            <w:r>
              <w:rPr>
                <w:rFonts w:ascii="Times New Roman" w:hAnsi="Times New Roman"/>
                <w:color w:val="auto"/>
                <w:kern w:val="0"/>
                <w:highlight w:val="none"/>
              </w:rPr>
              <w:t>36分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81871A2">
            <w:pPr>
              <w:pStyle w:val="24"/>
              <w:rPr>
                <w:rFonts w:ascii="Times New Roman" w:hAnsi="Times New Roman"/>
                <w:color w:val="auto"/>
                <w:kern w:val="0"/>
                <w:highlight w:val="none"/>
              </w:rPr>
            </w:pPr>
            <w:r>
              <w:rPr>
                <w:rFonts w:ascii="Times New Roman" w:hAnsi="Times New Roman"/>
                <w:color w:val="auto"/>
                <w:kern w:val="0"/>
                <w:highlight w:val="none"/>
              </w:rPr>
              <w:t>针对本项目的制度</w:t>
            </w:r>
            <w:r>
              <w:rPr>
                <w:rFonts w:hint="default" w:ascii="Times New Roman" w:hAnsi="Times New Roman"/>
                <w:color w:val="auto"/>
                <w:kern w:val="0"/>
                <w:highlight w:val="none"/>
              </w:rPr>
              <w:t>或</w:t>
            </w:r>
            <w:r>
              <w:rPr>
                <w:rFonts w:ascii="Times New Roman" w:hAnsi="Times New Roman"/>
                <w:color w:val="auto"/>
                <w:kern w:val="0"/>
                <w:highlight w:val="none"/>
              </w:rPr>
              <w:t>重点工作方案(包括但不限于以下方案)</w:t>
            </w:r>
          </w:p>
          <w:p w14:paraId="07059904">
            <w:pPr>
              <w:pStyle w:val="24"/>
              <w:rPr>
                <w:rFonts w:ascii="Times New Roman" w:hAnsi="Times New Roman"/>
                <w:color w:val="auto"/>
                <w:kern w:val="0"/>
                <w:highlight w:val="none"/>
              </w:rPr>
            </w:pPr>
            <w:r>
              <w:rPr>
                <w:rFonts w:ascii="Times New Roman" w:hAnsi="Times New Roman"/>
                <w:color w:val="auto"/>
                <w:kern w:val="0"/>
                <w:highlight w:val="none"/>
              </w:rPr>
              <w:t>①安全管理制度</w:t>
            </w:r>
          </w:p>
          <w:p w14:paraId="22DBAFC7">
            <w:pPr>
              <w:pStyle w:val="24"/>
              <w:rPr>
                <w:rFonts w:ascii="Times New Roman" w:hAnsi="Times New Roman"/>
                <w:color w:val="auto"/>
                <w:kern w:val="0"/>
                <w:highlight w:val="none"/>
              </w:rPr>
            </w:pPr>
            <w:r>
              <w:rPr>
                <w:rFonts w:ascii="Times New Roman" w:hAnsi="Times New Roman"/>
                <w:color w:val="auto"/>
                <w:kern w:val="0"/>
                <w:highlight w:val="none"/>
              </w:rPr>
              <w:t>②人员管理制度</w:t>
            </w:r>
          </w:p>
          <w:p w14:paraId="2E306B6F">
            <w:pPr>
              <w:pStyle w:val="24"/>
              <w:rPr>
                <w:rFonts w:ascii="Times New Roman" w:hAnsi="Times New Roman"/>
                <w:color w:val="auto"/>
                <w:kern w:val="0"/>
                <w:highlight w:val="none"/>
              </w:rPr>
            </w:pPr>
            <w:r>
              <w:rPr>
                <w:rFonts w:ascii="Times New Roman" w:hAnsi="Times New Roman"/>
                <w:color w:val="auto"/>
                <w:kern w:val="0"/>
                <w:highlight w:val="none"/>
              </w:rPr>
              <w:t>③考勤制度</w:t>
            </w:r>
          </w:p>
          <w:p w14:paraId="63C59FBE">
            <w:pPr>
              <w:pStyle w:val="24"/>
              <w:rPr>
                <w:rFonts w:ascii="Times New Roman" w:hAnsi="Times New Roman"/>
                <w:color w:val="auto"/>
                <w:kern w:val="0"/>
                <w:highlight w:val="none"/>
              </w:rPr>
            </w:pPr>
            <w:r>
              <w:rPr>
                <w:rFonts w:ascii="Times New Roman" w:hAnsi="Times New Roman"/>
                <w:color w:val="auto"/>
                <w:kern w:val="0"/>
                <w:highlight w:val="none"/>
              </w:rPr>
              <w:t>④清洁服务方案（包括病区、公区、办公区域）</w:t>
            </w:r>
          </w:p>
          <w:p w14:paraId="32AF283A">
            <w:pPr>
              <w:pStyle w:val="24"/>
              <w:rPr>
                <w:rFonts w:ascii="Times New Roman" w:hAnsi="Times New Roman"/>
                <w:color w:val="auto"/>
                <w:kern w:val="0"/>
                <w:highlight w:val="none"/>
              </w:rPr>
            </w:pPr>
            <w:r>
              <w:rPr>
                <w:rFonts w:ascii="Times New Roman" w:hAnsi="Times New Roman"/>
                <w:color w:val="auto"/>
                <w:kern w:val="0"/>
                <w:highlight w:val="none"/>
              </w:rPr>
              <w:t>⑤垃圾处理方案</w:t>
            </w:r>
          </w:p>
          <w:p w14:paraId="63D90873">
            <w:pPr>
              <w:pStyle w:val="24"/>
              <w:rPr>
                <w:rFonts w:ascii="Times New Roman" w:hAnsi="Times New Roman"/>
                <w:color w:val="auto"/>
                <w:kern w:val="0"/>
                <w:highlight w:val="none"/>
              </w:rPr>
            </w:pPr>
            <w:r>
              <w:rPr>
                <w:rFonts w:ascii="Times New Roman" w:hAnsi="Times New Roman"/>
                <w:color w:val="auto"/>
                <w:kern w:val="0"/>
                <w:highlight w:val="none"/>
              </w:rPr>
              <w:t>⑥预防交叉感染控制方案</w:t>
            </w:r>
          </w:p>
          <w:p w14:paraId="33F558E0">
            <w:pPr>
              <w:pStyle w:val="24"/>
              <w:rPr>
                <w:rFonts w:ascii="Times New Roman" w:hAnsi="Times New Roman"/>
                <w:color w:val="auto"/>
                <w:kern w:val="0"/>
                <w:highlight w:val="none"/>
              </w:rPr>
            </w:pPr>
            <w:r>
              <w:rPr>
                <w:rFonts w:ascii="Times New Roman" w:hAnsi="Times New Roman"/>
                <w:color w:val="auto"/>
                <w:kern w:val="0"/>
                <w:highlight w:val="none"/>
              </w:rPr>
              <w:t>⑦医疗废弃物处理信息化服务方案</w:t>
            </w:r>
          </w:p>
          <w:p w14:paraId="11C58EBD">
            <w:pPr>
              <w:pStyle w:val="24"/>
              <w:rPr>
                <w:rFonts w:ascii="Times New Roman" w:hAnsi="Times New Roman"/>
                <w:color w:val="auto"/>
                <w:kern w:val="0"/>
                <w:highlight w:val="none"/>
              </w:rPr>
            </w:pPr>
            <w:r>
              <w:rPr>
                <w:rFonts w:ascii="Times New Roman" w:hAnsi="Times New Roman"/>
                <w:color w:val="auto"/>
                <w:kern w:val="0"/>
                <w:highlight w:val="none"/>
              </w:rPr>
              <w:t>⑧人员稳定性及培训方案</w:t>
            </w:r>
          </w:p>
          <w:p w14:paraId="70690201">
            <w:pPr>
              <w:pStyle w:val="24"/>
              <w:rPr>
                <w:rFonts w:ascii="Times New Roman" w:hAnsi="Times New Roman"/>
                <w:color w:val="auto"/>
                <w:kern w:val="0"/>
                <w:highlight w:val="none"/>
              </w:rPr>
            </w:pPr>
            <w:r>
              <w:rPr>
                <w:rFonts w:ascii="Times New Roman" w:hAnsi="Times New Roman"/>
                <w:color w:val="auto"/>
                <w:kern w:val="0"/>
                <w:highlight w:val="none"/>
              </w:rPr>
              <w:t>⑨清洁设备配备方案（包含清洁机械设备配备方案、清洁耗材配备方案。）</w:t>
            </w:r>
          </w:p>
          <w:p w14:paraId="499BBB73">
            <w:pPr>
              <w:pStyle w:val="24"/>
              <w:rPr>
                <w:rFonts w:ascii="Times New Roman" w:hAnsi="Times New Roman"/>
                <w:color w:val="auto"/>
                <w:kern w:val="0"/>
                <w:highlight w:val="none"/>
              </w:rPr>
            </w:pPr>
            <w:r>
              <w:rPr>
                <w:rFonts w:ascii="Times New Roman" w:hAnsi="Times New Roman"/>
                <w:color w:val="auto"/>
                <w:kern w:val="0"/>
                <w:highlight w:val="none"/>
              </w:rPr>
              <w:t>制度</w:t>
            </w:r>
            <w:r>
              <w:rPr>
                <w:rFonts w:hint="default" w:ascii="Times New Roman" w:hAnsi="Times New Roman"/>
                <w:color w:val="auto"/>
                <w:kern w:val="0"/>
                <w:highlight w:val="none"/>
              </w:rPr>
              <w:t>或</w:t>
            </w:r>
            <w:r>
              <w:rPr>
                <w:rFonts w:ascii="Times New Roman" w:hAnsi="Times New Roman"/>
                <w:color w:val="auto"/>
                <w:kern w:val="0"/>
                <w:highlight w:val="none"/>
              </w:rPr>
              <w:t>方案内容详细，专门针对本项目，符合采购需求和实际情况视为符合；制度或方案内容属于通用类，非专门针对本项目，部分符合实际情况视为部分符合；制度或方案内容复制粘贴采购需求，不符合实际情况或未提供视为不符合。①至⑨项符合得4分，部分符合得2分，不符合不得分。此项最高36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08A7B30">
            <w:pPr>
              <w:pStyle w:val="24"/>
              <w:rPr>
                <w:rFonts w:ascii="Times New Roman" w:hAnsi="Times New Roman"/>
                <w:color w:val="auto"/>
                <w:kern w:val="0"/>
                <w:highlight w:val="none"/>
              </w:rPr>
            </w:pPr>
            <w:r>
              <w:rPr>
                <w:rFonts w:ascii="Times New Roman" w:hAnsi="Times New Roman"/>
                <w:color w:val="auto"/>
                <w:kern w:val="0"/>
                <w:highlight w:val="none"/>
              </w:rPr>
              <w:t>主观</w:t>
            </w:r>
          </w:p>
        </w:tc>
      </w:tr>
      <w:tr w14:paraId="546F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42" w:type="dxa"/>
            <w:vMerge w:val="continue"/>
            <w:tcBorders>
              <w:left w:val="single" w:color="auto" w:sz="6" w:space="0"/>
              <w:right w:val="single" w:color="auto" w:sz="6" w:space="0"/>
            </w:tcBorders>
            <w:noWrap w:val="0"/>
            <w:vAlign w:val="center"/>
          </w:tcPr>
          <w:p w14:paraId="2786EAE9">
            <w:pPr>
              <w:pStyle w:val="24"/>
              <w:rPr>
                <w:rFonts w:ascii="Times New Roman" w:hAnsi="Times New Roman"/>
                <w:color w:val="auto"/>
                <w:highlight w:val="none"/>
                <w:lang w:val="zh-CN"/>
              </w:rPr>
            </w:pPr>
          </w:p>
        </w:tc>
        <w:tc>
          <w:tcPr>
            <w:tcW w:w="1267" w:type="dxa"/>
            <w:tcBorders>
              <w:left w:val="single" w:color="auto" w:sz="6" w:space="0"/>
              <w:bottom w:val="single" w:color="auto" w:sz="6" w:space="0"/>
              <w:right w:val="single" w:color="auto" w:sz="6" w:space="0"/>
            </w:tcBorders>
            <w:noWrap w:val="0"/>
            <w:tcMar>
              <w:top w:w="100" w:type="dxa"/>
              <w:right w:w="100" w:type="dxa"/>
            </w:tcMar>
            <w:vAlign w:val="center"/>
          </w:tcPr>
          <w:p w14:paraId="25448755">
            <w:pPr>
              <w:pStyle w:val="24"/>
              <w:rPr>
                <w:rFonts w:ascii="Times New Roman" w:hAnsi="Times New Roman"/>
                <w:color w:val="auto"/>
                <w:highlight w:val="none"/>
                <w:lang w:val="zh-CN"/>
              </w:rPr>
            </w:pPr>
            <w:r>
              <w:rPr>
                <w:rFonts w:ascii="Times New Roman" w:hAnsi="Times New Roman"/>
                <w:color w:val="auto"/>
                <w:kern w:val="0"/>
                <w:highlight w:val="none"/>
                <w:lang w:val="zh-CN"/>
              </w:rPr>
              <w:t>整体设想及策划</w:t>
            </w:r>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3F04D5A4">
            <w:pPr>
              <w:pStyle w:val="24"/>
              <w:rPr>
                <w:rFonts w:ascii="Times New Roman" w:hAnsi="Times New Roman"/>
                <w:color w:val="auto"/>
                <w:kern w:val="0"/>
                <w:highlight w:val="none"/>
              </w:rPr>
            </w:pPr>
            <w:bookmarkStart w:id="828" w:name="_Toc166775792"/>
            <w:r>
              <w:rPr>
                <w:rFonts w:ascii="Times New Roman" w:hAnsi="Times New Roman"/>
                <w:color w:val="auto"/>
                <w:kern w:val="0"/>
                <w:highlight w:val="none"/>
              </w:rPr>
              <w:t>5分</w:t>
            </w:r>
            <w:bookmarkEnd w:id="828"/>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1B1E514">
            <w:pPr>
              <w:pStyle w:val="24"/>
              <w:rPr>
                <w:rFonts w:ascii="Times New Roman" w:hAnsi="Times New Roman"/>
                <w:color w:val="auto"/>
                <w:kern w:val="0"/>
                <w:highlight w:val="none"/>
                <w:lang w:val="zh-CN"/>
              </w:rPr>
            </w:pPr>
            <w:bookmarkStart w:id="829" w:name="_Toc166775793"/>
            <w:r>
              <w:rPr>
                <w:rFonts w:ascii="Times New Roman" w:hAnsi="Times New Roman"/>
                <w:color w:val="auto"/>
                <w:kern w:val="0"/>
                <w:highlight w:val="none"/>
              </w:rPr>
              <w:t>针对本项目具有完善的组织架构及管理制度，包括①组织架构②岗位职责③奖惩制度④项目管理制度⑤检查评价制度。整体设想及策划内容详细且完善，符合采购需求和实际情况视为符合；内容有缺陷，不能完全符合采购需求和实际情况视为部分符合；内容复制粘贴采购需求，不符合实际情况或未提供视为不符合。以上每一项符合得1分，部分符合得0.5分，不符合不得分，此项最高5分。</w:t>
            </w:r>
            <w:bookmarkEnd w:id="829"/>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79F1687">
            <w:pPr>
              <w:pStyle w:val="24"/>
              <w:rPr>
                <w:rFonts w:ascii="Times New Roman" w:hAnsi="Times New Roman"/>
                <w:color w:val="auto"/>
                <w:kern w:val="0"/>
                <w:highlight w:val="none"/>
              </w:rPr>
            </w:pPr>
            <w:bookmarkStart w:id="830" w:name="_Toc166775794"/>
            <w:r>
              <w:rPr>
                <w:rFonts w:ascii="Times New Roman" w:hAnsi="Times New Roman"/>
                <w:color w:val="auto"/>
                <w:kern w:val="0"/>
                <w:highlight w:val="none"/>
              </w:rPr>
              <w:t>主观</w:t>
            </w:r>
            <w:bookmarkEnd w:id="830"/>
          </w:p>
        </w:tc>
      </w:tr>
      <w:tr w14:paraId="41B1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242" w:type="dxa"/>
            <w:vMerge w:val="continue"/>
            <w:tcBorders>
              <w:left w:val="single" w:color="auto" w:sz="6" w:space="0"/>
              <w:right w:val="single" w:color="auto" w:sz="6" w:space="0"/>
            </w:tcBorders>
            <w:noWrap w:val="0"/>
            <w:vAlign w:val="center"/>
          </w:tcPr>
          <w:p w14:paraId="6A2B67BB">
            <w:pPr>
              <w:pStyle w:val="24"/>
              <w:rPr>
                <w:rFonts w:ascii="Times New Roman" w:hAnsi="Times New Roman"/>
                <w:color w:val="auto"/>
                <w:highlight w:val="none"/>
                <w:lang w:val="zh-CN"/>
              </w:rPr>
            </w:pPr>
          </w:p>
        </w:tc>
        <w:tc>
          <w:tcPr>
            <w:tcW w:w="1267" w:type="dxa"/>
            <w:tcBorders>
              <w:top w:val="single" w:color="auto" w:sz="6" w:space="0"/>
              <w:left w:val="single" w:color="auto" w:sz="6" w:space="0"/>
              <w:bottom w:val="single" w:color="auto" w:sz="4" w:space="0"/>
              <w:right w:val="single" w:color="auto" w:sz="6" w:space="0"/>
            </w:tcBorders>
            <w:noWrap w:val="0"/>
            <w:vAlign w:val="center"/>
          </w:tcPr>
          <w:p w14:paraId="6F1B21E9">
            <w:pPr>
              <w:pStyle w:val="24"/>
              <w:rPr>
                <w:rFonts w:ascii="Times New Roman" w:hAnsi="Times New Roman"/>
                <w:color w:val="auto"/>
                <w:kern w:val="0"/>
                <w:highlight w:val="none"/>
                <w:lang w:val="zh-CN"/>
              </w:rPr>
            </w:pPr>
            <w:bookmarkStart w:id="831" w:name="_Toc166775866"/>
            <w:r>
              <w:rPr>
                <w:rFonts w:ascii="Times New Roman" w:hAnsi="Times New Roman"/>
                <w:color w:val="auto"/>
                <w:kern w:val="0"/>
                <w:highlight w:val="none"/>
              </w:rPr>
              <w:t>应急预案</w:t>
            </w:r>
            <w:bookmarkEnd w:id="831"/>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158D0934">
            <w:pPr>
              <w:pStyle w:val="24"/>
              <w:rPr>
                <w:rFonts w:ascii="Times New Roman" w:hAnsi="Times New Roman"/>
                <w:color w:val="auto"/>
                <w:kern w:val="0"/>
                <w:highlight w:val="none"/>
              </w:rPr>
            </w:pPr>
            <w:bookmarkStart w:id="832" w:name="_Toc166775867"/>
            <w:r>
              <w:rPr>
                <w:rFonts w:ascii="Times New Roman" w:hAnsi="Times New Roman"/>
                <w:color w:val="auto"/>
                <w:kern w:val="0"/>
                <w:highlight w:val="none"/>
              </w:rPr>
              <w:t>12分</w:t>
            </w:r>
            <w:bookmarkEnd w:id="832"/>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37104908">
            <w:pPr>
              <w:pStyle w:val="24"/>
              <w:rPr>
                <w:rFonts w:ascii="Times New Roman" w:hAnsi="Times New Roman"/>
                <w:color w:val="auto"/>
                <w:kern w:val="0"/>
                <w:highlight w:val="none"/>
              </w:rPr>
            </w:pPr>
            <w:bookmarkStart w:id="833" w:name="_Toc166775868"/>
            <w:r>
              <w:rPr>
                <w:rFonts w:ascii="Times New Roman" w:hAnsi="Times New Roman"/>
                <w:color w:val="auto"/>
                <w:kern w:val="0"/>
                <w:highlight w:val="none"/>
              </w:rPr>
              <w:t>物业服务区域内各级各类应急预案，对突发事件应急预案及相应的措施，包括：</w:t>
            </w:r>
            <w:bookmarkEnd w:id="833"/>
          </w:p>
          <w:p w14:paraId="6540E12C">
            <w:pPr>
              <w:pStyle w:val="24"/>
              <w:rPr>
                <w:rFonts w:ascii="Times New Roman" w:hAnsi="Times New Roman"/>
                <w:color w:val="auto"/>
                <w:kern w:val="0"/>
                <w:highlight w:val="none"/>
              </w:rPr>
            </w:pPr>
            <w:bookmarkStart w:id="834" w:name="_Toc166775869"/>
            <w:r>
              <w:rPr>
                <w:rFonts w:ascii="Times New Roman" w:hAnsi="Times New Roman"/>
                <w:color w:val="auto"/>
                <w:kern w:val="0"/>
                <w:highlight w:val="none"/>
              </w:rPr>
              <w:t>①</w:t>
            </w:r>
            <w:r>
              <w:rPr>
                <w:rFonts w:hAnsi="宋体" w:cs="宋体"/>
                <w:color w:val="auto"/>
                <w:highlight w:val="none"/>
              </w:rPr>
              <w:t>防汛及消防</w:t>
            </w:r>
            <w:r>
              <w:rPr>
                <w:rFonts w:ascii="Times New Roman" w:hAnsi="Times New Roman"/>
                <w:color w:val="auto"/>
                <w:kern w:val="0"/>
                <w:highlight w:val="none"/>
              </w:rPr>
              <w:t>预案；</w:t>
            </w:r>
            <w:bookmarkEnd w:id="834"/>
          </w:p>
          <w:p w14:paraId="1BE60170">
            <w:pPr>
              <w:pStyle w:val="24"/>
              <w:rPr>
                <w:rFonts w:ascii="Times New Roman" w:hAnsi="Times New Roman"/>
                <w:color w:val="auto"/>
                <w:kern w:val="0"/>
                <w:highlight w:val="none"/>
              </w:rPr>
            </w:pPr>
            <w:bookmarkStart w:id="835" w:name="_Toc166775870"/>
            <w:r>
              <w:rPr>
                <w:rFonts w:ascii="Times New Roman" w:hAnsi="Times New Roman"/>
                <w:color w:val="auto"/>
                <w:kern w:val="0"/>
                <w:highlight w:val="none"/>
              </w:rPr>
              <w:t>②</w:t>
            </w:r>
            <w:r>
              <w:rPr>
                <w:rFonts w:hAnsi="宋体" w:cs="宋体"/>
                <w:color w:val="auto"/>
                <w:highlight w:val="none"/>
              </w:rPr>
              <w:t>医疗垃圾遗撒</w:t>
            </w:r>
            <w:r>
              <w:rPr>
                <w:rFonts w:ascii="Times New Roman" w:hAnsi="Times New Roman"/>
                <w:color w:val="auto"/>
                <w:kern w:val="0"/>
                <w:highlight w:val="none"/>
              </w:rPr>
              <w:t>预案；</w:t>
            </w:r>
            <w:bookmarkEnd w:id="835"/>
          </w:p>
          <w:p w14:paraId="7F3CE2FB">
            <w:pPr>
              <w:pStyle w:val="24"/>
              <w:rPr>
                <w:rFonts w:ascii="Times New Roman" w:hAnsi="Times New Roman"/>
                <w:color w:val="auto"/>
                <w:kern w:val="0"/>
                <w:highlight w:val="none"/>
              </w:rPr>
            </w:pPr>
            <w:bookmarkStart w:id="836" w:name="_Toc166775871"/>
            <w:r>
              <w:rPr>
                <w:rFonts w:ascii="Times New Roman" w:hAnsi="Times New Roman"/>
                <w:color w:val="auto"/>
                <w:kern w:val="0"/>
                <w:highlight w:val="none"/>
              </w:rPr>
              <w:t>③</w:t>
            </w:r>
            <w:r>
              <w:rPr>
                <w:rFonts w:hAnsi="宋体" w:cs="宋体"/>
                <w:color w:val="auto"/>
                <w:highlight w:val="none"/>
              </w:rPr>
              <w:t>针刺伤</w:t>
            </w:r>
            <w:r>
              <w:rPr>
                <w:rFonts w:ascii="Times New Roman" w:hAnsi="Times New Roman"/>
                <w:color w:val="auto"/>
                <w:kern w:val="0"/>
                <w:highlight w:val="none"/>
              </w:rPr>
              <w:t>预案；</w:t>
            </w:r>
            <w:bookmarkEnd w:id="836"/>
          </w:p>
          <w:p w14:paraId="6B7A98F6">
            <w:pPr>
              <w:pStyle w:val="24"/>
              <w:rPr>
                <w:rFonts w:ascii="Times New Roman" w:hAnsi="Times New Roman"/>
                <w:color w:val="auto"/>
                <w:kern w:val="0"/>
                <w:highlight w:val="none"/>
              </w:rPr>
            </w:pPr>
            <w:bookmarkStart w:id="837" w:name="_Toc166775872"/>
            <w:r>
              <w:rPr>
                <w:rFonts w:ascii="Times New Roman" w:hAnsi="Times New Roman"/>
                <w:color w:val="auto"/>
                <w:kern w:val="0"/>
                <w:highlight w:val="none"/>
              </w:rPr>
              <w:t>④</w:t>
            </w:r>
            <w:bookmarkEnd w:id="837"/>
            <w:bookmarkStart w:id="838" w:name="_Toc166775873"/>
            <w:r>
              <w:rPr>
                <w:rFonts w:hAnsi="宋体" w:cs="宋体"/>
                <w:color w:val="auto"/>
                <w:highlight w:val="none"/>
              </w:rPr>
              <w:t>特殊公共卫生应急</w:t>
            </w:r>
            <w:r>
              <w:rPr>
                <w:rFonts w:ascii="Times New Roman" w:hAnsi="Times New Roman"/>
                <w:color w:val="auto"/>
                <w:kern w:val="0"/>
                <w:highlight w:val="none"/>
              </w:rPr>
              <w:t>预案；</w:t>
            </w:r>
            <w:bookmarkEnd w:id="838"/>
          </w:p>
          <w:p w14:paraId="0AAD4C98">
            <w:pPr>
              <w:pStyle w:val="24"/>
              <w:rPr>
                <w:rFonts w:ascii="Times New Roman" w:hAnsi="Times New Roman"/>
                <w:color w:val="auto"/>
                <w:kern w:val="0"/>
                <w:highlight w:val="none"/>
              </w:rPr>
            </w:pPr>
            <w:bookmarkStart w:id="839" w:name="_Toc166775875"/>
            <w:r>
              <w:rPr>
                <w:rFonts w:ascii="Times New Roman" w:hAnsi="Times New Roman"/>
                <w:color w:val="auto"/>
                <w:kern w:val="0"/>
                <w:highlight w:val="none"/>
              </w:rPr>
              <w:t>预案内容详细，专门针对本项目，符合采购需求和实际情况视为符合；预案内容属于通用类，非专门针对本项目，部分符合实际情况视为部分符合；预案内容复制粘贴采购需求，非专门针对本项目，不符合实际情况或未提供视为不符合。以上每一项符合得3分，部分符合得1分，不符合不得分，此项最高12分。</w:t>
            </w:r>
            <w:bookmarkEnd w:id="839"/>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C9E8B61">
            <w:pPr>
              <w:pStyle w:val="24"/>
              <w:rPr>
                <w:rFonts w:ascii="Times New Roman" w:hAnsi="Times New Roman"/>
                <w:color w:val="auto"/>
                <w:kern w:val="0"/>
                <w:highlight w:val="none"/>
              </w:rPr>
            </w:pPr>
            <w:bookmarkStart w:id="840" w:name="_Toc166775876"/>
            <w:r>
              <w:rPr>
                <w:rFonts w:ascii="Times New Roman" w:hAnsi="Times New Roman"/>
                <w:color w:val="auto"/>
                <w:kern w:val="0"/>
                <w:highlight w:val="none"/>
              </w:rPr>
              <w:t>主观</w:t>
            </w:r>
            <w:bookmarkEnd w:id="840"/>
          </w:p>
        </w:tc>
      </w:tr>
      <w:tr w14:paraId="59224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242" w:type="dxa"/>
            <w:vMerge w:val="continue"/>
            <w:tcBorders>
              <w:left w:val="single" w:color="auto" w:sz="6" w:space="0"/>
              <w:right w:val="single" w:color="auto" w:sz="6" w:space="0"/>
            </w:tcBorders>
            <w:noWrap w:val="0"/>
            <w:vAlign w:val="center"/>
          </w:tcPr>
          <w:p w14:paraId="4228AD2D">
            <w:pPr>
              <w:pStyle w:val="24"/>
              <w:rPr>
                <w:rFonts w:ascii="Times New Roman" w:hAnsi="Times New Roman"/>
                <w:color w:val="auto"/>
                <w:highlight w:val="none"/>
                <w:lang w:val="zh-CN"/>
              </w:rPr>
            </w:pPr>
          </w:p>
        </w:tc>
        <w:tc>
          <w:tcPr>
            <w:tcW w:w="1267" w:type="dxa"/>
            <w:tcBorders>
              <w:top w:val="single" w:color="auto" w:sz="6" w:space="0"/>
              <w:left w:val="single" w:color="auto" w:sz="6" w:space="0"/>
              <w:bottom w:val="single" w:color="auto" w:sz="4" w:space="0"/>
              <w:right w:val="single" w:color="auto" w:sz="6" w:space="0"/>
            </w:tcBorders>
            <w:noWrap w:val="0"/>
            <w:vAlign w:val="center"/>
          </w:tcPr>
          <w:p w14:paraId="34B75CEE">
            <w:pPr>
              <w:pStyle w:val="24"/>
              <w:rPr>
                <w:rFonts w:ascii="Times New Roman" w:hAnsi="Times New Roman"/>
                <w:color w:val="auto"/>
                <w:kern w:val="0"/>
                <w:highlight w:val="none"/>
              </w:rPr>
            </w:pPr>
            <w:r>
              <w:rPr>
                <w:rFonts w:ascii="Times New Roman" w:hAnsi="Times New Roman"/>
                <w:color w:val="auto"/>
                <w:kern w:val="0"/>
                <w:highlight w:val="none"/>
              </w:rPr>
              <w:t>应急演练预案</w:t>
            </w:r>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12231137">
            <w:pPr>
              <w:pStyle w:val="24"/>
              <w:rPr>
                <w:rFonts w:ascii="Times New Roman" w:hAnsi="Times New Roman"/>
                <w:color w:val="auto"/>
                <w:kern w:val="0"/>
                <w:highlight w:val="none"/>
              </w:rPr>
            </w:pPr>
            <w:r>
              <w:rPr>
                <w:rFonts w:ascii="Times New Roman" w:hAnsi="Times New Roman"/>
                <w:color w:val="auto"/>
                <w:kern w:val="0"/>
                <w:highlight w:val="none"/>
              </w:rPr>
              <w:t>4分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596154A2">
            <w:pPr>
              <w:jc w:val="left"/>
              <w:rPr>
                <w:rFonts w:hint="eastAsia" w:cs="宋体"/>
                <w:color w:val="auto"/>
                <w:kern w:val="0"/>
                <w:szCs w:val="21"/>
                <w:highlight w:val="none"/>
                <w:lang w:bidi="ar"/>
              </w:rPr>
            </w:pPr>
            <w:r>
              <w:rPr>
                <w:rFonts w:hint="eastAsia" w:cs="宋体"/>
                <w:color w:val="auto"/>
                <w:kern w:val="0"/>
                <w:szCs w:val="21"/>
                <w:highlight w:val="none"/>
                <w:lang w:bidi="ar"/>
              </w:rPr>
              <w:t>组织相关岗位开展专项应急预案演练。</w:t>
            </w:r>
          </w:p>
          <w:p w14:paraId="46DB2E4D">
            <w:pPr>
              <w:jc w:val="left"/>
              <w:rPr>
                <w:color w:val="auto"/>
                <w:kern w:val="0"/>
                <w:highlight w:val="none"/>
              </w:rPr>
            </w:pPr>
            <w:r>
              <w:rPr>
                <w:rFonts w:hint="eastAsia" w:cs="宋体"/>
                <w:color w:val="auto"/>
                <w:kern w:val="0"/>
                <w:szCs w:val="21"/>
                <w:highlight w:val="none"/>
                <w:lang w:bidi="ar"/>
              </w:rPr>
              <w:t>每半年演练2次及以上得4分，演练1次得3分，不演练不得分。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6EFD9E7">
            <w:pPr>
              <w:pStyle w:val="24"/>
              <w:rPr>
                <w:rFonts w:ascii="Times New Roman" w:hAnsi="Times New Roman"/>
                <w:color w:val="auto"/>
                <w:kern w:val="0"/>
                <w:highlight w:val="none"/>
              </w:rPr>
            </w:pPr>
            <w:r>
              <w:rPr>
                <w:rFonts w:ascii="Times New Roman" w:hAnsi="Times New Roman"/>
                <w:color w:val="auto"/>
                <w:kern w:val="0"/>
                <w:highlight w:val="none"/>
              </w:rPr>
              <w:t>客观</w:t>
            </w:r>
          </w:p>
        </w:tc>
      </w:tr>
      <w:tr w14:paraId="6F3F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42" w:type="dxa"/>
            <w:vMerge w:val="continue"/>
            <w:tcBorders>
              <w:left w:val="single" w:color="auto" w:sz="6" w:space="0"/>
              <w:right w:val="single" w:color="auto" w:sz="6" w:space="0"/>
            </w:tcBorders>
            <w:noWrap w:val="0"/>
            <w:vAlign w:val="center"/>
          </w:tcPr>
          <w:p w14:paraId="2A92A74C">
            <w:pPr>
              <w:pStyle w:val="24"/>
              <w:rPr>
                <w:rFonts w:ascii="Times New Roman" w:hAnsi="Times New Roman"/>
                <w:color w:val="auto"/>
                <w:highlight w:val="none"/>
                <w:lang w:val="zh-CN"/>
              </w:rPr>
            </w:pPr>
          </w:p>
        </w:tc>
        <w:tc>
          <w:tcPr>
            <w:tcW w:w="1267" w:type="dxa"/>
            <w:vMerge w:val="restart"/>
            <w:tcBorders>
              <w:top w:val="single" w:color="auto" w:sz="6" w:space="0"/>
              <w:left w:val="single" w:color="auto" w:sz="6" w:space="0"/>
              <w:right w:val="single" w:color="auto" w:sz="6" w:space="0"/>
            </w:tcBorders>
            <w:noWrap w:val="0"/>
            <w:vAlign w:val="center"/>
          </w:tcPr>
          <w:p w14:paraId="27CBA1A1">
            <w:pPr>
              <w:pStyle w:val="24"/>
              <w:jc w:val="center"/>
              <w:rPr>
                <w:rFonts w:ascii="Times New Roman" w:hAnsi="Times New Roman"/>
                <w:color w:val="auto"/>
                <w:kern w:val="0"/>
                <w:highlight w:val="none"/>
              </w:rPr>
            </w:pPr>
            <w:bookmarkStart w:id="841" w:name="_Toc166775890"/>
            <w:r>
              <w:rPr>
                <w:rFonts w:ascii="Times New Roman" w:hAnsi="Times New Roman"/>
                <w:color w:val="auto"/>
                <w:kern w:val="0"/>
                <w:highlight w:val="none"/>
              </w:rPr>
              <w:t>项目负责人情况</w:t>
            </w:r>
            <w:bookmarkEnd w:id="841"/>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1F3ACD9B">
            <w:pPr>
              <w:pStyle w:val="24"/>
              <w:rPr>
                <w:rFonts w:ascii="Times New Roman" w:hAnsi="Times New Roman"/>
                <w:color w:val="auto"/>
                <w:kern w:val="0"/>
                <w:highlight w:val="none"/>
              </w:rPr>
            </w:pPr>
            <w:r>
              <w:rPr>
                <w:rFonts w:ascii="Times New Roman" w:hAnsi="Times New Roman"/>
                <w:color w:val="auto"/>
                <w:kern w:val="0"/>
                <w:highlight w:val="none"/>
              </w:rPr>
              <w:t>4分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FFCB163">
            <w:pPr>
              <w:pStyle w:val="24"/>
              <w:rPr>
                <w:rFonts w:ascii="Times New Roman" w:hAnsi="Times New Roman" w:cs="宋体"/>
                <w:color w:val="auto"/>
                <w:kern w:val="0"/>
                <w:highlight w:val="none"/>
              </w:rPr>
            </w:pPr>
            <w:r>
              <w:rPr>
                <w:rFonts w:ascii="Times New Roman" w:hAnsi="Times New Roman" w:cs="宋体"/>
                <w:color w:val="auto"/>
                <w:kern w:val="0"/>
                <w:highlight w:val="none"/>
              </w:rPr>
              <w:t>项目负责人具有5年及以上医院类保洁服务管理经验，得4分；</w:t>
            </w:r>
          </w:p>
          <w:p w14:paraId="2467F759">
            <w:pPr>
              <w:pStyle w:val="24"/>
              <w:rPr>
                <w:rFonts w:ascii="Times New Roman" w:hAnsi="Times New Roman" w:cs="宋体"/>
                <w:color w:val="auto"/>
                <w:kern w:val="0"/>
                <w:highlight w:val="none"/>
              </w:rPr>
            </w:pPr>
            <w:r>
              <w:rPr>
                <w:rFonts w:ascii="Times New Roman" w:hAnsi="Times New Roman" w:cs="宋体"/>
                <w:color w:val="auto"/>
                <w:kern w:val="0"/>
                <w:highlight w:val="none"/>
              </w:rPr>
              <w:t>项目负责人具有3年及以上、5年（不含）以下医院类保洁服务管理经验，得3分；</w:t>
            </w:r>
          </w:p>
          <w:p w14:paraId="4FCAC181">
            <w:pPr>
              <w:pStyle w:val="24"/>
              <w:rPr>
                <w:rFonts w:ascii="Times New Roman" w:hAnsi="Times New Roman" w:cs="宋体"/>
                <w:color w:val="auto"/>
                <w:kern w:val="0"/>
                <w:highlight w:val="none"/>
              </w:rPr>
            </w:pPr>
            <w:r>
              <w:rPr>
                <w:rFonts w:ascii="Times New Roman" w:hAnsi="Times New Roman" w:cs="宋体"/>
                <w:color w:val="auto"/>
                <w:kern w:val="0"/>
                <w:highlight w:val="none"/>
              </w:rPr>
              <w:t>项目负责人具有1年及以上、3年（不含）以下医院类保洁服务管理经验，得1分；</w:t>
            </w:r>
          </w:p>
          <w:p w14:paraId="751E3FDD">
            <w:pPr>
              <w:pStyle w:val="24"/>
              <w:rPr>
                <w:rFonts w:ascii="Times New Roman" w:hAnsi="Times New Roman" w:cs="宋体"/>
                <w:color w:val="auto"/>
                <w:kern w:val="0"/>
                <w:highlight w:val="none"/>
              </w:rPr>
            </w:pPr>
            <w:r>
              <w:rPr>
                <w:rFonts w:ascii="Times New Roman" w:hAnsi="Times New Roman" w:cs="宋体"/>
                <w:color w:val="auto"/>
                <w:kern w:val="0"/>
                <w:highlight w:val="none"/>
              </w:rPr>
              <w:t>项目负责人医院类保洁服务管理经验不足一年或不具备医院类保洁服务管理经验，不得分。</w:t>
            </w:r>
          </w:p>
          <w:p w14:paraId="09A6CB1F">
            <w:pPr>
              <w:pStyle w:val="24"/>
              <w:rPr>
                <w:rFonts w:ascii="Times New Roman" w:hAnsi="Times New Roman" w:cs="宋体"/>
                <w:color w:val="auto"/>
                <w:kern w:val="0"/>
                <w:highlight w:val="none"/>
              </w:rPr>
            </w:pPr>
            <w:r>
              <w:rPr>
                <w:rFonts w:ascii="Times New Roman" w:hAnsi="Times New Roman" w:cs="宋体"/>
                <w:color w:val="auto"/>
                <w:kern w:val="0"/>
                <w:highlight w:val="none"/>
              </w:rPr>
              <w:t>提供相关证明材料。</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81D7E15">
            <w:pPr>
              <w:pStyle w:val="24"/>
              <w:rPr>
                <w:rFonts w:ascii="Times New Roman" w:hAnsi="Times New Roman"/>
                <w:color w:val="auto"/>
                <w:kern w:val="0"/>
                <w:highlight w:val="none"/>
              </w:rPr>
            </w:pPr>
            <w:bookmarkStart w:id="842" w:name="_Toc166775892"/>
            <w:r>
              <w:rPr>
                <w:rFonts w:ascii="Times New Roman" w:hAnsi="Times New Roman"/>
                <w:color w:val="auto"/>
                <w:kern w:val="0"/>
                <w:highlight w:val="none"/>
              </w:rPr>
              <w:t>客观</w:t>
            </w:r>
            <w:bookmarkEnd w:id="842"/>
          </w:p>
        </w:tc>
      </w:tr>
      <w:tr w14:paraId="034E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42" w:type="dxa"/>
            <w:vMerge w:val="continue"/>
            <w:tcBorders>
              <w:left w:val="single" w:color="auto" w:sz="6" w:space="0"/>
              <w:right w:val="single" w:color="auto" w:sz="6" w:space="0"/>
            </w:tcBorders>
            <w:noWrap w:val="0"/>
            <w:vAlign w:val="center"/>
          </w:tcPr>
          <w:p w14:paraId="0E1F5A81">
            <w:pPr>
              <w:pStyle w:val="24"/>
              <w:rPr>
                <w:rFonts w:ascii="Times New Roman" w:hAnsi="Times New Roman"/>
                <w:color w:val="auto"/>
                <w:highlight w:val="none"/>
                <w:lang w:val="zh-CN"/>
              </w:rPr>
            </w:pPr>
          </w:p>
        </w:tc>
        <w:tc>
          <w:tcPr>
            <w:tcW w:w="1267" w:type="dxa"/>
            <w:vMerge w:val="continue"/>
            <w:tcBorders>
              <w:left w:val="single" w:color="auto" w:sz="6" w:space="0"/>
              <w:right w:val="single" w:color="auto" w:sz="6" w:space="0"/>
            </w:tcBorders>
            <w:noWrap w:val="0"/>
            <w:vAlign w:val="center"/>
          </w:tcPr>
          <w:p w14:paraId="6D5BB306">
            <w:pPr>
              <w:pStyle w:val="24"/>
              <w:rPr>
                <w:rFonts w:ascii="Times New Roman" w:hAnsi="Times New Roman"/>
                <w:color w:val="auto"/>
                <w:kern w:val="0"/>
                <w:highlight w:val="none"/>
              </w:rPr>
            </w:pPr>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14C59EB2">
            <w:pPr>
              <w:pStyle w:val="24"/>
              <w:rPr>
                <w:rFonts w:ascii="Times New Roman" w:hAnsi="Times New Roman"/>
                <w:color w:val="auto"/>
                <w:kern w:val="0"/>
                <w:highlight w:val="none"/>
              </w:rPr>
            </w:pPr>
            <w:bookmarkStart w:id="843" w:name="_Toc166775893"/>
            <w:r>
              <w:rPr>
                <w:rFonts w:ascii="Times New Roman" w:hAnsi="Times New Roman"/>
                <w:color w:val="auto"/>
                <w:kern w:val="0"/>
                <w:highlight w:val="none"/>
              </w:rPr>
              <w:t>4分</w:t>
            </w:r>
            <w:bookmarkEnd w:id="843"/>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3361513">
            <w:pPr>
              <w:pStyle w:val="24"/>
              <w:ind w:left="210" w:hanging="210" w:hangingChars="100"/>
              <w:jc w:val="left"/>
              <w:rPr>
                <w:rFonts w:hint="default" w:ascii="Times New Roman" w:hAnsi="Times New Roman" w:cs="宋体"/>
                <w:color w:val="auto"/>
                <w:kern w:val="0"/>
                <w:highlight w:val="none"/>
              </w:rPr>
            </w:pPr>
            <w:r>
              <w:rPr>
                <w:rFonts w:ascii="Times New Roman" w:hAnsi="Times New Roman" w:cs="宋体"/>
                <w:color w:val="auto"/>
                <w:kern w:val="0"/>
                <w:highlight w:val="none"/>
              </w:rPr>
              <w:t>项目负责人具有大学本科及以上学历，得4分，否</w:t>
            </w:r>
          </w:p>
          <w:p w14:paraId="4A321D89">
            <w:pPr>
              <w:pStyle w:val="24"/>
              <w:ind w:left="210" w:hanging="210" w:hangingChars="100"/>
              <w:jc w:val="left"/>
              <w:rPr>
                <w:rFonts w:ascii="Times New Roman" w:hAnsi="Times New Roman" w:cs="宋体"/>
                <w:color w:val="auto"/>
                <w:kern w:val="0"/>
                <w:highlight w:val="none"/>
              </w:rPr>
            </w:pPr>
            <w:r>
              <w:rPr>
                <w:rFonts w:ascii="Times New Roman" w:hAnsi="Times New Roman" w:cs="宋体"/>
                <w:color w:val="auto"/>
                <w:kern w:val="0"/>
                <w:highlight w:val="none"/>
              </w:rPr>
              <w:t>则不得分。提供证书复印件。</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0174DE82">
            <w:pPr>
              <w:pStyle w:val="24"/>
              <w:rPr>
                <w:rFonts w:ascii="Times New Roman" w:hAnsi="Times New Roman"/>
                <w:color w:val="auto"/>
                <w:kern w:val="0"/>
                <w:highlight w:val="none"/>
              </w:rPr>
            </w:pPr>
            <w:bookmarkStart w:id="844" w:name="_Toc166775894"/>
            <w:r>
              <w:rPr>
                <w:rFonts w:ascii="Times New Roman" w:hAnsi="Times New Roman"/>
                <w:color w:val="auto"/>
                <w:kern w:val="0"/>
                <w:highlight w:val="none"/>
              </w:rPr>
              <w:t>客观</w:t>
            </w:r>
            <w:bookmarkEnd w:id="844"/>
          </w:p>
        </w:tc>
      </w:tr>
      <w:tr w14:paraId="2CC12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42" w:type="dxa"/>
            <w:vMerge w:val="continue"/>
            <w:tcBorders>
              <w:left w:val="single" w:color="auto" w:sz="6" w:space="0"/>
              <w:right w:val="single" w:color="auto" w:sz="6" w:space="0"/>
            </w:tcBorders>
            <w:noWrap w:val="0"/>
            <w:vAlign w:val="center"/>
          </w:tcPr>
          <w:p w14:paraId="330A9679">
            <w:pPr>
              <w:pStyle w:val="24"/>
              <w:rPr>
                <w:rFonts w:ascii="Times New Roman" w:hAnsi="Times New Roman"/>
                <w:color w:val="auto"/>
                <w:highlight w:val="none"/>
                <w:lang w:val="zh-CN"/>
              </w:rPr>
            </w:pPr>
          </w:p>
        </w:tc>
        <w:tc>
          <w:tcPr>
            <w:tcW w:w="1267" w:type="dxa"/>
            <w:vMerge w:val="continue"/>
            <w:tcBorders>
              <w:left w:val="single" w:color="auto" w:sz="6" w:space="0"/>
              <w:bottom w:val="single" w:color="auto" w:sz="4" w:space="0"/>
              <w:right w:val="single" w:color="auto" w:sz="6" w:space="0"/>
            </w:tcBorders>
            <w:noWrap w:val="0"/>
            <w:vAlign w:val="center"/>
          </w:tcPr>
          <w:p w14:paraId="3D61C0B7">
            <w:pPr>
              <w:pStyle w:val="24"/>
              <w:rPr>
                <w:rFonts w:ascii="Times New Roman" w:hAnsi="Times New Roman"/>
                <w:color w:val="auto"/>
                <w:kern w:val="0"/>
                <w:highlight w:val="none"/>
              </w:rPr>
            </w:pPr>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324F8F83">
            <w:pPr>
              <w:pStyle w:val="24"/>
              <w:rPr>
                <w:rFonts w:ascii="Times New Roman" w:hAnsi="Times New Roman"/>
                <w:color w:val="auto"/>
                <w:kern w:val="0"/>
                <w:highlight w:val="none"/>
              </w:rPr>
            </w:pPr>
            <w:bookmarkStart w:id="845" w:name="_Toc166775895"/>
            <w:r>
              <w:rPr>
                <w:rFonts w:ascii="Times New Roman" w:hAnsi="Times New Roman"/>
                <w:color w:val="auto"/>
                <w:kern w:val="0"/>
                <w:highlight w:val="none"/>
              </w:rPr>
              <w:t>3分</w:t>
            </w:r>
            <w:bookmarkEnd w:id="845"/>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3E5CC435">
            <w:pPr>
              <w:pStyle w:val="24"/>
              <w:rPr>
                <w:rFonts w:ascii="Times New Roman" w:hAnsi="Times New Roman"/>
                <w:color w:val="auto"/>
                <w:kern w:val="0"/>
                <w:highlight w:val="none"/>
              </w:rPr>
            </w:pPr>
            <w:bookmarkStart w:id="846" w:name="_Toc166775896"/>
            <w:r>
              <w:rPr>
                <w:rFonts w:ascii="Times New Roman" w:hAnsi="Times New Roman"/>
                <w:color w:val="auto"/>
                <w:kern w:val="0"/>
                <w:highlight w:val="none"/>
              </w:rPr>
              <w:t>出具项目负责人的聘用合同（加盖投标人公章）得3分，否则不得分。</w:t>
            </w:r>
            <w:bookmarkEnd w:id="846"/>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323CB8AA">
            <w:pPr>
              <w:pStyle w:val="24"/>
              <w:rPr>
                <w:rFonts w:ascii="Times New Roman" w:hAnsi="Times New Roman"/>
                <w:color w:val="auto"/>
                <w:kern w:val="0"/>
                <w:highlight w:val="none"/>
              </w:rPr>
            </w:pPr>
            <w:bookmarkStart w:id="847" w:name="_Toc166775897"/>
            <w:r>
              <w:rPr>
                <w:rFonts w:ascii="Times New Roman" w:hAnsi="Times New Roman"/>
                <w:color w:val="auto"/>
                <w:kern w:val="0"/>
                <w:highlight w:val="none"/>
              </w:rPr>
              <w:t>客观</w:t>
            </w:r>
            <w:bookmarkEnd w:id="847"/>
          </w:p>
        </w:tc>
      </w:tr>
      <w:tr w14:paraId="408F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42" w:type="dxa"/>
            <w:vMerge w:val="continue"/>
            <w:tcBorders>
              <w:left w:val="single" w:color="auto" w:sz="6" w:space="0"/>
              <w:right w:val="single" w:color="auto" w:sz="6" w:space="0"/>
            </w:tcBorders>
            <w:noWrap w:val="0"/>
            <w:vAlign w:val="center"/>
          </w:tcPr>
          <w:p w14:paraId="52B4075E">
            <w:pPr>
              <w:pStyle w:val="24"/>
              <w:rPr>
                <w:rFonts w:ascii="Times New Roman" w:hAnsi="Times New Roman"/>
                <w:color w:val="auto"/>
                <w:highlight w:val="none"/>
                <w:lang w:val="zh-CN"/>
              </w:rPr>
            </w:pPr>
          </w:p>
        </w:tc>
        <w:tc>
          <w:tcPr>
            <w:tcW w:w="1267" w:type="dxa"/>
            <w:vMerge w:val="restart"/>
            <w:tcBorders>
              <w:left w:val="single" w:color="auto" w:sz="6" w:space="0"/>
              <w:right w:val="single" w:color="auto" w:sz="6" w:space="0"/>
            </w:tcBorders>
            <w:noWrap w:val="0"/>
            <w:vAlign w:val="center"/>
          </w:tcPr>
          <w:p w14:paraId="19F39E81">
            <w:pPr>
              <w:pStyle w:val="24"/>
              <w:rPr>
                <w:rFonts w:ascii="Times New Roman" w:hAnsi="Times New Roman"/>
                <w:color w:val="auto"/>
                <w:kern w:val="0"/>
                <w:highlight w:val="none"/>
              </w:rPr>
            </w:pPr>
            <w:bookmarkStart w:id="848" w:name="_Toc166775898"/>
            <w:r>
              <w:rPr>
                <w:rFonts w:ascii="Times New Roman" w:hAnsi="Times New Roman"/>
                <w:color w:val="auto"/>
                <w:kern w:val="0"/>
                <w:highlight w:val="none"/>
              </w:rPr>
              <w:t>项目保洁主管及保洁人员配备方案</w:t>
            </w:r>
            <w:bookmarkEnd w:id="848"/>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287F195A">
            <w:pPr>
              <w:pStyle w:val="24"/>
              <w:rPr>
                <w:rFonts w:ascii="Times New Roman" w:hAnsi="Times New Roman"/>
                <w:color w:val="auto"/>
                <w:kern w:val="0"/>
                <w:highlight w:val="none"/>
              </w:rPr>
            </w:pPr>
            <w:r>
              <w:rPr>
                <w:rFonts w:ascii="Times New Roman" w:hAnsi="Times New Roman"/>
                <w:color w:val="auto"/>
                <w:kern w:val="0"/>
                <w:highlight w:val="none"/>
              </w:rPr>
              <w:t>2分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FBCC36F">
            <w:pPr>
              <w:pStyle w:val="24"/>
              <w:rPr>
                <w:rFonts w:ascii="Times New Roman" w:hAnsi="Times New Roman"/>
                <w:color w:val="auto"/>
                <w:kern w:val="0"/>
                <w:highlight w:val="none"/>
              </w:rPr>
            </w:pPr>
            <w:r>
              <w:rPr>
                <w:rFonts w:ascii="Times New Roman" w:hAnsi="Times New Roman" w:cs="宋体"/>
                <w:color w:val="auto"/>
                <w:kern w:val="0"/>
                <w:highlight w:val="none"/>
              </w:rPr>
              <w:t>出具保洁主管的聘用合同（加盖投标人公章）得2分，否则不得分。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196508A1">
            <w:pPr>
              <w:pStyle w:val="24"/>
              <w:rPr>
                <w:rFonts w:ascii="Times New Roman" w:hAnsi="Times New Roman"/>
                <w:color w:val="auto"/>
                <w:kern w:val="0"/>
                <w:highlight w:val="none"/>
              </w:rPr>
            </w:pPr>
            <w:r>
              <w:rPr>
                <w:rFonts w:ascii="Times New Roman" w:hAnsi="Times New Roman"/>
                <w:color w:val="auto"/>
                <w:kern w:val="0"/>
                <w:highlight w:val="none"/>
              </w:rPr>
              <w:t>客观</w:t>
            </w:r>
          </w:p>
        </w:tc>
      </w:tr>
      <w:tr w14:paraId="70961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42" w:type="dxa"/>
            <w:vMerge w:val="continue"/>
            <w:tcBorders>
              <w:left w:val="single" w:color="auto" w:sz="6" w:space="0"/>
              <w:right w:val="single" w:color="auto" w:sz="6" w:space="0"/>
            </w:tcBorders>
            <w:noWrap w:val="0"/>
            <w:vAlign w:val="center"/>
          </w:tcPr>
          <w:p w14:paraId="7FE73D44">
            <w:pPr>
              <w:pStyle w:val="24"/>
              <w:rPr>
                <w:rFonts w:ascii="Times New Roman" w:hAnsi="Times New Roman"/>
                <w:color w:val="auto"/>
                <w:highlight w:val="none"/>
                <w:lang w:val="zh-CN"/>
              </w:rPr>
            </w:pPr>
          </w:p>
        </w:tc>
        <w:tc>
          <w:tcPr>
            <w:tcW w:w="1267" w:type="dxa"/>
            <w:vMerge w:val="continue"/>
            <w:tcBorders>
              <w:left w:val="single" w:color="auto" w:sz="6" w:space="0"/>
              <w:right w:val="single" w:color="auto" w:sz="6" w:space="0"/>
            </w:tcBorders>
            <w:noWrap w:val="0"/>
            <w:vAlign w:val="center"/>
          </w:tcPr>
          <w:p w14:paraId="0F4729F2">
            <w:pPr>
              <w:pStyle w:val="24"/>
              <w:rPr>
                <w:rFonts w:ascii="Times New Roman" w:hAnsi="Times New Roman"/>
                <w:color w:val="auto"/>
                <w:kern w:val="0"/>
                <w:highlight w:val="none"/>
              </w:rPr>
            </w:pPr>
          </w:p>
        </w:tc>
        <w:tc>
          <w:tcPr>
            <w:tcW w:w="791" w:type="dxa"/>
            <w:tcBorders>
              <w:top w:val="single" w:color="auto" w:sz="6" w:space="0"/>
              <w:left w:val="single" w:color="auto" w:sz="6" w:space="0"/>
              <w:right w:val="single" w:color="auto" w:sz="6" w:space="0"/>
            </w:tcBorders>
            <w:noWrap w:val="0"/>
            <w:tcMar>
              <w:top w:w="100" w:type="dxa"/>
              <w:right w:w="100" w:type="dxa"/>
            </w:tcMar>
            <w:vAlign w:val="center"/>
          </w:tcPr>
          <w:p w14:paraId="525E167B">
            <w:pPr>
              <w:pStyle w:val="24"/>
              <w:rPr>
                <w:rFonts w:hint="default" w:ascii="Times New Roman" w:hAnsi="Times New Roman"/>
                <w:color w:val="auto"/>
                <w:kern w:val="0"/>
                <w:highlight w:val="none"/>
              </w:rPr>
            </w:pPr>
            <w:r>
              <w:rPr>
                <w:rFonts w:ascii="Times New Roman" w:hAnsi="Times New Roman"/>
                <w:color w:val="auto"/>
                <w:kern w:val="0"/>
                <w:highlight w:val="none"/>
              </w:rPr>
              <w:t>4分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7B1336C2">
            <w:pPr>
              <w:pStyle w:val="24"/>
              <w:rPr>
                <w:rFonts w:ascii="Times New Roman" w:hAnsi="Times New Roman" w:cs="宋体"/>
                <w:color w:val="auto"/>
                <w:kern w:val="0"/>
                <w:highlight w:val="none"/>
              </w:rPr>
            </w:pPr>
            <w:r>
              <w:rPr>
                <w:rFonts w:ascii="Times New Roman" w:hAnsi="Times New Roman" w:cs="宋体"/>
                <w:color w:val="auto"/>
                <w:kern w:val="0"/>
                <w:highlight w:val="none"/>
              </w:rPr>
              <w:t>配备管理人员6岗 ，日常保洁工作人员148岗，其他人员27岗（含专项、保洁专用布草洗涤房、库管、夜班巡视保洁）以此为标准，符合标准得4分，低于标准不得分。</w:t>
            </w: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68F51D94">
            <w:pPr>
              <w:pStyle w:val="24"/>
              <w:rPr>
                <w:rFonts w:ascii="Times New Roman" w:hAnsi="Times New Roman"/>
                <w:color w:val="auto"/>
                <w:kern w:val="0"/>
                <w:highlight w:val="none"/>
              </w:rPr>
            </w:pPr>
            <w:r>
              <w:rPr>
                <w:rFonts w:ascii="Times New Roman" w:hAnsi="Times New Roman"/>
                <w:color w:val="auto"/>
                <w:kern w:val="0"/>
                <w:highlight w:val="none"/>
              </w:rPr>
              <w:t>客观</w:t>
            </w:r>
          </w:p>
        </w:tc>
      </w:tr>
      <w:tr w14:paraId="3AA0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09" w:type="dxa"/>
            <w:gridSpan w:val="2"/>
            <w:tcBorders>
              <w:left w:val="single" w:color="auto" w:sz="6" w:space="0"/>
              <w:right w:val="single" w:color="auto" w:sz="6" w:space="0"/>
            </w:tcBorders>
            <w:noWrap w:val="0"/>
            <w:vAlign w:val="center"/>
          </w:tcPr>
          <w:p w14:paraId="48D249DD">
            <w:pPr>
              <w:pStyle w:val="24"/>
              <w:rPr>
                <w:rFonts w:ascii="Times New Roman" w:hAnsi="Times New Roman"/>
                <w:color w:val="auto"/>
                <w:highlight w:val="none"/>
                <w:lang w:val="zh-CN"/>
              </w:rPr>
            </w:pPr>
            <w:r>
              <w:rPr>
                <w:rFonts w:ascii="Times New Roman" w:hAnsi="Times New Roman"/>
                <w:color w:val="auto"/>
                <w:highlight w:val="none"/>
              </w:rPr>
              <w:t>总评分</w:t>
            </w:r>
          </w:p>
        </w:tc>
        <w:tc>
          <w:tcPr>
            <w:tcW w:w="791"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2FBE4324">
            <w:pPr>
              <w:pStyle w:val="24"/>
              <w:rPr>
                <w:rFonts w:ascii="Times New Roman" w:hAnsi="Times New Roman"/>
                <w:color w:val="auto"/>
                <w:highlight w:val="none"/>
              </w:rPr>
            </w:pPr>
            <w:r>
              <w:rPr>
                <w:rFonts w:ascii="Times New Roman" w:hAnsi="Times New Roman"/>
                <w:color w:val="auto"/>
                <w:highlight w:val="none"/>
              </w:rPr>
              <w:t>100分</w:t>
            </w:r>
          </w:p>
        </w:tc>
        <w:tc>
          <w:tcPr>
            <w:tcW w:w="4800"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44AB134C">
            <w:pPr>
              <w:pStyle w:val="24"/>
              <w:rPr>
                <w:rFonts w:ascii="Times New Roman" w:hAnsi="Times New Roman"/>
                <w:color w:val="auto"/>
                <w:highlight w:val="none"/>
                <w:lang w:val="zh-CN"/>
              </w:rPr>
            </w:pPr>
          </w:p>
        </w:tc>
        <w:tc>
          <w:tcPr>
            <w:tcW w:w="683" w:type="dxa"/>
            <w:tcBorders>
              <w:top w:val="single" w:color="auto" w:sz="6" w:space="0"/>
              <w:left w:val="single" w:color="auto" w:sz="6" w:space="0"/>
              <w:bottom w:val="single" w:color="auto" w:sz="6" w:space="0"/>
              <w:right w:val="single" w:color="auto" w:sz="6" w:space="0"/>
            </w:tcBorders>
            <w:noWrap w:val="0"/>
            <w:tcMar>
              <w:top w:w="100" w:type="dxa"/>
              <w:right w:w="100" w:type="dxa"/>
            </w:tcMar>
            <w:vAlign w:val="center"/>
          </w:tcPr>
          <w:p w14:paraId="7805C263">
            <w:pPr>
              <w:pStyle w:val="24"/>
              <w:rPr>
                <w:rFonts w:ascii="Times New Roman" w:hAnsi="Times New Roman"/>
                <w:color w:val="auto"/>
                <w:highlight w:val="none"/>
                <w:lang w:val="zh-CN"/>
              </w:rPr>
            </w:pPr>
          </w:p>
        </w:tc>
      </w:tr>
    </w:tbl>
    <w:p w14:paraId="75369FB4">
      <w:pPr>
        <w:spacing w:line="360" w:lineRule="auto"/>
        <w:jc w:val="center"/>
        <w:outlineLvl w:val="0"/>
        <w:rPr>
          <w:b/>
          <w:color w:val="auto"/>
          <w:sz w:val="36"/>
          <w:szCs w:val="36"/>
          <w:highlight w:val="none"/>
        </w:rPr>
      </w:pPr>
      <w:r>
        <w:rPr>
          <w:b/>
          <w:color w:val="auto"/>
          <w:sz w:val="36"/>
          <w:szCs w:val="36"/>
          <w:highlight w:val="none"/>
        </w:rPr>
        <w:br w:type="page"/>
      </w:r>
      <w:bookmarkStart w:id="849" w:name="_Toc99301424"/>
      <w:bookmarkStart w:id="850" w:name="_Toc24225"/>
      <w:r>
        <w:rPr>
          <w:b/>
          <w:color w:val="auto"/>
          <w:sz w:val="36"/>
          <w:szCs w:val="36"/>
          <w:highlight w:val="none"/>
        </w:rPr>
        <w:t>第五章   采购需求</w:t>
      </w:r>
      <w:bookmarkEnd w:id="849"/>
      <w:bookmarkEnd w:id="850"/>
    </w:p>
    <w:p w14:paraId="119ADB02">
      <w:pPr>
        <w:spacing w:line="360" w:lineRule="auto"/>
        <w:contextualSpacing/>
        <w:rPr>
          <w:color w:val="auto"/>
          <w:sz w:val="24"/>
          <w:highlight w:val="none"/>
        </w:rPr>
      </w:pPr>
    </w:p>
    <w:p w14:paraId="46C68CA0">
      <w:pPr>
        <w:pStyle w:val="107"/>
        <w:numPr>
          <w:ilvl w:val="0"/>
          <w:numId w:val="13"/>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采购标的</w:t>
      </w:r>
    </w:p>
    <w:p w14:paraId="77784195">
      <w:pPr>
        <w:spacing w:line="360" w:lineRule="auto"/>
        <w:contextualSpacing/>
        <w:rPr>
          <w:rFonts w:hint="eastAsia"/>
          <w:bCs/>
          <w:color w:val="auto"/>
          <w:sz w:val="24"/>
          <w:highlight w:val="none"/>
        </w:rPr>
      </w:pPr>
      <w:r>
        <w:rPr>
          <w:bCs/>
          <w:color w:val="auto"/>
          <w:sz w:val="24"/>
          <w:highlight w:val="none"/>
        </w:rPr>
        <w:t>1. 采购标的</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3317"/>
        <w:gridCol w:w="2483"/>
        <w:gridCol w:w="2344"/>
      </w:tblGrid>
      <w:tr w14:paraId="2CBC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noWrap w:val="0"/>
            <w:vAlign w:val="center"/>
          </w:tcPr>
          <w:p w14:paraId="059694D4">
            <w:pPr>
              <w:jc w:val="center"/>
              <w:rPr>
                <w:b/>
                <w:color w:val="auto"/>
                <w:sz w:val="24"/>
                <w:highlight w:val="none"/>
              </w:rPr>
            </w:pPr>
            <w:r>
              <w:rPr>
                <w:rFonts w:hint="eastAsia"/>
                <w:b/>
                <w:color w:val="auto"/>
                <w:sz w:val="24"/>
                <w:highlight w:val="none"/>
              </w:rPr>
              <w:t>序号</w:t>
            </w:r>
          </w:p>
        </w:tc>
        <w:tc>
          <w:tcPr>
            <w:tcW w:w="3317" w:type="dxa"/>
            <w:noWrap w:val="0"/>
            <w:vAlign w:val="center"/>
          </w:tcPr>
          <w:p w14:paraId="6A163FEA">
            <w:pPr>
              <w:jc w:val="center"/>
              <w:rPr>
                <w:b/>
                <w:color w:val="auto"/>
                <w:sz w:val="24"/>
                <w:highlight w:val="none"/>
              </w:rPr>
            </w:pPr>
            <w:r>
              <w:rPr>
                <w:rFonts w:hint="eastAsia"/>
                <w:b/>
                <w:color w:val="auto"/>
                <w:sz w:val="24"/>
                <w:highlight w:val="none"/>
              </w:rPr>
              <w:t>服务名称</w:t>
            </w:r>
          </w:p>
        </w:tc>
        <w:tc>
          <w:tcPr>
            <w:tcW w:w="2483" w:type="dxa"/>
            <w:noWrap w:val="0"/>
            <w:vAlign w:val="center"/>
          </w:tcPr>
          <w:p w14:paraId="7241D88F">
            <w:pPr>
              <w:jc w:val="center"/>
              <w:rPr>
                <w:b/>
                <w:color w:val="auto"/>
                <w:sz w:val="24"/>
                <w:highlight w:val="none"/>
              </w:rPr>
            </w:pPr>
            <w:r>
              <w:rPr>
                <w:rFonts w:hint="eastAsia"/>
                <w:b/>
                <w:color w:val="auto"/>
                <w:sz w:val="24"/>
                <w:highlight w:val="none"/>
              </w:rPr>
              <w:t>数量</w:t>
            </w:r>
          </w:p>
        </w:tc>
        <w:tc>
          <w:tcPr>
            <w:tcW w:w="2344" w:type="dxa"/>
            <w:noWrap w:val="0"/>
            <w:vAlign w:val="center"/>
          </w:tcPr>
          <w:p w14:paraId="1D176D04">
            <w:pPr>
              <w:jc w:val="center"/>
              <w:rPr>
                <w:b/>
                <w:color w:val="auto"/>
                <w:sz w:val="24"/>
                <w:highlight w:val="none"/>
              </w:rPr>
            </w:pPr>
            <w:r>
              <w:rPr>
                <w:rFonts w:hint="eastAsia"/>
                <w:b/>
                <w:color w:val="auto"/>
                <w:sz w:val="24"/>
                <w:highlight w:val="none"/>
              </w:rPr>
              <w:t>单位</w:t>
            </w:r>
          </w:p>
        </w:tc>
      </w:tr>
      <w:tr w14:paraId="2DE1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noWrap w:val="0"/>
            <w:vAlign w:val="center"/>
          </w:tcPr>
          <w:p w14:paraId="16F8E617">
            <w:pPr>
              <w:jc w:val="center"/>
              <w:rPr>
                <w:color w:val="auto"/>
                <w:sz w:val="24"/>
                <w:highlight w:val="none"/>
              </w:rPr>
            </w:pPr>
            <w:r>
              <w:rPr>
                <w:rFonts w:hint="eastAsia"/>
                <w:color w:val="auto"/>
                <w:sz w:val="24"/>
                <w:highlight w:val="none"/>
              </w:rPr>
              <w:t>1</w:t>
            </w:r>
          </w:p>
        </w:tc>
        <w:tc>
          <w:tcPr>
            <w:tcW w:w="3317" w:type="dxa"/>
            <w:noWrap w:val="0"/>
            <w:vAlign w:val="center"/>
          </w:tcPr>
          <w:p w14:paraId="6DF396E0">
            <w:pPr>
              <w:jc w:val="center"/>
              <w:rPr>
                <w:rFonts w:hint="eastAsia"/>
                <w:color w:val="auto"/>
                <w:sz w:val="24"/>
                <w:highlight w:val="none"/>
              </w:rPr>
            </w:pPr>
            <w:r>
              <w:rPr>
                <w:rFonts w:hint="eastAsia"/>
                <w:color w:val="auto"/>
                <w:sz w:val="24"/>
                <w:highlight w:val="none"/>
              </w:rPr>
              <w:t>保洁服务</w:t>
            </w:r>
          </w:p>
        </w:tc>
        <w:tc>
          <w:tcPr>
            <w:tcW w:w="2483" w:type="dxa"/>
            <w:noWrap w:val="0"/>
            <w:vAlign w:val="center"/>
          </w:tcPr>
          <w:p w14:paraId="759C2E3B">
            <w:pPr>
              <w:jc w:val="center"/>
              <w:rPr>
                <w:rFonts w:hint="eastAsia"/>
                <w:color w:val="auto"/>
                <w:sz w:val="24"/>
                <w:highlight w:val="none"/>
              </w:rPr>
            </w:pPr>
            <w:r>
              <w:rPr>
                <w:rFonts w:hint="eastAsia"/>
                <w:color w:val="auto"/>
                <w:sz w:val="24"/>
                <w:highlight w:val="none"/>
              </w:rPr>
              <w:t>1</w:t>
            </w:r>
          </w:p>
        </w:tc>
        <w:tc>
          <w:tcPr>
            <w:tcW w:w="2344" w:type="dxa"/>
            <w:noWrap w:val="0"/>
            <w:vAlign w:val="center"/>
          </w:tcPr>
          <w:p w14:paraId="35390C27">
            <w:pPr>
              <w:jc w:val="center"/>
              <w:rPr>
                <w:rFonts w:hint="eastAsia"/>
                <w:color w:val="auto"/>
                <w:sz w:val="24"/>
                <w:highlight w:val="none"/>
              </w:rPr>
            </w:pPr>
            <w:r>
              <w:rPr>
                <w:rFonts w:hint="eastAsia"/>
                <w:color w:val="auto"/>
                <w:sz w:val="24"/>
                <w:highlight w:val="none"/>
              </w:rPr>
              <w:t>项</w:t>
            </w:r>
          </w:p>
        </w:tc>
      </w:tr>
    </w:tbl>
    <w:p w14:paraId="7B327C0B">
      <w:pPr>
        <w:pStyle w:val="107"/>
        <w:spacing w:line="360" w:lineRule="auto"/>
        <w:ind w:firstLine="0" w:firstLineChars="0"/>
        <w:contextualSpacing/>
        <w:rPr>
          <w:rFonts w:ascii="Times New Roman" w:hAnsi="Times New Roman"/>
          <w:b/>
          <w:color w:val="auto"/>
          <w:sz w:val="24"/>
          <w:szCs w:val="24"/>
          <w:highlight w:val="none"/>
        </w:rPr>
      </w:pPr>
    </w:p>
    <w:p w14:paraId="5EEF540F">
      <w:pPr>
        <w:pStyle w:val="107"/>
        <w:numPr>
          <w:ilvl w:val="0"/>
          <w:numId w:val="13"/>
        </w:numPr>
        <w:spacing w:line="360" w:lineRule="auto"/>
        <w:ind w:firstLineChars="0"/>
        <w:contextualSpacing/>
        <w:rPr>
          <w:rFonts w:ascii="Times New Roman" w:hAnsi="Times New Roman"/>
          <w:b/>
          <w:color w:val="auto"/>
          <w:sz w:val="24"/>
          <w:szCs w:val="24"/>
          <w:highlight w:val="none"/>
        </w:rPr>
      </w:pPr>
      <w:r>
        <w:rPr>
          <w:rFonts w:ascii="Times New Roman" w:hAnsi="Times New Roman"/>
          <w:b/>
          <w:color w:val="auto"/>
          <w:sz w:val="24"/>
          <w:szCs w:val="24"/>
          <w:highlight w:val="none"/>
        </w:rPr>
        <w:t>商务要求</w:t>
      </w:r>
    </w:p>
    <w:p w14:paraId="3C713EC0">
      <w:pPr>
        <w:spacing w:line="360" w:lineRule="auto"/>
        <w:contextualSpacing/>
        <w:rPr>
          <w:i/>
          <w:color w:val="auto"/>
          <w:sz w:val="24"/>
          <w:highlight w:val="none"/>
        </w:rPr>
      </w:pPr>
      <w:r>
        <w:rPr>
          <w:color w:val="auto"/>
          <w:sz w:val="24"/>
          <w:highlight w:val="none"/>
        </w:rPr>
        <w:t xml:space="preserve">1. </w:t>
      </w:r>
      <w:r>
        <w:rPr>
          <w:rFonts w:hint="eastAsia"/>
          <w:color w:val="auto"/>
          <w:sz w:val="24"/>
          <w:highlight w:val="none"/>
        </w:rPr>
        <w:t>服务</w:t>
      </w:r>
      <w:r>
        <w:rPr>
          <w:color w:val="auto"/>
          <w:sz w:val="24"/>
          <w:highlight w:val="none"/>
        </w:rPr>
        <w:t>期限和</w:t>
      </w:r>
      <w:r>
        <w:rPr>
          <w:rFonts w:hint="eastAsia"/>
          <w:color w:val="auto"/>
          <w:sz w:val="24"/>
          <w:highlight w:val="none"/>
        </w:rPr>
        <w:t>服务</w:t>
      </w:r>
      <w:r>
        <w:rPr>
          <w:color w:val="auto"/>
          <w:sz w:val="24"/>
          <w:highlight w:val="none"/>
        </w:rPr>
        <w:t>地点</w:t>
      </w:r>
    </w:p>
    <w:p w14:paraId="660F5BA0">
      <w:pPr>
        <w:spacing w:line="360" w:lineRule="auto"/>
        <w:contextualSpacing/>
        <w:rPr>
          <w:color w:val="auto"/>
          <w:sz w:val="24"/>
          <w:highlight w:val="none"/>
        </w:rPr>
      </w:pPr>
      <w:r>
        <w:rPr>
          <w:rFonts w:hint="eastAsia"/>
          <w:color w:val="auto"/>
          <w:sz w:val="24"/>
          <w:highlight w:val="none"/>
        </w:rPr>
        <w:t>服务期：2年</w:t>
      </w:r>
    </w:p>
    <w:p w14:paraId="6747D5A2">
      <w:pPr>
        <w:spacing w:line="360" w:lineRule="auto"/>
        <w:contextualSpacing/>
        <w:rPr>
          <w:rFonts w:hint="eastAsia"/>
          <w:color w:val="auto"/>
          <w:sz w:val="24"/>
          <w:highlight w:val="none"/>
        </w:rPr>
      </w:pPr>
      <w:r>
        <w:rPr>
          <w:rFonts w:hint="eastAsia"/>
          <w:color w:val="auto"/>
          <w:sz w:val="24"/>
          <w:highlight w:val="none"/>
        </w:rPr>
        <w:t>服务地点</w:t>
      </w:r>
      <w:r>
        <w:rPr>
          <w:color w:val="auto"/>
          <w:sz w:val="24"/>
          <w:highlight w:val="none"/>
        </w:rPr>
        <w:t>：北京肿瘤医院及</w:t>
      </w:r>
      <w:r>
        <w:rPr>
          <w:rFonts w:hint="eastAsia"/>
          <w:color w:val="auto"/>
          <w:sz w:val="24"/>
          <w:highlight w:val="none"/>
        </w:rPr>
        <w:t>其他院区（</w:t>
      </w:r>
      <w:r>
        <w:rPr>
          <w:rFonts w:hint="eastAsia" w:ascii="宋体" w:hAnsi="宋体"/>
          <w:color w:val="auto"/>
          <w:sz w:val="24"/>
          <w:highlight w:val="none"/>
        </w:rPr>
        <w:t>具体以采购人指定区域为准</w:t>
      </w:r>
      <w:r>
        <w:rPr>
          <w:rFonts w:hint="eastAsia"/>
          <w:color w:val="auto"/>
          <w:sz w:val="24"/>
          <w:highlight w:val="none"/>
        </w:rPr>
        <w:t>）</w:t>
      </w:r>
    </w:p>
    <w:p w14:paraId="1E73836F">
      <w:pPr>
        <w:spacing w:line="360" w:lineRule="auto"/>
        <w:contextualSpacing/>
        <w:rPr>
          <w:color w:val="auto"/>
          <w:sz w:val="24"/>
          <w:highlight w:val="none"/>
        </w:rPr>
      </w:pPr>
      <w:r>
        <w:rPr>
          <w:color w:val="auto"/>
          <w:sz w:val="24"/>
          <w:highlight w:val="none"/>
        </w:rPr>
        <w:t>2. 付款条件（进度和方式）</w:t>
      </w:r>
    </w:p>
    <w:p w14:paraId="240C7F41">
      <w:pPr>
        <w:spacing w:line="360" w:lineRule="auto"/>
        <w:rPr>
          <w:rFonts w:hint="eastAsia"/>
          <w:color w:val="auto"/>
          <w:sz w:val="24"/>
          <w:highlight w:val="none"/>
        </w:rPr>
      </w:pPr>
      <w:r>
        <w:rPr>
          <w:rFonts w:hint="eastAsia" w:ascii="宋体" w:hAnsi="宋体" w:cs="宋体"/>
          <w:color w:val="auto"/>
          <w:sz w:val="24"/>
          <w:highlight w:val="none"/>
        </w:rPr>
        <w:t>每月采购人同投标人确认后按当月实际岗位数量结算当月服务费。具体内容详见采购合同。</w:t>
      </w:r>
    </w:p>
    <w:p w14:paraId="1F793731">
      <w:pPr>
        <w:spacing w:line="360" w:lineRule="auto"/>
        <w:contextualSpacing/>
        <w:rPr>
          <w:rFonts w:hint="eastAsia"/>
          <w:color w:val="auto"/>
          <w:sz w:val="24"/>
          <w:highlight w:val="none"/>
        </w:rPr>
      </w:pPr>
    </w:p>
    <w:p w14:paraId="5AFA7B4B">
      <w:pPr>
        <w:pStyle w:val="107"/>
        <w:numPr>
          <w:ilvl w:val="0"/>
          <w:numId w:val="13"/>
        </w:numPr>
        <w:spacing w:line="360" w:lineRule="auto"/>
        <w:ind w:firstLineChars="0"/>
        <w:contextualSpacing/>
        <w:rPr>
          <w:rFonts w:ascii="Times New Roman" w:hAnsi="Times New Roman"/>
          <w:b/>
          <w:color w:val="auto"/>
          <w:sz w:val="24"/>
          <w:szCs w:val="24"/>
          <w:highlight w:val="none"/>
        </w:rPr>
      </w:pPr>
      <w:r>
        <w:rPr>
          <w:rFonts w:hint="eastAsia" w:ascii="Times New Roman" w:hAnsi="Times New Roman"/>
          <w:b/>
          <w:color w:val="auto"/>
          <w:sz w:val="24"/>
          <w:szCs w:val="24"/>
          <w:highlight w:val="none"/>
        </w:rPr>
        <w:t>服务</w:t>
      </w:r>
      <w:r>
        <w:rPr>
          <w:rFonts w:ascii="Times New Roman" w:hAnsi="Times New Roman"/>
          <w:b/>
          <w:color w:val="auto"/>
          <w:sz w:val="24"/>
          <w:szCs w:val="24"/>
          <w:highlight w:val="none"/>
        </w:rPr>
        <w:t>要求</w:t>
      </w:r>
    </w:p>
    <w:tbl>
      <w:tblPr>
        <w:tblStyle w:val="43"/>
        <w:tblW w:w="9819" w:type="dxa"/>
        <w:jc w:val="center"/>
        <w:tblLayout w:type="fixed"/>
        <w:tblCellMar>
          <w:top w:w="0" w:type="dxa"/>
          <w:left w:w="108" w:type="dxa"/>
          <w:bottom w:w="0" w:type="dxa"/>
          <w:right w:w="108" w:type="dxa"/>
        </w:tblCellMar>
      </w:tblPr>
      <w:tblGrid>
        <w:gridCol w:w="874"/>
        <w:gridCol w:w="2390"/>
        <w:gridCol w:w="6555"/>
      </w:tblGrid>
      <w:tr w14:paraId="2FE35D65">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7F8464E">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325804">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参数</w:t>
            </w:r>
          </w:p>
        </w:tc>
        <w:tc>
          <w:tcPr>
            <w:tcW w:w="6555" w:type="dxa"/>
            <w:tcBorders>
              <w:top w:val="single" w:color="auto" w:sz="4" w:space="0"/>
              <w:left w:val="nil"/>
              <w:bottom w:val="single" w:color="auto" w:sz="4" w:space="0"/>
              <w:right w:val="single" w:color="auto" w:sz="4" w:space="0"/>
            </w:tcBorders>
            <w:noWrap w:val="0"/>
            <w:vAlign w:val="center"/>
          </w:tcPr>
          <w:p w14:paraId="1219F007">
            <w:pPr>
              <w:widowControl/>
              <w:spacing w:line="360"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采购人要求</w:t>
            </w:r>
          </w:p>
        </w:tc>
      </w:tr>
      <w:tr w14:paraId="56E6447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2DC7B6C">
            <w:pPr>
              <w:widowControl/>
              <w:spacing w:line="360" w:lineRule="auto"/>
              <w:jc w:val="left"/>
              <w:rPr>
                <w:rFonts w:hint="eastAsia" w:ascii="宋体" w:hAnsi="宋体" w:cs="宋体"/>
                <w:color w:val="auto"/>
                <w:kern w:val="0"/>
                <w:sz w:val="24"/>
                <w:highlight w:val="none"/>
              </w:rPr>
            </w:pPr>
            <w:r>
              <w:rPr>
                <w:rFonts w:hint="eastAsia" w:ascii="宋体" w:hAnsi="宋体"/>
                <w:color w:val="auto"/>
                <w:sz w:val="24"/>
                <w:highlight w:val="none"/>
              </w:rPr>
              <w:t>一.</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F466B64">
            <w:pPr>
              <w:widowControl/>
              <w:spacing w:line="360" w:lineRule="auto"/>
              <w:jc w:val="left"/>
              <w:rPr>
                <w:rFonts w:hint="eastAsia" w:ascii="宋体" w:hAnsi="宋体" w:cs="宋体"/>
                <w:b/>
                <w:bCs/>
                <w:color w:val="auto"/>
                <w:kern w:val="0"/>
                <w:sz w:val="24"/>
                <w:highlight w:val="none"/>
              </w:rPr>
            </w:pPr>
            <w:r>
              <w:rPr>
                <w:rFonts w:hint="eastAsia" w:ascii="宋体" w:hAnsi="宋体"/>
                <w:b/>
                <w:bCs/>
                <w:color w:val="auto"/>
                <w:sz w:val="24"/>
                <w:highlight w:val="none"/>
              </w:rPr>
              <w:t>服务条款</w:t>
            </w:r>
          </w:p>
        </w:tc>
        <w:tc>
          <w:tcPr>
            <w:tcW w:w="6555" w:type="dxa"/>
            <w:tcBorders>
              <w:top w:val="single" w:color="auto" w:sz="4" w:space="0"/>
              <w:left w:val="nil"/>
              <w:bottom w:val="single" w:color="auto" w:sz="4" w:space="0"/>
              <w:right w:val="single" w:color="auto" w:sz="4" w:space="0"/>
            </w:tcBorders>
            <w:noWrap w:val="0"/>
            <w:vAlign w:val="center"/>
          </w:tcPr>
          <w:p w14:paraId="4B8A40C4">
            <w:pPr>
              <w:widowControl/>
              <w:spacing w:line="360" w:lineRule="auto"/>
              <w:jc w:val="left"/>
              <w:rPr>
                <w:rFonts w:hint="eastAsia" w:ascii="宋体" w:hAnsi="宋体" w:cs="宋体"/>
                <w:b/>
                <w:bCs/>
                <w:color w:val="auto"/>
                <w:kern w:val="0"/>
                <w:sz w:val="24"/>
                <w:highlight w:val="none"/>
              </w:rPr>
            </w:pPr>
            <w:r>
              <w:rPr>
                <w:rFonts w:ascii="宋体" w:hAnsi="宋体" w:cs="Calibri"/>
                <w:color w:val="auto"/>
                <w:sz w:val="24"/>
                <w:highlight w:val="none"/>
              </w:rPr>
              <w:t>　</w:t>
            </w:r>
          </w:p>
        </w:tc>
      </w:tr>
      <w:tr w14:paraId="60AEB93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A7E6EB">
            <w:pPr>
              <w:widowControl/>
              <w:spacing w:line="360" w:lineRule="auto"/>
              <w:jc w:val="left"/>
              <w:rPr>
                <w:rFonts w:ascii="宋体" w:hAnsi="宋体"/>
                <w:color w:val="auto"/>
                <w:kern w:val="0"/>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C5047B8">
            <w:pPr>
              <w:spacing w:line="360" w:lineRule="auto"/>
              <w:rPr>
                <w:rFonts w:ascii="宋体" w:hAnsi="宋体"/>
                <w:color w:val="auto"/>
                <w:sz w:val="24"/>
                <w:highlight w:val="none"/>
              </w:rPr>
            </w:pPr>
            <w:r>
              <w:rPr>
                <w:rFonts w:hint="eastAsia" w:ascii="宋体" w:hAnsi="宋体" w:cs="宋体"/>
                <w:b/>
                <w:bCs/>
                <w:color w:val="auto"/>
                <w:kern w:val="0"/>
                <w:sz w:val="24"/>
                <w:highlight w:val="none"/>
              </w:rPr>
              <w:t>保洁服务标准</w:t>
            </w:r>
          </w:p>
        </w:tc>
        <w:tc>
          <w:tcPr>
            <w:tcW w:w="6555" w:type="dxa"/>
            <w:tcBorders>
              <w:top w:val="single" w:color="auto" w:sz="4" w:space="0"/>
              <w:left w:val="nil"/>
              <w:bottom w:val="single" w:color="auto" w:sz="4" w:space="0"/>
              <w:right w:val="single" w:color="auto" w:sz="4" w:space="0"/>
            </w:tcBorders>
            <w:noWrap w:val="0"/>
            <w:vAlign w:val="center"/>
          </w:tcPr>
          <w:p w14:paraId="768468E7">
            <w:pPr>
              <w:spacing w:line="360" w:lineRule="auto"/>
              <w:rPr>
                <w:rFonts w:hint="eastAsia" w:ascii="宋体" w:hAnsi="宋体"/>
                <w:color w:val="auto"/>
                <w:sz w:val="24"/>
                <w:highlight w:val="none"/>
              </w:rPr>
            </w:pPr>
            <w:r>
              <w:rPr>
                <w:rFonts w:hint="eastAsia" w:ascii="宋体" w:hAnsi="宋体" w:cs="宋体"/>
                <w:color w:val="auto"/>
                <w:sz w:val="24"/>
                <w:highlight w:val="none"/>
              </w:rPr>
              <w:t>投标人依据“DB11/T 1863—2021《医疗机构保洁服务规范》、WS/T 512—2016《医疗机构环境表面清洁与消毒管理规范》、环发〔2003〕206号《医疗废物集中处置技术规范》”中的有关规定，制定符合本项目的服务方案。</w:t>
            </w:r>
          </w:p>
        </w:tc>
      </w:tr>
      <w:tr w14:paraId="27C71068">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4039684">
            <w:pPr>
              <w:spacing w:line="360" w:lineRule="auto"/>
              <w:rPr>
                <w:rFonts w:hint="eastAsia" w:ascii="宋体" w:hAnsi="宋体"/>
                <w:color w:val="auto"/>
                <w:sz w:val="24"/>
                <w:highlight w:val="none"/>
              </w:rPr>
            </w:pPr>
            <w:r>
              <w:rPr>
                <w:rFonts w:hint="eastAsia" w:ascii="宋体" w:hAnsi="宋体"/>
                <w:color w:val="auto"/>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3750DE4">
            <w:pPr>
              <w:widowControl/>
              <w:spacing w:line="360" w:lineRule="auto"/>
              <w:jc w:val="left"/>
              <w:rPr>
                <w:rFonts w:hint="eastAsia" w:ascii="宋体" w:hAnsi="宋体"/>
                <w:color w:val="auto"/>
                <w:kern w:val="0"/>
                <w:sz w:val="24"/>
                <w:highlight w:val="none"/>
              </w:rPr>
            </w:pPr>
            <w:r>
              <w:rPr>
                <w:rFonts w:hint="eastAsia" w:ascii="宋体" w:hAnsi="宋体"/>
                <w:color w:val="auto"/>
                <w:kern w:val="0"/>
                <w:sz w:val="24"/>
                <w:highlight w:val="none"/>
              </w:rPr>
              <w:t>服务范围及工作标准</w:t>
            </w:r>
          </w:p>
        </w:tc>
        <w:tc>
          <w:tcPr>
            <w:tcW w:w="6555" w:type="dxa"/>
            <w:tcBorders>
              <w:top w:val="single" w:color="auto" w:sz="4" w:space="0"/>
              <w:left w:val="nil"/>
              <w:bottom w:val="single" w:color="auto" w:sz="4" w:space="0"/>
              <w:right w:val="single" w:color="auto" w:sz="4" w:space="0"/>
            </w:tcBorders>
            <w:noWrap w:val="0"/>
            <w:vAlign w:val="center"/>
          </w:tcPr>
          <w:p w14:paraId="641A149F">
            <w:pPr>
              <w:spacing w:line="360" w:lineRule="auto"/>
              <w:rPr>
                <w:rFonts w:hint="eastAsia" w:ascii="宋体" w:hAnsi="宋体"/>
                <w:color w:val="auto"/>
                <w:sz w:val="24"/>
                <w:highlight w:val="none"/>
              </w:rPr>
            </w:pPr>
          </w:p>
        </w:tc>
      </w:tr>
      <w:tr w14:paraId="382F7A2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51735C6">
            <w:pPr>
              <w:spacing w:line="360" w:lineRule="auto"/>
              <w:rPr>
                <w:rFonts w:hint="eastAsia" w:ascii="宋体" w:hAnsi="宋体"/>
                <w:color w:val="auto"/>
                <w:sz w:val="24"/>
                <w:highlight w:val="none"/>
              </w:rPr>
            </w:pPr>
            <w:r>
              <w:rPr>
                <w:rFonts w:hint="eastAsia" w:ascii="宋体" w:hAnsi="宋体"/>
                <w:color w:val="auto"/>
                <w:sz w:val="24"/>
                <w:highlight w:val="none"/>
              </w:rPr>
              <w:t>2.1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779A19D">
            <w:pPr>
              <w:spacing w:line="360" w:lineRule="auto"/>
              <w:rPr>
                <w:rFonts w:hint="eastAsia" w:ascii="宋体" w:hAnsi="宋体"/>
                <w:color w:val="auto"/>
                <w:sz w:val="24"/>
                <w:highlight w:val="none"/>
              </w:rPr>
            </w:pPr>
            <w:r>
              <w:rPr>
                <w:rFonts w:hint="eastAsia" w:ascii="宋体" w:hAnsi="宋体"/>
                <w:color w:val="auto"/>
                <w:sz w:val="24"/>
                <w:highlight w:val="none"/>
              </w:rPr>
              <w:t>整体服务范围</w:t>
            </w:r>
          </w:p>
        </w:tc>
        <w:tc>
          <w:tcPr>
            <w:tcW w:w="6555" w:type="dxa"/>
            <w:tcBorders>
              <w:top w:val="single" w:color="auto" w:sz="4" w:space="0"/>
              <w:left w:val="nil"/>
              <w:bottom w:val="single" w:color="auto" w:sz="4" w:space="0"/>
              <w:right w:val="single" w:color="auto" w:sz="4" w:space="0"/>
            </w:tcBorders>
            <w:noWrap w:val="0"/>
            <w:vAlign w:val="center"/>
          </w:tcPr>
          <w:p w14:paraId="2A8064CD">
            <w:pPr>
              <w:spacing w:line="360" w:lineRule="auto"/>
              <w:rPr>
                <w:rFonts w:hint="eastAsia" w:ascii="宋体" w:hAnsi="宋体"/>
                <w:color w:val="auto"/>
                <w:sz w:val="24"/>
                <w:highlight w:val="none"/>
              </w:rPr>
            </w:pPr>
            <w:r>
              <w:rPr>
                <w:rFonts w:hint="eastAsia" w:ascii="宋体" w:hAnsi="宋体"/>
                <w:color w:val="auto"/>
                <w:sz w:val="24"/>
                <w:highlight w:val="none"/>
              </w:rPr>
              <w:t>具体以采购人指定区域为准</w:t>
            </w:r>
          </w:p>
        </w:tc>
      </w:tr>
      <w:tr w14:paraId="46E10BD6">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5141E5">
            <w:pPr>
              <w:spacing w:line="360" w:lineRule="auto"/>
              <w:rPr>
                <w:rFonts w:hint="eastAsia" w:ascii="宋体" w:hAnsi="宋体"/>
                <w:color w:val="auto"/>
                <w:sz w:val="24"/>
                <w:highlight w:val="none"/>
              </w:rPr>
            </w:pPr>
            <w:r>
              <w:rPr>
                <w:rFonts w:hint="eastAsia" w:ascii="宋体" w:hAnsi="宋体"/>
                <w:color w:val="auto"/>
                <w:sz w:val="24"/>
                <w:highlight w:val="none"/>
              </w:rPr>
              <w:t>2.2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D7134C8">
            <w:pPr>
              <w:spacing w:line="360" w:lineRule="auto"/>
              <w:rPr>
                <w:rFonts w:hint="eastAsia" w:ascii="宋体" w:hAnsi="宋体"/>
                <w:color w:val="auto"/>
                <w:sz w:val="24"/>
                <w:highlight w:val="none"/>
              </w:rPr>
            </w:pPr>
            <w:r>
              <w:rPr>
                <w:rFonts w:hint="eastAsia" w:ascii="宋体" w:hAnsi="宋体"/>
                <w:color w:val="auto"/>
                <w:sz w:val="24"/>
                <w:highlight w:val="none"/>
              </w:rPr>
              <w:t>内科楼服务范围、日常保洁要求及服务标准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29D6B894">
            <w:pPr>
              <w:pStyle w:val="24"/>
              <w:spacing w:line="360" w:lineRule="auto"/>
              <w:rPr>
                <w:rFonts w:hAnsi="宋体"/>
                <w:color w:val="auto"/>
                <w:sz w:val="24"/>
                <w:szCs w:val="24"/>
                <w:highlight w:val="none"/>
              </w:rPr>
            </w:pPr>
            <w:r>
              <w:rPr>
                <w:rFonts w:hAnsi="宋体"/>
                <w:color w:val="auto"/>
                <w:sz w:val="24"/>
                <w:szCs w:val="24"/>
                <w:highlight w:val="none"/>
              </w:rPr>
              <w:t>一、服务范围</w:t>
            </w:r>
          </w:p>
          <w:p w14:paraId="727E87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1、12层、11层信息部、设备间、公共区域及卫生间清洁。</w:t>
            </w:r>
          </w:p>
          <w:p w14:paraId="12FAD24D">
            <w:pPr>
              <w:pStyle w:val="161"/>
              <w:numPr>
                <w:ilvl w:val="0"/>
                <w:numId w:val="14"/>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每日对两侧消防楼梯及主楼梯（12-B2）进行清洁，清扫杂物、烟头、小广告等。</w:t>
            </w:r>
          </w:p>
          <w:p w14:paraId="2783B797">
            <w:pPr>
              <w:spacing w:line="360" w:lineRule="auto"/>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、各病区(1-10)：完成各病区医办室、护士站、换药室、休息室、公共卫生间、通道、各病房内清洁，严格按照保洁流程完成工作任务。患者出院后，按要求进行终末消毒。</w:t>
            </w:r>
          </w:p>
          <w:p w14:paraId="2D856C00">
            <w:pPr>
              <w:pStyle w:val="161"/>
              <w:numPr>
                <w:ilvl w:val="0"/>
                <w:numId w:val="15"/>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各楼层电梯厅、垃圾间卫生,清理小广告，劝阻吸烟人员。</w:t>
            </w:r>
          </w:p>
          <w:p w14:paraId="2A7905A8">
            <w:pPr>
              <w:pStyle w:val="161"/>
              <w:numPr>
                <w:ilvl w:val="0"/>
                <w:numId w:val="15"/>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重点科室：移植病区，严格按照管理规定执行，符合感控要求。</w:t>
            </w:r>
          </w:p>
          <w:p w14:paraId="45EB77C8">
            <w:pPr>
              <w:pStyle w:val="161"/>
              <w:numPr>
                <w:ilvl w:val="0"/>
                <w:numId w:val="15"/>
              </w:numPr>
              <w:spacing w:line="360" w:lineRule="auto"/>
              <w:ind w:firstLineChars="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按要求，收集转运生活垃圾、医疗垃圾及涉疫医疗垃圾，收集完成后对垃圾暂存区域进行消毒。</w:t>
            </w:r>
          </w:p>
          <w:p w14:paraId="35CEDF36">
            <w:pPr>
              <w:spacing w:line="360" w:lineRule="auto"/>
              <w:rPr>
                <w:rFonts w:hint="eastAsia" w:ascii="宋体" w:hAns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、机动（终末消毒）人员负责科室患者出院人数相对集中，人数较多时，协助科室保洁员完成科室终末消毒保洁工作，做好值班期间科室保洁巡视工作，确保科室保洁质量。</w:t>
            </w:r>
          </w:p>
          <w:p w14:paraId="165F8D0E">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3798D688">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796ADF3F">
            <w:pPr>
              <w:pStyle w:val="161"/>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31007D41">
            <w:pPr>
              <w:pStyle w:val="161"/>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31E43D13">
            <w:pPr>
              <w:pStyle w:val="161"/>
              <w:numPr>
                <w:ilvl w:val="0"/>
                <w:numId w:val="1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75CD7BF1">
            <w:pPr>
              <w:pStyle w:val="161"/>
              <w:numPr>
                <w:ilvl w:val="0"/>
                <w:numId w:val="1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r>
              <w:rPr>
                <w:rFonts w:hint="eastAsia" w:ascii="宋体" w:hAnsi="宋体"/>
                <w:color w:val="auto"/>
                <w:sz w:val="24"/>
                <w:szCs w:val="24"/>
                <w:highlight w:val="none"/>
              </w:rPr>
              <w:t>。</w:t>
            </w:r>
          </w:p>
          <w:p w14:paraId="6F4C9237">
            <w:pPr>
              <w:pStyle w:val="161"/>
              <w:numPr>
                <w:ilvl w:val="0"/>
                <w:numId w:val="1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0D2D1E2A">
            <w:pPr>
              <w:pStyle w:val="161"/>
              <w:numPr>
                <w:ilvl w:val="0"/>
                <w:numId w:val="1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765E2244">
            <w:pPr>
              <w:pStyle w:val="161"/>
              <w:numPr>
                <w:ilvl w:val="0"/>
                <w:numId w:val="1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45F6AC40">
            <w:pPr>
              <w:pStyle w:val="161"/>
              <w:numPr>
                <w:ilvl w:val="0"/>
                <w:numId w:val="16"/>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4F7764E0">
            <w:pPr>
              <w:pStyle w:val="161"/>
              <w:numPr>
                <w:ilvl w:val="0"/>
                <w:numId w:val="17"/>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办公区域按规定</w:t>
            </w:r>
            <w:r>
              <w:rPr>
                <w:rFonts w:ascii="宋体" w:hAnsi="宋体"/>
                <w:color w:val="auto"/>
                <w:sz w:val="24"/>
                <w:szCs w:val="24"/>
                <w:highlight w:val="none"/>
              </w:rPr>
              <w:t>分类收集垃圾，清</w:t>
            </w:r>
            <w:r>
              <w:rPr>
                <w:rFonts w:hint="eastAsia" w:ascii="宋体" w:hAnsi="宋体"/>
                <w:color w:val="auto"/>
                <w:sz w:val="24"/>
                <w:szCs w:val="24"/>
                <w:highlight w:val="none"/>
              </w:rPr>
              <w:t>拖</w:t>
            </w:r>
            <w:r>
              <w:rPr>
                <w:rFonts w:ascii="宋体" w:hAnsi="宋体"/>
                <w:color w:val="auto"/>
                <w:sz w:val="24"/>
                <w:szCs w:val="24"/>
                <w:highlight w:val="none"/>
              </w:rPr>
              <w:t>地面，保持清洁，擦抹门窗</w:t>
            </w:r>
            <w:r>
              <w:rPr>
                <w:rFonts w:hint="eastAsia" w:ascii="宋体" w:hAnsi="宋体"/>
                <w:color w:val="auto"/>
                <w:sz w:val="24"/>
                <w:szCs w:val="24"/>
                <w:highlight w:val="none"/>
              </w:rPr>
              <w:t>、</w:t>
            </w:r>
            <w:r>
              <w:rPr>
                <w:rFonts w:ascii="宋体" w:hAnsi="宋体"/>
                <w:color w:val="auto"/>
                <w:sz w:val="24"/>
                <w:szCs w:val="24"/>
                <w:highlight w:val="none"/>
              </w:rPr>
              <w:t>办公室家具。特殊</w:t>
            </w:r>
            <w:r>
              <w:rPr>
                <w:rFonts w:hint="eastAsia" w:ascii="宋体" w:hAnsi="宋体"/>
                <w:color w:val="auto"/>
                <w:sz w:val="24"/>
                <w:szCs w:val="24"/>
                <w:highlight w:val="none"/>
              </w:rPr>
              <w:t>情况</w:t>
            </w:r>
            <w:r>
              <w:rPr>
                <w:rFonts w:ascii="宋体" w:hAnsi="宋体"/>
                <w:color w:val="auto"/>
                <w:sz w:val="24"/>
                <w:szCs w:val="24"/>
                <w:highlight w:val="none"/>
              </w:rPr>
              <w:t>下应先敲门</w:t>
            </w:r>
            <w:r>
              <w:rPr>
                <w:rFonts w:hint="eastAsia" w:ascii="宋体" w:hAnsi="宋体"/>
                <w:color w:val="auto"/>
                <w:sz w:val="24"/>
                <w:szCs w:val="24"/>
                <w:highlight w:val="none"/>
              </w:rPr>
              <w:t>再</w:t>
            </w:r>
            <w:r>
              <w:rPr>
                <w:rFonts w:ascii="宋体" w:hAnsi="宋体"/>
                <w:color w:val="auto"/>
                <w:sz w:val="24"/>
                <w:szCs w:val="24"/>
                <w:highlight w:val="none"/>
              </w:rPr>
              <w:t>进入，使用文明用语。工作时</w:t>
            </w:r>
            <w:r>
              <w:rPr>
                <w:rFonts w:hint="eastAsia" w:ascii="宋体" w:hAnsi="宋体"/>
                <w:color w:val="auto"/>
                <w:sz w:val="24"/>
                <w:szCs w:val="24"/>
                <w:highlight w:val="none"/>
              </w:rPr>
              <w:t>应</w:t>
            </w:r>
            <w:r>
              <w:rPr>
                <w:rFonts w:ascii="宋体" w:hAnsi="宋体"/>
                <w:color w:val="auto"/>
                <w:sz w:val="24"/>
                <w:szCs w:val="24"/>
                <w:highlight w:val="none"/>
              </w:rPr>
              <w:t>保持安静，</w:t>
            </w:r>
            <w:r>
              <w:rPr>
                <w:rFonts w:hint="eastAsia" w:ascii="宋体" w:hAnsi="宋体"/>
                <w:color w:val="auto"/>
                <w:sz w:val="24"/>
                <w:szCs w:val="24"/>
                <w:highlight w:val="none"/>
              </w:rPr>
              <w:t>不得</w:t>
            </w:r>
            <w:r>
              <w:rPr>
                <w:rFonts w:ascii="宋体" w:hAnsi="宋体"/>
                <w:color w:val="auto"/>
                <w:sz w:val="24"/>
                <w:szCs w:val="24"/>
                <w:highlight w:val="none"/>
              </w:rPr>
              <w:t>大声喧哗，工作</w:t>
            </w:r>
            <w:r>
              <w:rPr>
                <w:rFonts w:hint="eastAsia" w:ascii="宋体" w:hAnsi="宋体"/>
                <w:color w:val="auto"/>
                <w:sz w:val="24"/>
                <w:szCs w:val="24"/>
                <w:highlight w:val="none"/>
              </w:rPr>
              <w:t>性</w:t>
            </w:r>
            <w:r>
              <w:rPr>
                <w:rFonts w:ascii="宋体" w:hAnsi="宋体"/>
                <w:color w:val="auto"/>
                <w:sz w:val="24"/>
                <w:szCs w:val="24"/>
                <w:highlight w:val="none"/>
              </w:rPr>
              <w:t>交谈小声进行，不得干扰</w:t>
            </w:r>
            <w:r>
              <w:rPr>
                <w:rFonts w:hint="eastAsia" w:ascii="宋体" w:hAnsi="宋体"/>
                <w:color w:val="auto"/>
                <w:sz w:val="24"/>
                <w:szCs w:val="24"/>
                <w:highlight w:val="none"/>
              </w:rPr>
              <w:t>医护</w:t>
            </w:r>
            <w:r>
              <w:rPr>
                <w:rFonts w:ascii="宋体" w:hAnsi="宋体"/>
                <w:color w:val="auto"/>
                <w:sz w:val="24"/>
                <w:szCs w:val="24"/>
                <w:highlight w:val="none"/>
              </w:rPr>
              <w:t>人员休息。医院</w:t>
            </w:r>
            <w:r>
              <w:rPr>
                <w:rFonts w:hint="eastAsia" w:ascii="宋体" w:hAnsi="宋体"/>
                <w:color w:val="auto"/>
                <w:sz w:val="24"/>
                <w:szCs w:val="24"/>
                <w:highlight w:val="none"/>
              </w:rPr>
              <w:t>办公室、</w:t>
            </w:r>
            <w:r>
              <w:rPr>
                <w:rFonts w:ascii="宋体" w:hAnsi="宋体"/>
                <w:color w:val="auto"/>
                <w:sz w:val="24"/>
                <w:szCs w:val="24"/>
                <w:highlight w:val="none"/>
              </w:rPr>
              <w:t>休息室内保持干净，桌椅摆放</w:t>
            </w:r>
            <w:r>
              <w:rPr>
                <w:rFonts w:hint="eastAsia" w:ascii="宋体" w:hAnsi="宋体"/>
                <w:color w:val="auto"/>
                <w:sz w:val="24"/>
                <w:szCs w:val="24"/>
                <w:highlight w:val="none"/>
              </w:rPr>
              <w:t>整齐</w:t>
            </w:r>
            <w:r>
              <w:rPr>
                <w:rFonts w:ascii="宋体" w:hAnsi="宋体"/>
                <w:color w:val="auto"/>
                <w:sz w:val="24"/>
                <w:szCs w:val="24"/>
                <w:highlight w:val="none"/>
              </w:rPr>
              <w:t>。</w:t>
            </w:r>
          </w:p>
          <w:p w14:paraId="2706E0D6">
            <w:pPr>
              <w:pStyle w:val="161"/>
              <w:numPr>
                <w:ilvl w:val="0"/>
                <w:numId w:val="17"/>
              </w:numPr>
              <w:spacing w:line="360" w:lineRule="auto"/>
              <w:ind w:firstLineChars="0"/>
              <w:contextualSpacing/>
              <w:rPr>
                <w:rFonts w:ascii="宋体" w:hAnsi="宋体"/>
                <w:color w:val="auto"/>
                <w:sz w:val="24"/>
                <w:szCs w:val="24"/>
                <w:highlight w:val="none"/>
              </w:rPr>
            </w:pPr>
            <w:r>
              <w:rPr>
                <w:rFonts w:ascii="宋体" w:hAnsi="宋体"/>
                <w:color w:val="auto"/>
                <w:sz w:val="24"/>
                <w:szCs w:val="24"/>
                <w:highlight w:val="none"/>
              </w:rPr>
              <w:t>通道、楼梯</w:t>
            </w:r>
            <w:r>
              <w:rPr>
                <w:rFonts w:hint="eastAsia" w:ascii="宋体" w:hAnsi="宋体"/>
                <w:color w:val="auto"/>
                <w:sz w:val="24"/>
                <w:szCs w:val="24"/>
                <w:highlight w:val="none"/>
              </w:rPr>
              <w:t>保洁：</w:t>
            </w:r>
          </w:p>
          <w:p w14:paraId="0452F4F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3F901D39">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068529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25B17FB">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65483F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按照</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6B8407DF">
            <w:pPr>
              <w:pStyle w:val="161"/>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（1）每天重点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71BEDF41">
            <w:pPr>
              <w:pStyle w:val="161"/>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（2）擦拭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63B4E3D1">
            <w:pPr>
              <w:pStyle w:val="161"/>
              <w:spacing w:line="360" w:lineRule="auto"/>
              <w:ind w:firstLine="0" w:firstLineChars="0"/>
              <w:contextualSpacing/>
              <w:rPr>
                <w:rFonts w:ascii="宋体" w:hAnsi="宋体"/>
                <w:color w:val="auto"/>
                <w:sz w:val="24"/>
                <w:szCs w:val="24"/>
                <w:highlight w:val="none"/>
              </w:rPr>
            </w:pPr>
            <w:r>
              <w:rPr>
                <w:rFonts w:hint="eastAsia" w:ascii="宋体" w:hAnsi="宋体"/>
                <w:color w:val="auto"/>
                <w:sz w:val="24"/>
                <w:szCs w:val="24"/>
                <w:highlight w:val="none"/>
              </w:rPr>
              <w:t>（3）擦拭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247C59EF">
            <w:pPr>
              <w:spacing w:line="360" w:lineRule="auto"/>
              <w:rPr>
                <w:rFonts w:ascii="宋体" w:hAnsi="宋体"/>
                <w:color w:val="auto"/>
                <w:sz w:val="24"/>
                <w:highlight w:val="none"/>
              </w:rPr>
            </w:pPr>
            <w:r>
              <w:rPr>
                <w:rFonts w:hint="eastAsia" w:ascii="宋体" w:hAnsi="宋体"/>
                <w:color w:val="auto"/>
                <w:sz w:val="24"/>
                <w:highlight w:val="none"/>
              </w:rPr>
              <w:t>（4）擦拭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43742D9F">
            <w:pPr>
              <w:pStyle w:val="161"/>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（5）擦拭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423D317">
            <w:pPr>
              <w:spacing w:line="360" w:lineRule="auto"/>
              <w:rPr>
                <w:rFonts w:ascii="宋体" w:hAnsi="宋体"/>
                <w:color w:val="auto"/>
                <w:sz w:val="24"/>
                <w:highlight w:val="none"/>
              </w:rPr>
            </w:pPr>
            <w:r>
              <w:rPr>
                <w:rFonts w:hint="eastAsia" w:ascii="宋体" w:hAnsi="宋体"/>
                <w:color w:val="auto"/>
                <w:sz w:val="24"/>
                <w:highlight w:val="none"/>
              </w:rPr>
              <w:t>（6）金属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22DC48FE">
            <w:pPr>
              <w:spacing w:line="360" w:lineRule="auto"/>
              <w:rPr>
                <w:rFonts w:ascii="宋体" w:hAnsi="宋体"/>
                <w:color w:val="auto"/>
                <w:sz w:val="24"/>
                <w:highlight w:val="none"/>
              </w:rPr>
            </w:pPr>
            <w:r>
              <w:rPr>
                <w:rFonts w:hint="eastAsia" w:ascii="宋体" w:hAnsi="宋体"/>
                <w:color w:val="auto"/>
                <w:sz w:val="24"/>
                <w:highlight w:val="none"/>
              </w:rPr>
              <w:t>（7）要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1AF0B492">
            <w:pPr>
              <w:pStyle w:val="161"/>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（8）清扫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0D77E27A">
            <w:pPr>
              <w:spacing w:line="360" w:lineRule="auto"/>
              <w:rPr>
                <w:rFonts w:ascii="宋体" w:hAnsi="宋体"/>
                <w:color w:val="auto"/>
                <w:sz w:val="24"/>
                <w:highlight w:val="none"/>
              </w:rPr>
            </w:pPr>
            <w:r>
              <w:rPr>
                <w:rFonts w:hint="eastAsia" w:ascii="宋体" w:hAnsi="宋体"/>
                <w:color w:val="auto"/>
                <w:sz w:val="24"/>
                <w:highlight w:val="none"/>
              </w:rPr>
              <w:t>（9）定期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536DCB28">
            <w:pPr>
              <w:spacing w:line="360" w:lineRule="auto"/>
              <w:rPr>
                <w:rFonts w:ascii="宋体" w:hAnsi="宋体"/>
                <w:color w:val="auto"/>
                <w:sz w:val="24"/>
                <w:highlight w:val="none"/>
              </w:rPr>
            </w:pPr>
            <w:r>
              <w:rPr>
                <w:rFonts w:hint="eastAsia" w:ascii="宋体" w:hAnsi="宋体"/>
                <w:color w:val="auto"/>
                <w:sz w:val="24"/>
                <w:highlight w:val="none"/>
              </w:rPr>
              <w:t>（10）经常</w:t>
            </w:r>
            <w:r>
              <w:rPr>
                <w:rFonts w:ascii="宋体" w:hAnsi="宋体"/>
                <w:color w:val="auto"/>
                <w:sz w:val="24"/>
                <w:highlight w:val="none"/>
              </w:rPr>
              <w:t>巡视冲洗厕位。</w:t>
            </w:r>
          </w:p>
          <w:p w14:paraId="09F368C8">
            <w:pPr>
              <w:spacing w:line="360" w:lineRule="auto"/>
              <w:rPr>
                <w:rFonts w:ascii="宋体" w:hAnsi="宋体"/>
                <w:color w:val="auto"/>
                <w:sz w:val="24"/>
                <w:highlight w:val="none"/>
              </w:rPr>
            </w:pPr>
            <w:r>
              <w:rPr>
                <w:rFonts w:hint="eastAsia" w:ascii="Cambria Math" w:hAnsi="Cambria Math" w:cs="Cambria Math"/>
                <w:color w:val="auto"/>
                <w:sz w:val="24"/>
                <w:highlight w:val="none"/>
              </w:rPr>
              <w:t>（11）</w:t>
            </w: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575991E2">
            <w:pPr>
              <w:spacing w:line="360" w:lineRule="auto"/>
              <w:rPr>
                <w:rFonts w:ascii="宋体" w:hAnsi="宋体"/>
                <w:color w:val="auto"/>
                <w:sz w:val="24"/>
                <w:highlight w:val="none"/>
              </w:rPr>
            </w:pPr>
            <w:r>
              <w:rPr>
                <w:rFonts w:hint="eastAsia" w:ascii="Cambria Math" w:hAnsi="Cambria Math" w:cs="Cambria Math"/>
                <w:color w:val="auto"/>
                <w:sz w:val="24"/>
                <w:highlight w:val="none"/>
              </w:rPr>
              <w:t>（12）</w:t>
            </w: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59F4B70B">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5FA9C38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w:t>
            </w:r>
            <w:r>
              <w:rPr>
                <w:rFonts w:hint="eastAsia" w:ascii="宋体" w:hAnsi="宋体"/>
                <w:color w:val="auto"/>
                <w:sz w:val="24"/>
                <w:highlight w:val="none"/>
              </w:rPr>
              <w:t>医院院感科</w:t>
            </w:r>
            <w:r>
              <w:rPr>
                <w:rFonts w:ascii="宋体" w:hAnsi="宋体"/>
                <w:color w:val="auto"/>
                <w:sz w:val="24"/>
                <w:highlight w:val="none"/>
              </w:rPr>
              <w:t>及后勤处的管理。</w:t>
            </w:r>
          </w:p>
          <w:p w14:paraId="01E85A79">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25E7E1F6">
            <w:pPr>
              <w:spacing w:line="360" w:lineRule="auto"/>
              <w:rPr>
                <w:rFonts w:hint="eastAsia" w:ascii="宋体" w:hAnsi="宋体"/>
                <w:color w:val="auto"/>
                <w:sz w:val="24"/>
                <w:highlight w:val="none"/>
              </w:rPr>
            </w:pPr>
            <w:r>
              <w:rPr>
                <w:rFonts w:hint="eastAsia" w:ascii="宋体" w:hAnsi="宋体"/>
                <w:color w:val="auto"/>
                <w:sz w:val="24"/>
                <w:highlight w:val="none"/>
              </w:rPr>
              <w:t>（1）患者出院人数相对集中，人数较多时（上午8:0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），协助科室保洁员完成科室终末消毒保洁工作，保持电话畅通，接到通知后1</w:t>
            </w:r>
            <w:r>
              <w:rPr>
                <w:rFonts w:ascii="宋体" w:hAnsi="宋体"/>
                <w:color w:val="auto"/>
                <w:sz w:val="24"/>
                <w:highlight w:val="none"/>
              </w:rPr>
              <w:t>0分钟内到达科室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3BB4D2CF">
            <w:pPr>
              <w:spacing w:line="360" w:lineRule="auto"/>
              <w:rPr>
                <w:rFonts w:hint="eastAsia" w:ascii="宋体" w:hAnsi="宋体"/>
                <w:color w:val="auto"/>
                <w:sz w:val="24"/>
                <w:highlight w:val="none"/>
              </w:rPr>
            </w:pPr>
            <w:r>
              <w:rPr>
                <w:rFonts w:hint="eastAsia" w:ascii="宋体" w:hAnsi="宋体"/>
                <w:color w:val="auto"/>
                <w:sz w:val="24"/>
                <w:highlight w:val="none"/>
              </w:rPr>
              <w:t>（2）值班时间段保洁巡视工作（遇保洁事件保证1</w:t>
            </w:r>
            <w:r>
              <w:rPr>
                <w:rFonts w:ascii="宋体" w:hAnsi="宋体"/>
                <w:color w:val="auto"/>
                <w:sz w:val="24"/>
                <w:highlight w:val="none"/>
              </w:rPr>
              <w:t>0分钟到</w:t>
            </w:r>
            <w:r>
              <w:rPr>
                <w:rFonts w:hint="eastAsia" w:ascii="宋体" w:hAnsi="宋体"/>
                <w:color w:val="auto"/>
                <w:sz w:val="24"/>
                <w:highlight w:val="none"/>
              </w:rPr>
              <w:t>位）</w:t>
            </w:r>
            <w:r>
              <w:rPr>
                <w:rFonts w:ascii="宋体" w:hAnsi="宋体"/>
                <w:color w:val="auto"/>
                <w:sz w:val="24"/>
                <w:highlight w:val="none"/>
              </w:rPr>
              <w:t>确保工作质量</w:t>
            </w:r>
            <w:r>
              <w:rPr>
                <w:rFonts w:hint="eastAsia" w:ascii="宋体" w:hAnsi="宋体"/>
                <w:color w:val="auto"/>
                <w:sz w:val="24"/>
                <w:highlight w:val="none"/>
              </w:rPr>
              <w:t>。</w:t>
            </w:r>
          </w:p>
          <w:p w14:paraId="64566A06">
            <w:pPr>
              <w:spacing w:line="360" w:lineRule="auto"/>
              <w:rPr>
                <w:rFonts w:hint="eastAsia" w:ascii="宋体" w:hAnsi="宋体"/>
                <w:color w:val="auto"/>
                <w:sz w:val="24"/>
                <w:highlight w:val="none"/>
              </w:rPr>
            </w:pPr>
            <w:r>
              <w:rPr>
                <w:rFonts w:hint="eastAsia" w:ascii="宋体" w:hAnsi="宋体"/>
                <w:color w:val="auto"/>
                <w:sz w:val="24"/>
                <w:highlight w:val="none"/>
              </w:rPr>
              <w:t>（3）中午1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0D59DC0E">
            <w:pPr>
              <w:spacing w:line="360" w:lineRule="auto"/>
              <w:rPr>
                <w:rFonts w:ascii="宋体" w:hAnsi="宋体"/>
                <w:color w:val="auto"/>
                <w:sz w:val="24"/>
                <w:highlight w:val="none"/>
              </w:rPr>
            </w:pPr>
            <w:r>
              <w:rPr>
                <w:rFonts w:hint="eastAsia" w:ascii="宋体" w:hAnsi="宋体"/>
                <w:color w:val="auto"/>
                <w:sz w:val="24"/>
                <w:highlight w:val="none"/>
              </w:rPr>
              <w:t>（4）小夜班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6D22DE2A">
            <w:pPr>
              <w:spacing w:line="360" w:lineRule="auto"/>
              <w:rPr>
                <w:rFonts w:hint="eastAsia" w:ascii="宋体" w:hAnsi="宋体"/>
                <w:color w:val="auto"/>
                <w:sz w:val="24"/>
                <w:highlight w:val="none"/>
              </w:rPr>
            </w:pPr>
            <w:r>
              <w:rPr>
                <w:rFonts w:hint="eastAsia" w:ascii="宋体" w:hAnsi="宋体"/>
                <w:color w:val="auto"/>
                <w:sz w:val="24"/>
                <w:highlight w:val="none"/>
              </w:rPr>
              <w:t>（5）大夜2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060B01EE">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56F6CC7">
            <w:pPr>
              <w:spacing w:line="360" w:lineRule="auto"/>
              <w:rPr>
                <w:rFonts w:hint="eastAsia" w:ascii="宋体" w:hAnsi="宋体"/>
                <w:color w:val="auto"/>
                <w:sz w:val="24"/>
                <w:highlight w:val="none"/>
              </w:rPr>
            </w:pPr>
            <w:r>
              <w:rPr>
                <w:rFonts w:hint="eastAsia" w:ascii="宋体" w:hAnsi="宋体"/>
                <w:color w:val="auto"/>
                <w:sz w:val="24"/>
                <w:highlight w:val="none"/>
              </w:rPr>
              <w:t>2.3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B02B96A">
            <w:pPr>
              <w:spacing w:line="360" w:lineRule="auto"/>
              <w:rPr>
                <w:rFonts w:hint="eastAsia" w:ascii="宋体" w:hAnsi="宋体"/>
                <w:color w:val="auto"/>
                <w:sz w:val="24"/>
                <w:highlight w:val="none"/>
              </w:rPr>
            </w:pPr>
            <w:r>
              <w:rPr>
                <w:rFonts w:hint="eastAsia" w:ascii="宋体" w:hAnsi="宋体"/>
                <w:color w:val="auto"/>
                <w:sz w:val="24"/>
                <w:highlight w:val="none"/>
              </w:rPr>
              <w:t>外科楼科楼服务范围、日常保洁要求及服务标准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08662964">
            <w:pPr>
              <w:pStyle w:val="24"/>
              <w:spacing w:line="360" w:lineRule="auto"/>
              <w:rPr>
                <w:rFonts w:hAnsi="宋体"/>
                <w:color w:val="auto"/>
                <w:sz w:val="24"/>
                <w:szCs w:val="24"/>
                <w:highlight w:val="none"/>
              </w:rPr>
            </w:pPr>
            <w:r>
              <w:rPr>
                <w:rFonts w:hAnsi="宋体"/>
                <w:color w:val="auto"/>
                <w:sz w:val="24"/>
                <w:szCs w:val="24"/>
                <w:highlight w:val="none"/>
              </w:rPr>
              <w:t>一、服务范围</w:t>
            </w:r>
          </w:p>
          <w:p w14:paraId="41DBFB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1、一层大厅：公共卫生间 、挂号室、康复科、出住院处、接诊室、医保处、精密仪器科室、生物样本库进行清洁消毒、清扫杂物、烟头、小广告等。</w:t>
            </w:r>
          </w:p>
          <w:p w14:paraId="155690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2、报告厅：定期清洁地毯,吸尘,每次会议后清理杂物,收集垃圾。每天清洁报告厅通道和文化墙，定期清理玻璃顶。</w:t>
            </w:r>
          </w:p>
          <w:p w14:paraId="115121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3、二层至八层病区：清洁各病区医办室、护士站、换药室、休息室、医用及患者用卫生间、通道、各病房内清洁，严格按照保洁流程完成工作。患者出院后，按要求进行终末消毒操作。</w:t>
            </w:r>
          </w:p>
          <w:p w14:paraId="63BAC3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4、重点科室--手术室、麻醉科(9-10层)严格按照手术室规定执行，符合感控要求。</w:t>
            </w:r>
          </w:p>
          <w:p w14:paraId="29A6FD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5、ICU监护室严格按照管理规定执行，符合感控要求。</w:t>
            </w:r>
          </w:p>
          <w:p w14:paraId="7AF72C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6、两侧楼梯(10层至地下2层)及电梯厅：专人巡视进行清洁，清扫杂物、烟头、小广告等。</w:t>
            </w:r>
          </w:p>
          <w:p w14:paraId="1898489D">
            <w:pPr>
              <w:spacing w:line="360" w:lineRule="auto"/>
              <w:rPr>
                <w:rFonts w:hint="eastAsia" w:ascii="宋体" w:hAnsi="宋体" w:cs="宋体"/>
                <w:color w:val="auto"/>
                <w:sz w:val="24"/>
                <w:highlight w:val="none"/>
              </w:rPr>
            </w:pPr>
            <w:r>
              <w:rPr>
                <w:rFonts w:hint="eastAsia" w:ascii="宋体" w:hAnsi="宋体" w:cs="宋体"/>
                <w:color w:val="auto"/>
                <w:sz w:val="24"/>
                <w:highlight w:val="none"/>
              </w:rPr>
              <w:t>7、机动（终末消毒）人员负责科室患者出院人数相对集中，人数较多时，协助科室保洁员完成科室终末消毒保洁工作，做好值班期间科室保洁巡视工作，确保科室保洁质量。</w:t>
            </w:r>
          </w:p>
          <w:p w14:paraId="6D0E00EA">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2E6C35CF">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10168586">
            <w:pPr>
              <w:pStyle w:val="161"/>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62C27B08">
            <w:pPr>
              <w:pStyle w:val="161"/>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2C2CEF5A">
            <w:pPr>
              <w:pStyle w:val="161"/>
              <w:numPr>
                <w:ilvl w:val="0"/>
                <w:numId w:val="18"/>
              </w:numPr>
              <w:tabs>
                <w:tab w:val="left" w:pos="426"/>
              </w:tabs>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62711009">
            <w:pPr>
              <w:pStyle w:val="161"/>
              <w:numPr>
                <w:ilvl w:val="0"/>
                <w:numId w:val="18"/>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p>
          <w:p w14:paraId="01837298">
            <w:pPr>
              <w:pStyle w:val="161"/>
              <w:numPr>
                <w:ilvl w:val="0"/>
                <w:numId w:val="18"/>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464FD714">
            <w:pPr>
              <w:pStyle w:val="161"/>
              <w:numPr>
                <w:ilvl w:val="0"/>
                <w:numId w:val="18"/>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7CC9B3CB">
            <w:pPr>
              <w:pStyle w:val="161"/>
              <w:numPr>
                <w:ilvl w:val="0"/>
                <w:numId w:val="18"/>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3AFA81B7">
            <w:pPr>
              <w:pStyle w:val="161"/>
              <w:numPr>
                <w:ilvl w:val="0"/>
                <w:numId w:val="18"/>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55E5D0A5">
            <w:pPr>
              <w:spacing w:line="360" w:lineRule="auto"/>
              <w:rPr>
                <w:rFonts w:ascii="宋体" w:hAnsi="宋体"/>
                <w:color w:val="auto"/>
                <w:sz w:val="24"/>
                <w:highlight w:val="none"/>
              </w:rPr>
            </w:pPr>
            <w:r>
              <w:rPr>
                <w:rFonts w:hint="eastAsia" w:ascii="宋体" w:hAnsi="宋体"/>
                <w:color w:val="auto"/>
                <w:sz w:val="24"/>
                <w:highlight w:val="none"/>
              </w:rPr>
              <w:t>4、办公区域按规定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F447191">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通道、楼梯</w:t>
            </w:r>
            <w:r>
              <w:rPr>
                <w:rFonts w:hint="eastAsia" w:ascii="宋体" w:hAnsi="宋体"/>
                <w:color w:val="auto"/>
                <w:sz w:val="24"/>
                <w:highlight w:val="none"/>
              </w:rPr>
              <w:t>保洁：</w:t>
            </w:r>
          </w:p>
          <w:p w14:paraId="48E3435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074AB763">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5E0CE5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CCCF4EC">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6B8EF558">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按照</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0F2E1C0F">
            <w:pPr>
              <w:pStyle w:val="161"/>
              <w:numPr>
                <w:ilvl w:val="0"/>
                <w:numId w:val="19"/>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132115E3">
            <w:pPr>
              <w:pStyle w:val="161"/>
              <w:numPr>
                <w:ilvl w:val="0"/>
                <w:numId w:val="19"/>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28D3E4E4">
            <w:pPr>
              <w:pStyle w:val="161"/>
              <w:numPr>
                <w:ilvl w:val="0"/>
                <w:numId w:val="19"/>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561A83A6">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擦拭洗手间瓷砖墙面、隔断板、隔断门，用湿、干拖布擦地，维持干净。</w:t>
            </w:r>
          </w:p>
          <w:p w14:paraId="1961F034">
            <w:pPr>
              <w:pStyle w:val="161"/>
              <w:numPr>
                <w:ilvl w:val="0"/>
                <w:numId w:val="19"/>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11D106D">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金属器具压水杆及不锈钢扶手、电镀件保持洁净。</w:t>
            </w:r>
          </w:p>
          <w:p w14:paraId="5ACB41A4">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要经常干湿拖地面，及时清理边角烟头纸屑杂物、积水等。</w:t>
            </w:r>
          </w:p>
          <w:p w14:paraId="3967BB6A">
            <w:pPr>
              <w:pStyle w:val="161"/>
              <w:numPr>
                <w:ilvl w:val="0"/>
                <w:numId w:val="19"/>
              </w:numPr>
              <w:spacing w:line="360" w:lineRule="auto"/>
              <w:ind w:firstLineChars="0"/>
              <w:contextualSpacing/>
              <w:jc w:val="left"/>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7B749DCF">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定期清洁天花板、排风口、灯具灯罩。</w:t>
            </w:r>
          </w:p>
          <w:p w14:paraId="0BB364B7">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经常巡视冲洗厕位。</w:t>
            </w:r>
          </w:p>
          <w:p w14:paraId="67C9C808">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及时添加补充大盘纸及洗手液。</w:t>
            </w:r>
          </w:p>
          <w:p w14:paraId="79E0C36D">
            <w:pPr>
              <w:pStyle w:val="161"/>
              <w:numPr>
                <w:ilvl w:val="0"/>
                <w:numId w:val="19"/>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检查卫生间内各种设备，发现损坏及时报修。</w:t>
            </w:r>
          </w:p>
          <w:p w14:paraId="7AFDBA6A">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2D1D85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19117EFA">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0ACE6DEE">
            <w:pPr>
              <w:pStyle w:val="161"/>
              <w:numPr>
                <w:ilvl w:val="0"/>
                <w:numId w:val="20"/>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患者出院人数相对集中，人数较多时（上午8:00-11：00），协助科室保洁员完成科室终末消毒保洁工作，保持电话畅通，接到通知后10分钟内到达科室，确保工作质量</w:t>
            </w:r>
            <w:r>
              <w:rPr>
                <w:rFonts w:hint="eastAsia" w:ascii="宋体" w:hAnsi="宋体"/>
                <w:color w:val="auto"/>
                <w:sz w:val="24"/>
                <w:szCs w:val="24"/>
                <w:highlight w:val="none"/>
              </w:rPr>
              <w:t>。</w:t>
            </w:r>
          </w:p>
          <w:p w14:paraId="2661D33C">
            <w:pPr>
              <w:pStyle w:val="161"/>
              <w:numPr>
                <w:ilvl w:val="0"/>
                <w:numId w:val="20"/>
              </w:numPr>
              <w:spacing w:line="360" w:lineRule="auto"/>
              <w:ind w:firstLineChars="0"/>
              <w:contextualSpacing/>
              <w:jc w:val="left"/>
              <w:rPr>
                <w:rFonts w:ascii="宋体" w:hAnsi="宋体"/>
                <w:color w:val="auto"/>
                <w:sz w:val="24"/>
                <w:szCs w:val="24"/>
                <w:highlight w:val="none"/>
              </w:rPr>
            </w:pPr>
            <w:r>
              <w:rPr>
                <w:rFonts w:ascii="宋体" w:hAnsi="宋体"/>
                <w:color w:val="auto"/>
                <w:sz w:val="24"/>
                <w:szCs w:val="24"/>
                <w:highlight w:val="none"/>
              </w:rPr>
              <w:t>值班时间段保洁巡视工作（遇保洁事件保证10分钟到位）确保工作质量</w:t>
            </w:r>
            <w:r>
              <w:rPr>
                <w:rFonts w:hint="eastAsia" w:ascii="宋体" w:hAnsi="宋体"/>
                <w:color w:val="auto"/>
                <w:sz w:val="24"/>
                <w:szCs w:val="24"/>
                <w:highlight w:val="none"/>
              </w:rPr>
              <w:t>。</w:t>
            </w:r>
          </w:p>
          <w:p w14:paraId="4870D7D8">
            <w:pPr>
              <w:spacing w:line="360" w:lineRule="auto"/>
              <w:rPr>
                <w:rFonts w:hint="eastAsia" w:ascii="宋体" w:hAnsi="宋体"/>
                <w:color w:val="auto"/>
                <w:sz w:val="24"/>
                <w:highlight w:val="none"/>
              </w:rPr>
            </w:pPr>
            <w:r>
              <w:rPr>
                <w:rFonts w:hint="eastAsia" w:ascii="宋体" w:hAnsi="宋体"/>
                <w:color w:val="auto"/>
                <w:sz w:val="24"/>
                <w:highlight w:val="none"/>
              </w:rPr>
              <w:t>（3）中午1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6BD2131D">
            <w:pPr>
              <w:spacing w:line="360" w:lineRule="auto"/>
              <w:rPr>
                <w:rFonts w:hint="eastAsia" w:ascii="宋体" w:hAnsi="宋体"/>
                <w:color w:val="auto"/>
                <w:sz w:val="24"/>
                <w:highlight w:val="none"/>
              </w:rPr>
            </w:pPr>
            <w:r>
              <w:rPr>
                <w:rFonts w:hint="eastAsia" w:ascii="宋体" w:hAnsi="宋体"/>
                <w:color w:val="auto"/>
                <w:sz w:val="24"/>
                <w:highlight w:val="none"/>
              </w:rPr>
              <w:t>（4）小夜班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344C968B">
            <w:pPr>
              <w:spacing w:line="360" w:lineRule="auto"/>
              <w:rPr>
                <w:rFonts w:hint="eastAsia" w:ascii="宋体" w:hAnsi="宋体"/>
                <w:color w:val="auto"/>
                <w:sz w:val="24"/>
                <w:highlight w:val="none"/>
              </w:rPr>
            </w:pPr>
            <w:r>
              <w:rPr>
                <w:rFonts w:hint="eastAsia" w:ascii="宋体" w:hAnsi="宋体"/>
                <w:color w:val="auto"/>
                <w:sz w:val="24"/>
                <w:highlight w:val="none"/>
              </w:rPr>
              <w:t>（5）大夜2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p w14:paraId="5800F74F">
            <w:pPr>
              <w:spacing w:line="360" w:lineRule="auto"/>
              <w:rPr>
                <w:rFonts w:hint="eastAsia" w:ascii="宋体" w:hAnsi="宋体"/>
                <w:color w:val="auto"/>
                <w:sz w:val="24"/>
                <w:highlight w:val="none"/>
              </w:rPr>
            </w:pPr>
          </w:p>
        </w:tc>
      </w:tr>
      <w:tr w14:paraId="1C7F168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8269438">
            <w:pPr>
              <w:spacing w:line="360" w:lineRule="auto"/>
              <w:rPr>
                <w:rFonts w:hint="eastAsia" w:ascii="宋体" w:hAnsi="宋体"/>
                <w:color w:val="auto"/>
                <w:sz w:val="24"/>
                <w:highlight w:val="none"/>
              </w:rPr>
            </w:pPr>
            <w:r>
              <w:rPr>
                <w:rFonts w:hint="eastAsia" w:ascii="宋体" w:hAnsi="宋体"/>
                <w:color w:val="auto"/>
                <w:sz w:val="24"/>
                <w:highlight w:val="none"/>
              </w:rPr>
              <w:t>2.4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0184925">
            <w:pPr>
              <w:spacing w:line="360" w:lineRule="auto"/>
              <w:rPr>
                <w:rFonts w:hint="eastAsia" w:ascii="宋体" w:hAnsi="宋体"/>
                <w:color w:val="auto"/>
                <w:sz w:val="24"/>
                <w:highlight w:val="none"/>
              </w:rPr>
            </w:pPr>
            <w:r>
              <w:rPr>
                <w:rFonts w:hint="eastAsia" w:ascii="宋体" w:hAnsi="宋体"/>
                <w:color w:val="auto"/>
                <w:sz w:val="24"/>
                <w:highlight w:val="none"/>
              </w:rPr>
              <w:t>西侧楼服务范围、日常保洁要求及服务标准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1A841731">
            <w:pPr>
              <w:pStyle w:val="24"/>
              <w:spacing w:line="360" w:lineRule="auto"/>
              <w:rPr>
                <w:rFonts w:hAnsi="宋体"/>
                <w:color w:val="auto"/>
                <w:sz w:val="24"/>
                <w:szCs w:val="24"/>
                <w:highlight w:val="none"/>
              </w:rPr>
            </w:pPr>
            <w:r>
              <w:rPr>
                <w:rFonts w:hAnsi="宋体"/>
                <w:color w:val="auto"/>
                <w:sz w:val="24"/>
                <w:szCs w:val="24"/>
                <w:highlight w:val="none"/>
              </w:rPr>
              <w:t>一、服务范围</w:t>
            </w:r>
          </w:p>
          <w:p w14:paraId="0113D2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1、一层大厅、二层、三层办公室等区域，每日进行清洁。所有卫生间清洁消毒、祛除异味、垃圾处理、定期大清。</w:t>
            </w:r>
          </w:p>
          <w:p w14:paraId="51E7DE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2、四层消毒供应室严格按照管理规定执行，符合感控要求。</w:t>
            </w:r>
          </w:p>
          <w:p w14:paraId="6C6ED9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3、重点科室--手术室、麻醉科严格按照手术室规定执行，符合感控要求。</w:t>
            </w:r>
          </w:p>
          <w:p w14:paraId="7CC618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4、ICU监护室严格按照管理规定执行，符合感控要求。</w:t>
            </w:r>
          </w:p>
          <w:p w14:paraId="2AE14B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5、11层至15层病区：清洁各病区医办室、护士站、换药室、休息室、卫生间、通道、各病房内清洁，严格按照保洁流程完成工作。患者出院后，按要求进行终末消毒。</w:t>
            </w:r>
          </w:p>
          <w:p w14:paraId="1F7527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6、两侧步行梯： 15至B3清洁，巡视清理烟头、小广告、清洁污渍。</w:t>
            </w:r>
          </w:p>
          <w:p w14:paraId="2CDFC39E">
            <w:pPr>
              <w:spacing w:line="360" w:lineRule="auto"/>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、机动（终末消毒）人员负责科室患者出院人数相对集中，人数较多时，协助科室保洁员完成科室终末消毒保洁工作，做好值班期间科室保洁巡视工作，确保科室保洁质量。</w:t>
            </w:r>
          </w:p>
          <w:p w14:paraId="15EDDD52">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49B8BA18">
            <w:pPr>
              <w:spacing w:line="360" w:lineRule="auto"/>
              <w:rPr>
                <w:rFonts w:hint="eastAsia" w:ascii="宋体" w:hAnsi="宋体"/>
                <w:color w:val="auto"/>
                <w:sz w:val="24"/>
                <w:highlight w:val="none"/>
              </w:rPr>
            </w:pPr>
            <w:r>
              <w:rPr>
                <w:rFonts w:hint="eastAsia" w:ascii="宋体" w:hAnsi="宋体"/>
                <w:color w:val="auto"/>
                <w:sz w:val="24"/>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6DBF6FD5">
            <w:pPr>
              <w:pStyle w:val="161"/>
              <w:spacing w:line="360" w:lineRule="auto"/>
              <w:ind w:firstLine="0" w:firstLineChars="0"/>
              <w:rPr>
                <w:rFonts w:ascii="宋体" w:hAnsi="宋体"/>
                <w:color w:val="auto"/>
                <w:sz w:val="24"/>
                <w:szCs w:val="24"/>
                <w:highlight w:val="none"/>
              </w:rPr>
            </w:pPr>
            <w:r>
              <w:rPr>
                <w:rFonts w:hint="eastAsia" w:ascii="宋体" w:hAnsi="宋体"/>
                <w:color w:val="auto"/>
                <w:sz w:val="24"/>
                <w:szCs w:val="24"/>
                <w:highlight w:val="none"/>
              </w:rPr>
              <w:t>2、保洁员</w:t>
            </w:r>
            <w:r>
              <w:rPr>
                <w:rFonts w:ascii="宋体" w:hAnsi="宋体"/>
                <w:color w:val="auto"/>
                <w:sz w:val="24"/>
                <w:szCs w:val="24"/>
                <w:highlight w:val="none"/>
              </w:rPr>
              <w:t>进入病房应尽量集中作业，避免在患者休息</w:t>
            </w:r>
            <w:r>
              <w:rPr>
                <w:rFonts w:hint="eastAsia" w:ascii="宋体" w:hAnsi="宋体"/>
                <w:color w:val="auto"/>
                <w:sz w:val="24"/>
                <w:szCs w:val="24"/>
                <w:highlight w:val="none"/>
              </w:rPr>
              <w:t>时</w:t>
            </w:r>
            <w:r>
              <w:rPr>
                <w:rFonts w:ascii="宋体" w:hAnsi="宋体"/>
                <w:color w:val="auto"/>
                <w:sz w:val="24"/>
                <w:szCs w:val="24"/>
                <w:highlight w:val="none"/>
              </w:rPr>
              <w:t>或进餐时清洁，工作时按照流程要求执行。按</w:t>
            </w:r>
            <w:r>
              <w:rPr>
                <w:rFonts w:hint="eastAsia" w:ascii="宋体" w:hAnsi="宋体"/>
                <w:color w:val="auto"/>
                <w:sz w:val="24"/>
                <w:szCs w:val="24"/>
                <w:highlight w:val="none"/>
              </w:rPr>
              <w:t>规定</w:t>
            </w:r>
            <w:r>
              <w:rPr>
                <w:rFonts w:ascii="宋体" w:hAnsi="宋体"/>
                <w:color w:val="auto"/>
                <w:sz w:val="24"/>
                <w:szCs w:val="24"/>
                <w:highlight w:val="none"/>
              </w:rPr>
              <w:t>分类收集垃圾，</w:t>
            </w:r>
            <w:r>
              <w:rPr>
                <w:rFonts w:hint="eastAsia" w:ascii="宋体" w:hAnsi="宋体"/>
                <w:color w:val="auto"/>
                <w:sz w:val="24"/>
                <w:szCs w:val="24"/>
                <w:highlight w:val="none"/>
              </w:rPr>
              <w:t>清</w:t>
            </w:r>
            <w:r>
              <w:rPr>
                <w:rFonts w:ascii="宋体" w:hAnsi="宋体"/>
                <w:color w:val="auto"/>
                <w:sz w:val="24"/>
                <w:szCs w:val="24"/>
                <w:highlight w:val="none"/>
              </w:rPr>
              <w:t>拖地面，</w:t>
            </w:r>
            <w:r>
              <w:rPr>
                <w:rFonts w:hint="eastAsia" w:ascii="宋体" w:hAnsi="宋体"/>
                <w:color w:val="auto"/>
                <w:sz w:val="24"/>
                <w:szCs w:val="24"/>
                <w:highlight w:val="none"/>
              </w:rPr>
              <w:t>保持清洁</w:t>
            </w:r>
            <w:r>
              <w:rPr>
                <w:rFonts w:ascii="宋体" w:hAnsi="宋体"/>
                <w:color w:val="auto"/>
                <w:sz w:val="24"/>
                <w:szCs w:val="24"/>
                <w:highlight w:val="none"/>
              </w:rPr>
              <w:t>，擦抹病床、治疗带</w:t>
            </w:r>
            <w:r>
              <w:rPr>
                <w:rFonts w:hint="eastAsia" w:ascii="宋体" w:hAnsi="宋体"/>
                <w:color w:val="auto"/>
                <w:sz w:val="24"/>
                <w:szCs w:val="24"/>
                <w:highlight w:val="none"/>
              </w:rPr>
              <w:t>/氧气带</w:t>
            </w:r>
            <w:r>
              <w:rPr>
                <w:rFonts w:ascii="宋体" w:hAnsi="宋体"/>
                <w:color w:val="auto"/>
                <w:sz w:val="24"/>
                <w:szCs w:val="24"/>
                <w:highlight w:val="none"/>
              </w:rPr>
              <w:t>，床头柜等。维护</w:t>
            </w:r>
            <w:r>
              <w:rPr>
                <w:rFonts w:hint="eastAsia" w:ascii="宋体" w:hAnsi="宋体"/>
                <w:color w:val="auto"/>
                <w:sz w:val="24"/>
                <w:szCs w:val="24"/>
                <w:highlight w:val="none"/>
              </w:rPr>
              <w:t>病房内</w:t>
            </w:r>
            <w:r>
              <w:rPr>
                <w:rFonts w:ascii="宋体" w:hAnsi="宋体"/>
                <w:color w:val="auto"/>
                <w:sz w:val="24"/>
                <w:szCs w:val="24"/>
                <w:highlight w:val="none"/>
              </w:rPr>
              <w:t>病床、床头柜、壁柜、治疗带的清洁，患者出院或</w:t>
            </w:r>
            <w:r>
              <w:rPr>
                <w:rFonts w:hint="eastAsia" w:ascii="宋体" w:hAnsi="宋体"/>
                <w:color w:val="auto"/>
                <w:sz w:val="24"/>
                <w:szCs w:val="24"/>
                <w:highlight w:val="none"/>
              </w:rPr>
              <w:t>死亡</w:t>
            </w:r>
            <w:r>
              <w:rPr>
                <w:rFonts w:ascii="宋体" w:hAnsi="宋体"/>
                <w:color w:val="auto"/>
                <w:sz w:val="24"/>
                <w:szCs w:val="24"/>
                <w:highlight w:val="none"/>
              </w:rPr>
              <w:t>要及时做好床位的消毒处理。</w:t>
            </w:r>
          </w:p>
          <w:p w14:paraId="00F4A82B">
            <w:pPr>
              <w:pStyle w:val="161"/>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3、护士站、治疗室</w:t>
            </w:r>
            <w:r>
              <w:rPr>
                <w:rFonts w:ascii="宋体" w:hAnsi="宋体"/>
                <w:color w:val="auto"/>
                <w:sz w:val="24"/>
                <w:szCs w:val="24"/>
                <w:highlight w:val="none"/>
              </w:rPr>
              <w:t>、换药室的保洁工作听从</w:t>
            </w:r>
            <w:r>
              <w:rPr>
                <w:rFonts w:hint="eastAsia" w:ascii="宋体" w:hAnsi="宋体"/>
                <w:color w:val="auto"/>
                <w:sz w:val="24"/>
                <w:szCs w:val="24"/>
                <w:highlight w:val="none"/>
              </w:rPr>
              <w:t>医护</w:t>
            </w:r>
            <w:r>
              <w:rPr>
                <w:rFonts w:ascii="宋体" w:hAnsi="宋体"/>
                <w:color w:val="auto"/>
                <w:sz w:val="24"/>
                <w:szCs w:val="24"/>
                <w:highlight w:val="none"/>
              </w:rPr>
              <w:t>人员的指导，及时做好清理工作，确保清洁卫生。</w:t>
            </w:r>
            <w:r>
              <w:rPr>
                <w:rFonts w:hint="eastAsia" w:ascii="宋体" w:hAnsi="宋体"/>
                <w:color w:val="auto"/>
                <w:sz w:val="24"/>
                <w:szCs w:val="24"/>
                <w:highlight w:val="none"/>
              </w:rPr>
              <w:t>清洁内容如下：</w:t>
            </w:r>
          </w:p>
          <w:p w14:paraId="4CE5DB8B">
            <w:pPr>
              <w:pStyle w:val="161"/>
              <w:numPr>
                <w:ilvl w:val="0"/>
                <w:numId w:val="21"/>
              </w:numPr>
              <w:tabs>
                <w:tab w:val="left" w:pos="426"/>
              </w:tabs>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桌面</w:t>
            </w:r>
            <w:r>
              <w:rPr>
                <w:rFonts w:ascii="宋体" w:hAnsi="宋体"/>
                <w:color w:val="auto"/>
                <w:sz w:val="24"/>
                <w:szCs w:val="24"/>
                <w:highlight w:val="none"/>
              </w:rPr>
              <w:t>、文件柜等洁净</w:t>
            </w:r>
            <w:r>
              <w:rPr>
                <w:rFonts w:hint="eastAsia" w:ascii="宋体" w:hAnsi="宋体"/>
                <w:color w:val="auto"/>
                <w:sz w:val="24"/>
                <w:szCs w:val="24"/>
                <w:highlight w:val="none"/>
              </w:rPr>
              <w:t>。</w:t>
            </w:r>
          </w:p>
          <w:p w14:paraId="14EFD574">
            <w:pPr>
              <w:pStyle w:val="161"/>
              <w:numPr>
                <w:ilvl w:val="0"/>
                <w:numId w:val="21"/>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椅子</w:t>
            </w:r>
            <w:r>
              <w:rPr>
                <w:rFonts w:ascii="宋体" w:hAnsi="宋体"/>
                <w:color w:val="auto"/>
                <w:sz w:val="24"/>
                <w:szCs w:val="24"/>
                <w:highlight w:val="none"/>
              </w:rPr>
              <w:t>、椅子腿干净，摆放整齐</w:t>
            </w:r>
          </w:p>
          <w:p w14:paraId="79DE46B3">
            <w:pPr>
              <w:pStyle w:val="161"/>
              <w:numPr>
                <w:ilvl w:val="0"/>
                <w:numId w:val="21"/>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垃圾桶</w:t>
            </w:r>
            <w:r>
              <w:rPr>
                <w:rFonts w:ascii="宋体" w:hAnsi="宋体"/>
                <w:color w:val="auto"/>
                <w:sz w:val="24"/>
                <w:szCs w:val="24"/>
                <w:highlight w:val="none"/>
              </w:rPr>
              <w:t>整洁</w:t>
            </w:r>
            <w:r>
              <w:rPr>
                <w:rFonts w:hint="eastAsia" w:ascii="宋体" w:hAnsi="宋体"/>
                <w:color w:val="auto"/>
                <w:sz w:val="24"/>
                <w:szCs w:val="24"/>
                <w:highlight w:val="none"/>
              </w:rPr>
              <w:t>；</w:t>
            </w:r>
            <w:r>
              <w:rPr>
                <w:rFonts w:ascii="宋体" w:hAnsi="宋体"/>
                <w:color w:val="auto"/>
                <w:sz w:val="24"/>
                <w:szCs w:val="24"/>
                <w:highlight w:val="none"/>
              </w:rPr>
              <w:t>垃圾及时</w:t>
            </w:r>
            <w:r>
              <w:rPr>
                <w:rFonts w:hint="eastAsia" w:ascii="宋体" w:hAnsi="宋体"/>
                <w:color w:val="auto"/>
                <w:sz w:val="24"/>
                <w:szCs w:val="24"/>
                <w:highlight w:val="none"/>
              </w:rPr>
              <w:t>清倒</w:t>
            </w:r>
            <w:r>
              <w:rPr>
                <w:rFonts w:ascii="宋体" w:hAnsi="宋体"/>
                <w:color w:val="auto"/>
                <w:sz w:val="24"/>
                <w:szCs w:val="24"/>
                <w:highlight w:val="none"/>
              </w:rPr>
              <w:t>；</w:t>
            </w:r>
            <w:r>
              <w:rPr>
                <w:rFonts w:hint="eastAsia" w:ascii="宋体" w:hAnsi="宋体"/>
                <w:color w:val="auto"/>
                <w:sz w:val="24"/>
                <w:szCs w:val="24"/>
                <w:highlight w:val="none"/>
              </w:rPr>
              <w:t>垃圾袋</w:t>
            </w:r>
            <w:r>
              <w:rPr>
                <w:rFonts w:ascii="宋体" w:hAnsi="宋体"/>
                <w:color w:val="auto"/>
                <w:sz w:val="24"/>
                <w:szCs w:val="24"/>
                <w:highlight w:val="none"/>
              </w:rPr>
              <w:t>及时</w:t>
            </w:r>
            <w:r>
              <w:rPr>
                <w:rFonts w:hint="eastAsia" w:ascii="宋体" w:hAnsi="宋体"/>
                <w:color w:val="auto"/>
                <w:sz w:val="24"/>
                <w:szCs w:val="24"/>
                <w:highlight w:val="none"/>
              </w:rPr>
              <w:t>更换</w:t>
            </w:r>
            <w:r>
              <w:rPr>
                <w:rFonts w:ascii="宋体" w:hAnsi="宋体"/>
                <w:color w:val="auto"/>
                <w:sz w:val="24"/>
                <w:szCs w:val="24"/>
                <w:highlight w:val="none"/>
              </w:rPr>
              <w:t>。</w:t>
            </w:r>
          </w:p>
          <w:p w14:paraId="36A2CA18">
            <w:pPr>
              <w:pStyle w:val="161"/>
              <w:numPr>
                <w:ilvl w:val="0"/>
                <w:numId w:val="21"/>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清洁</w:t>
            </w:r>
            <w:r>
              <w:rPr>
                <w:rFonts w:ascii="宋体" w:hAnsi="宋体"/>
                <w:color w:val="auto"/>
                <w:sz w:val="24"/>
                <w:szCs w:val="24"/>
                <w:highlight w:val="none"/>
              </w:rPr>
              <w:t>墙面</w:t>
            </w:r>
            <w:r>
              <w:rPr>
                <w:rFonts w:hint="eastAsia" w:ascii="宋体" w:hAnsi="宋体"/>
                <w:color w:val="auto"/>
                <w:sz w:val="24"/>
                <w:szCs w:val="24"/>
                <w:highlight w:val="none"/>
              </w:rPr>
              <w:t>、</w:t>
            </w:r>
            <w:r>
              <w:rPr>
                <w:rFonts w:ascii="宋体" w:hAnsi="宋体"/>
                <w:color w:val="auto"/>
                <w:sz w:val="24"/>
                <w:szCs w:val="24"/>
                <w:highlight w:val="none"/>
              </w:rPr>
              <w:t>踢脚线等。</w:t>
            </w:r>
          </w:p>
          <w:p w14:paraId="3C7F8307">
            <w:pPr>
              <w:pStyle w:val="161"/>
              <w:numPr>
                <w:ilvl w:val="0"/>
                <w:numId w:val="21"/>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按</w:t>
            </w:r>
            <w:r>
              <w:rPr>
                <w:rFonts w:ascii="宋体" w:hAnsi="宋体"/>
                <w:color w:val="auto"/>
                <w:sz w:val="24"/>
                <w:szCs w:val="24"/>
                <w:highlight w:val="none"/>
              </w:rPr>
              <w:t>程序清洁文件柜、展示柜、书架、各打印、复印设备。</w:t>
            </w:r>
          </w:p>
          <w:p w14:paraId="5150E97E">
            <w:pPr>
              <w:pStyle w:val="161"/>
              <w:numPr>
                <w:ilvl w:val="0"/>
                <w:numId w:val="21"/>
              </w:numPr>
              <w:spacing w:line="360" w:lineRule="auto"/>
              <w:ind w:firstLineChars="0"/>
              <w:contextualSpacing/>
              <w:rPr>
                <w:rFonts w:hint="eastAsia" w:ascii="宋体" w:hAnsi="宋体"/>
                <w:color w:val="auto"/>
                <w:sz w:val="24"/>
                <w:szCs w:val="24"/>
                <w:highlight w:val="none"/>
              </w:rPr>
            </w:pPr>
            <w:r>
              <w:rPr>
                <w:rFonts w:hint="eastAsia" w:ascii="宋体" w:hAnsi="宋体"/>
                <w:color w:val="auto"/>
                <w:sz w:val="24"/>
                <w:szCs w:val="24"/>
                <w:highlight w:val="none"/>
              </w:rPr>
              <w:t>玻璃、窗框洁净。</w:t>
            </w:r>
          </w:p>
          <w:p w14:paraId="78564490">
            <w:pPr>
              <w:spacing w:line="360" w:lineRule="auto"/>
              <w:rPr>
                <w:rFonts w:ascii="宋体" w:hAnsi="宋体"/>
                <w:color w:val="auto"/>
                <w:sz w:val="24"/>
                <w:highlight w:val="none"/>
              </w:rPr>
            </w:pPr>
            <w:r>
              <w:rPr>
                <w:rFonts w:hint="eastAsia" w:ascii="宋体" w:hAnsi="宋体"/>
                <w:color w:val="auto"/>
                <w:sz w:val="24"/>
                <w:highlight w:val="none"/>
              </w:rPr>
              <w:t>4、办公区域按规定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3D3F043">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通道、楼梯</w:t>
            </w:r>
            <w:r>
              <w:rPr>
                <w:rFonts w:hint="eastAsia" w:ascii="宋体" w:hAnsi="宋体"/>
                <w:color w:val="auto"/>
                <w:sz w:val="24"/>
                <w:highlight w:val="none"/>
              </w:rPr>
              <w:t>保洁：</w:t>
            </w:r>
          </w:p>
          <w:p w14:paraId="1D8E5E19">
            <w:pPr>
              <w:spacing w:line="360" w:lineRule="auto"/>
              <w:jc w:val="left"/>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357C6EFB">
            <w:pPr>
              <w:spacing w:line="360" w:lineRule="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污物间：</w:t>
            </w:r>
          </w:p>
          <w:p w14:paraId="3621C5DB">
            <w:pPr>
              <w:spacing w:line="360" w:lineRule="auto"/>
              <w:rPr>
                <w:rFonts w:ascii="宋体" w:hAnsi="宋体"/>
                <w:color w:val="auto"/>
                <w:sz w:val="24"/>
                <w:highlight w:val="none"/>
              </w:rPr>
            </w:pPr>
            <w:r>
              <w:rPr>
                <w:rFonts w:hint="eastAsia" w:ascii="宋体" w:hAnsi="宋体"/>
                <w:color w:val="auto"/>
                <w:sz w:val="24"/>
                <w:highlight w:val="none"/>
              </w:rPr>
              <w:t>保持</w:t>
            </w:r>
            <w:r>
              <w:rPr>
                <w:rFonts w:ascii="宋体" w:hAnsi="宋体"/>
                <w:color w:val="auto"/>
                <w:sz w:val="24"/>
                <w:highlight w:val="none"/>
              </w:rPr>
              <w:t>物品、工具摆放整齐，室内无乱摆</w:t>
            </w:r>
            <w:r>
              <w:rPr>
                <w:rFonts w:hint="eastAsia" w:ascii="宋体" w:hAnsi="宋体"/>
                <w:color w:val="auto"/>
                <w:sz w:val="24"/>
                <w:highlight w:val="none"/>
              </w:rPr>
              <w:t>乱放</w:t>
            </w:r>
            <w:r>
              <w:rPr>
                <w:rFonts w:ascii="宋体" w:hAnsi="宋体"/>
                <w:color w:val="auto"/>
                <w:sz w:val="24"/>
                <w:highlight w:val="none"/>
              </w:rPr>
              <w:t>现象。水池</w:t>
            </w:r>
            <w:r>
              <w:rPr>
                <w:rFonts w:hint="eastAsia" w:ascii="宋体" w:hAnsi="宋体"/>
                <w:color w:val="auto"/>
                <w:sz w:val="24"/>
                <w:highlight w:val="none"/>
              </w:rPr>
              <w:t>及时</w:t>
            </w:r>
            <w:r>
              <w:rPr>
                <w:rFonts w:ascii="宋体" w:hAnsi="宋体"/>
                <w:color w:val="auto"/>
                <w:sz w:val="24"/>
                <w:highlight w:val="none"/>
              </w:rPr>
              <w:t>清理，无垃圾堵塞。</w:t>
            </w:r>
            <w:r>
              <w:rPr>
                <w:rFonts w:hint="eastAsia" w:ascii="宋体" w:hAnsi="宋体"/>
                <w:color w:val="auto"/>
                <w:sz w:val="24"/>
                <w:highlight w:val="none"/>
              </w:rPr>
              <w:t>医疗</w:t>
            </w:r>
            <w:r>
              <w:rPr>
                <w:rFonts w:ascii="宋体" w:hAnsi="宋体"/>
                <w:color w:val="auto"/>
                <w:sz w:val="24"/>
                <w:highlight w:val="none"/>
              </w:rPr>
              <w:t>垃圾放置规定位置，收集</w:t>
            </w:r>
            <w:r>
              <w:rPr>
                <w:rFonts w:hint="eastAsia" w:ascii="宋体" w:hAnsi="宋体"/>
                <w:color w:val="auto"/>
                <w:sz w:val="24"/>
                <w:highlight w:val="none"/>
              </w:rPr>
              <w:t>整理</w:t>
            </w:r>
            <w:r>
              <w:rPr>
                <w:rFonts w:ascii="宋体" w:hAnsi="宋体"/>
                <w:color w:val="auto"/>
                <w:sz w:val="24"/>
                <w:highlight w:val="none"/>
              </w:rPr>
              <w:t>好</w:t>
            </w:r>
            <w:r>
              <w:rPr>
                <w:rFonts w:hint="eastAsia" w:ascii="宋体" w:hAnsi="宋体"/>
                <w:color w:val="auto"/>
                <w:sz w:val="24"/>
                <w:highlight w:val="none"/>
              </w:rPr>
              <w:t>，</w:t>
            </w:r>
            <w:r>
              <w:rPr>
                <w:rFonts w:ascii="宋体" w:hAnsi="宋体"/>
                <w:color w:val="auto"/>
                <w:sz w:val="24"/>
                <w:highlight w:val="none"/>
              </w:rPr>
              <w:t>做好相应</w:t>
            </w:r>
            <w:r>
              <w:rPr>
                <w:rFonts w:hint="eastAsia" w:ascii="宋体" w:hAnsi="宋体"/>
                <w:color w:val="auto"/>
                <w:sz w:val="24"/>
                <w:highlight w:val="none"/>
              </w:rPr>
              <w:t>登记</w:t>
            </w:r>
            <w:r>
              <w:rPr>
                <w:rFonts w:ascii="宋体" w:hAnsi="宋体"/>
                <w:color w:val="auto"/>
                <w:sz w:val="24"/>
                <w:highlight w:val="none"/>
              </w:rPr>
              <w:t>，</w:t>
            </w:r>
            <w:r>
              <w:rPr>
                <w:rFonts w:hint="eastAsia" w:ascii="宋体" w:hAnsi="宋体"/>
                <w:color w:val="auto"/>
                <w:sz w:val="24"/>
                <w:highlight w:val="none"/>
              </w:rPr>
              <w:t>等待运送</w:t>
            </w:r>
            <w:r>
              <w:rPr>
                <w:rFonts w:ascii="宋体" w:hAnsi="宋体"/>
                <w:color w:val="auto"/>
                <w:sz w:val="24"/>
                <w:highlight w:val="none"/>
              </w:rPr>
              <w:t>。</w:t>
            </w:r>
            <w:r>
              <w:rPr>
                <w:rFonts w:hint="eastAsia" w:ascii="宋体" w:hAnsi="宋体"/>
                <w:color w:val="auto"/>
                <w:sz w:val="24"/>
                <w:highlight w:val="none"/>
              </w:rPr>
              <w:t>医疗废弃物</w:t>
            </w:r>
            <w:r>
              <w:rPr>
                <w:rFonts w:ascii="宋体" w:hAnsi="宋体"/>
                <w:color w:val="auto"/>
                <w:sz w:val="24"/>
                <w:highlight w:val="none"/>
              </w:rPr>
              <w:t>做到按照医院有关垃圾分类的流程，按时做好医疗垃圾封口、贴好标识，收集并送到指定地点集中转送。做好</w:t>
            </w:r>
            <w:r>
              <w:rPr>
                <w:rFonts w:hint="eastAsia" w:ascii="宋体" w:hAnsi="宋体"/>
                <w:color w:val="auto"/>
                <w:sz w:val="24"/>
                <w:highlight w:val="none"/>
              </w:rPr>
              <w:t>相关</w:t>
            </w:r>
            <w:r>
              <w:rPr>
                <w:rFonts w:ascii="宋体" w:hAnsi="宋体"/>
                <w:color w:val="auto"/>
                <w:sz w:val="24"/>
                <w:highlight w:val="none"/>
              </w:rPr>
              <w:t>收集</w:t>
            </w:r>
            <w:r>
              <w:rPr>
                <w:rFonts w:hint="eastAsia" w:ascii="宋体" w:hAnsi="宋体"/>
                <w:color w:val="auto"/>
                <w:sz w:val="24"/>
                <w:highlight w:val="none"/>
              </w:rPr>
              <w:t>登记</w:t>
            </w:r>
            <w:r>
              <w:rPr>
                <w:rFonts w:ascii="宋体" w:hAnsi="宋体"/>
                <w:color w:val="auto"/>
                <w:sz w:val="24"/>
                <w:highlight w:val="none"/>
              </w:rPr>
              <w:t>交接转运手续。</w:t>
            </w:r>
          </w:p>
          <w:p w14:paraId="5BDE280E">
            <w:pPr>
              <w:spacing w:line="360" w:lineRule="auto"/>
              <w:rPr>
                <w:rFonts w:hint="eastAsia" w:ascii="宋体" w:hAnsi="宋体"/>
                <w:color w:val="auto"/>
                <w:sz w:val="24"/>
                <w:highlight w:val="none"/>
              </w:rPr>
            </w:pPr>
            <w:r>
              <w:rPr>
                <w:rFonts w:hint="eastAsia" w:ascii="宋体" w:hAnsi="宋体"/>
                <w:color w:val="auto"/>
                <w:sz w:val="24"/>
                <w:highlight w:val="none"/>
              </w:rPr>
              <w:t>7、卫生间</w:t>
            </w:r>
          </w:p>
          <w:p w14:paraId="71A00926">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72CB2DF0">
            <w:pPr>
              <w:pStyle w:val="161"/>
              <w:numPr>
                <w:ilvl w:val="0"/>
                <w:numId w:val="22"/>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044E928A">
            <w:pPr>
              <w:pStyle w:val="161"/>
              <w:numPr>
                <w:ilvl w:val="0"/>
                <w:numId w:val="22"/>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138AE1AE">
            <w:pPr>
              <w:pStyle w:val="161"/>
              <w:numPr>
                <w:ilvl w:val="0"/>
                <w:numId w:val="22"/>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2C8A1210">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5FB96636">
            <w:pPr>
              <w:pStyle w:val="161"/>
              <w:numPr>
                <w:ilvl w:val="0"/>
                <w:numId w:val="2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28BD8B57">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64B7431A">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6989F70E">
            <w:pPr>
              <w:pStyle w:val="161"/>
              <w:numPr>
                <w:ilvl w:val="0"/>
                <w:numId w:val="2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166CD940">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7AE3685D">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2BE39BD8">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6F0C8FB9">
            <w:pPr>
              <w:numPr>
                <w:ilvl w:val="0"/>
                <w:numId w:val="22"/>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0C061910">
            <w:pPr>
              <w:spacing w:line="360" w:lineRule="auto"/>
              <w:rPr>
                <w:rFonts w:hint="eastAsia" w:ascii="宋体" w:hAnsi="宋体"/>
                <w:color w:val="auto"/>
                <w:sz w:val="24"/>
                <w:highlight w:val="none"/>
              </w:rPr>
            </w:pPr>
            <w:r>
              <w:rPr>
                <w:rFonts w:hint="eastAsia" w:ascii="宋体" w:hAnsi="宋体"/>
                <w:color w:val="auto"/>
                <w:sz w:val="24"/>
                <w:highlight w:val="none"/>
              </w:rPr>
              <w:t>8、垃圾处理：包括生活垃圾处理和医疗垃圾处理。</w:t>
            </w:r>
          </w:p>
          <w:p w14:paraId="73725F6A">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，放置各科室规定位置有垃圾清运工统一回收。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6C07A998">
            <w:pPr>
              <w:spacing w:line="360" w:lineRule="auto"/>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机动人员工作要求</w:t>
            </w:r>
            <w:r>
              <w:rPr>
                <w:rFonts w:hint="eastAsia" w:ascii="宋体" w:hAnsi="宋体"/>
                <w:color w:val="auto"/>
                <w:sz w:val="24"/>
                <w:highlight w:val="none"/>
              </w:rPr>
              <w:t>：</w:t>
            </w:r>
          </w:p>
          <w:p w14:paraId="45222522">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患者出院人数相对集中，人数较多时（上午8:0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），协助科室保洁员完成科室终末消毒保洁工作，保持电话畅通，接到通知后1</w:t>
            </w:r>
            <w:r>
              <w:rPr>
                <w:rFonts w:ascii="宋体" w:hAnsi="宋体"/>
                <w:color w:val="auto"/>
                <w:sz w:val="24"/>
                <w:highlight w:val="none"/>
              </w:rPr>
              <w:t>0分钟内到达科室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3067AF54">
            <w:pPr>
              <w:numPr>
                <w:ilvl w:val="0"/>
                <w:numId w:val="23"/>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值班时间段保洁巡视工作（遇保洁事件保证1</w:t>
            </w:r>
            <w:r>
              <w:rPr>
                <w:rFonts w:ascii="宋体" w:hAnsi="宋体"/>
                <w:color w:val="auto"/>
                <w:sz w:val="24"/>
                <w:highlight w:val="none"/>
              </w:rPr>
              <w:t>0分钟到</w:t>
            </w:r>
            <w:r>
              <w:rPr>
                <w:rFonts w:hint="eastAsia" w:ascii="宋体" w:hAnsi="宋体"/>
                <w:color w:val="auto"/>
                <w:sz w:val="24"/>
                <w:highlight w:val="none"/>
              </w:rPr>
              <w:t>位）</w:t>
            </w:r>
            <w:r>
              <w:rPr>
                <w:rFonts w:ascii="宋体" w:hAnsi="宋体"/>
                <w:color w:val="auto"/>
                <w:sz w:val="24"/>
                <w:highlight w:val="none"/>
              </w:rPr>
              <w:t>确保工作质量</w:t>
            </w:r>
            <w:r>
              <w:rPr>
                <w:rFonts w:hint="eastAsia" w:ascii="宋体" w:hAnsi="宋体"/>
                <w:color w:val="auto"/>
                <w:sz w:val="24"/>
                <w:highlight w:val="none"/>
              </w:rPr>
              <w:t>：</w:t>
            </w:r>
          </w:p>
          <w:p w14:paraId="7A8E1EC5">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0 每个病房保洁巡视</w:t>
            </w:r>
            <w:r>
              <w:rPr>
                <w:rFonts w:hint="eastAsia" w:ascii="宋体" w:hAnsi="宋体"/>
                <w:color w:val="auto"/>
                <w:sz w:val="24"/>
                <w:highlight w:val="none"/>
              </w:rPr>
              <w:t>，包含但不少于：垃圾倾倒、卫生间清洁以及病房临时性保洁工作安排；</w:t>
            </w:r>
          </w:p>
          <w:p w14:paraId="0C8C6B02">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0每个病房保洁巡视</w:t>
            </w:r>
            <w:r>
              <w:rPr>
                <w:rFonts w:hint="eastAsia" w:ascii="宋体" w:hAnsi="宋体"/>
                <w:color w:val="auto"/>
                <w:sz w:val="24"/>
                <w:highlight w:val="none"/>
              </w:rPr>
              <w:t>，包含但不少于：垃圾倾倒、卫生间清洁以及病房临时性保洁工作安排；</w:t>
            </w:r>
          </w:p>
          <w:p w14:paraId="3F76F887">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p w14:paraId="2A1D07A3">
            <w:pPr>
              <w:spacing w:line="360" w:lineRule="auto"/>
              <w:rPr>
                <w:rFonts w:hint="eastAsia" w:ascii="宋体" w:hAnsi="宋体"/>
                <w:color w:val="auto"/>
                <w:sz w:val="24"/>
                <w:highlight w:val="none"/>
              </w:rPr>
            </w:pPr>
          </w:p>
        </w:tc>
      </w:tr>
      <w:tr w14:paraId="768F1EDC">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C26A40E">
            <w:pPr>
              <w:spacing w:line="360" w:lineRule="auto"/>
              <w:rPr>
                <w:rFonts w:hint="eastAsia" w:ascii="宋体" w:hAnsi="宋体"/>
                <w:color w:val="auto"/>
                <w:sz w:val="24"/>
                <w:highlight w:val="none"/>
              </w:rPr>
            </w:pPr>
            <w:r>
              <w:rPr>
                <w:rFonts w:hint="eastAsia" w:ascii="宋体" w:hAnsi="宋体"/>
                <w:color w:val="auto"/>
                <w:sz w:val="24"/>
                <w:highlight w:val="none"/>
              </w:rPr>
              <w:t>2.5</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D3201EF">
            <w:pPr>
              <w:spacing w:line="360" w:lineRule="auto"/>
              <w:rPr>
                <w:rFonts w:hint="eastAsia" w:ascii="宋体" w:hAnsi="宋体"/>
                <w:color w:val="auto"/>
                <w:sz w:val="24"/>
                <w:highlight w:val="none"/>
              </w:rPr>
            </w:pPr>
            <w:r>
              <w:rPr>
                <w:rFonts w:hint="eastAsia" w:ascii="宋体" w:hAnsi="宋体"/>
                <w:color w:val="auto"/>
                <w:sz w:val="24"/>
                <w:highlight w:val="none"/>
              </w:rPr>
              <w:t>门诊楼、地下车库及放射用房服务范围、日常保洁要求及服务标准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0EE8C1AF">
            <w:pPr>
              <w:pStyle w:val="24"/>
              <w:spacing w:line="360" w:lineRule="auto"/>
              <w:rPr>
                <w:rFonts w:hAnsi="宋体"/>
                <w:color w:val="auto"/>
                <w:sz w:val="24"/>
                <w:szCs w:val="24"/>
                <w:highlight w:val="none"/>
              </w:rPr>
            </w:pPr>
            <w:r>
              <w:rPr>
                <w:rFonts w:hAnsi="宋体"/>
                <w:color w:val="auto"/>
                <w:sz w:val="24"/>
                <w:szCs w:val="24"/>
                <w:highlight w:val="none"/>
              </w:rPr>
              <w:t>一、服务范围</w:t>
            </w:r>
          </w:p>
          <w:p w14:paraId="263469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1、服务区域：B3-4层：挂号处、收费处、检查室、药房药库、挂号服务大厅、诊室、临床科室、第三采血室、医技科室、门诊手术室、介入手术室、内镜手术室、地下车库等清洁、按感控高要求擦拭消毒。</w:t>
            </w:r>
          </w:p>
          <w:p w14:paraId="673D25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2、楼梯：步行梯清洁卫生清理烟头杂物、小广告。</w:t>
            </w:r>
          </w:p>
          <w:p w14:paraId="0E0C9B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3、公共卫生间：进行清洁、巡视、消毒、祛除异味、垃圾处理，定期大清。</w:t>
            </w:r>
          </w:p>
          <w:p w14:paraId="56C299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4、屋顶花园：每天巡视、清洁卫生，清理垃圾和烟头杂物。</w:t>
            </w:r>
          </w:p>
          <w:p w14:paraId="571056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5、门诊四层药房、通道连廊、电梯厅的卫生清洁。</w:t>
            </w:r>
          </w:p>
          <w:p w14:paraId="31FE92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6、各入口卫生：门诊大厅、西门、北门(包括避风阁、雨棚要定期清洁，冬季刷洗门帘)。</w:t>
            </w:r>
          </w:p>
          <w:p w14:paraId="4498C8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7、天井：西门至门诊露天通道清扫卫生，墙面（三米以下区域）擦拭清洁。</w:t>
            </w:r>
          </w:p>
          <w:p w14:paraId="3F7088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8、各区域内侧玻璃顶棚要定期清洁尘土和污渍，并在外墙清洁时，配合清洁内侧玻璃。</w:t>
            </w:r>
          </w:p>
          <w:p w14:paraId="0EA554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9、远程医疗中心清洁卫生，每周定期吸尘清洗。</w:t>
            </w:r>
          </w:p>
          <w:p w14:paraId="27BCB2E4">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5E284034">
            <w:pPr>
              <w:pStyle w:val="161"/>
              <w:numPr>
                <w:ilvl w:val="0"/>
                <w:numId w:val="24"/>
              </w:numPr>
              <w:spacing w:line="360" w:lineRule="auto"/>
              <w:ind w:firstLineChars="0"/>
              <w:contextualSpacing/>
              <w:rPr>
                <w:rFonts w:ascii="宋体" w:hAnsi="宋体"/>
                <w:color w:val="auto"/>
                <w:sz w:val="24"/>
                <w:szCs w:val="24"/>
                <w:highlight w:val="none"/>
              </w:rPr>
            </w:pPr>
            <w:r>
              <w:rPr>
                <w:rFonts w:ascii="宋体" w:hAnsi="宋体"/>
                <w:color w:val="auto"/>
                <w:sz w:val="24"/>
                <w:szCs w:val="24"/>
                <w:highlight w:val="none"/>
              </w:rPr>
              <w:t>大厅</w:t>
            </w:r>
            <w:r>
              <w:rPr>
                <w:rFonts w:hint="eastAsia" w:ascii="宋体" w:hAnsi="宋体"/>
                <w:color w:val="auto"/>
                <w:sz w:val="24"/>
                <w:szCs w:val="24"/>
                <w:highlight w:val="none"/>
              </w:rPr>
              <w:t>的</w:t>
            </w:r>
            <w:r>
              <w:rPr>
                <w:rFonts w:ascii="宋体" w:hAnsi="宋体"/>
                <w:color w:val="auto"/>
                <w:sz w:val="24"/>
                <w:szCs w:val="24"/>
                <w:highlight w:val="none"/>
              </w:rPr>
              <w:t>清洁</w:t>
            </w:r>
          </w:p>
          <w:p w14:paraId="2C0C6EFA">
            <w:pPr>
              <w:numPr>
                <w:ilvl w:val="0"/>
                <w:numId w:val="25"/>
              </w:numPr>
              <w:spacing w:line="360" w:lineRule="auto"/>
              <w:rPr>
                <w:rFonts w:ascii="宋体" w:hAnsi="宋体"/>
                <w:color w:val="auto"/>
                <w:sz w:val="24"/>
                <w:highlight w:val="none"/>
              </w:rPr>
            </w:pPr>
            <w:r>
              <w:rPr>
                <w:rFonts w:hint="eastAsia" w:ascii="宋体" w:hAnsi="宋体"/>
                <w:color w:val="auto"/>
                <w:sz w:val="24"/>
                <w:highlight w:val="none"/>
              </w:rPr>
              <w:t>每天</w:t>
            </w:r>
            <w:r>
              <w:rPr>
                <w:rFonts w:ascii="宋体" w:hAnsi="宋体"/>
                <w:color w:val="auto"/>
                <w:sz w:val="24"/>
                <w:highlight w:val="none"/>
              </w:rPr>
              <w:t>分两次重点清理大厅，实行流动保洁。</w:t>
            </w:r>
          </w:p>
          <w:p w14:paraId="0DBBBD44">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大厅地面垃圾，出掉各种污渍和口香糖，及时</w:t>
            </w:r>
            <w:r>
              <w:rPr>
                <w:rFonts w:hint="eastAsia" w:ascii="宋体" w:hAnsi="宋体"/>
                <w:color w:val="auto"/>
                <w:sz w:val="24"/>
                <w:szCs w:val="24"/>
                <w:highlight w:val="none"/>
              </w:rPr>
              <w:t>倾倒</w:t>
            </w:r>
            <w:r>
              <w:rPr>
                <w:rFonts w:ascii="宋体" w:hAnsi="宋体"/>
                <w:color w:val="auto"/>
                <w:sz w:val="24"/>
                <w:szCs w:val="24"/>
                <w:highlight w:val="none"/>
              </w:rPr>
              <w:t>垃圾</w:t>
            </w:r>
            <w:r>
              <w:rPr>
                <w:rFonts w:hint="eastAsia" w:ascii="宋体" w:hAnsi="宋体"/>
                <w:color w:val="auto"/>
                <w:sz w:val="24"/>
                <w:szCs w:val="24"/>
                <w:highlight w:val="none"/>
              </w:rPr>
              <w:t>筒</w:t>
            </w:r>
            <w:r>
              <w:rPr>
                <w:rFonts w:ascii="宋体" w:hAnsi="宋体"/>
                <w:color w:val="auto"/>
                <w:sz w:val="24"/>
                <w:szCs w:val="24"/>
                <w:highlight w:val="none"/>
              </w:rPr>
              <w:t>。</w:t>
            </w:r>
          </w:p>
          <w:p w14:paraId="4B24CFD4">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用</w:t>
            </w:r>
            <w:r>
              <w:rPr>
                <w:rFonts w:ascii="宋体" w:hAnsi="宋体"/>
                <w:color w:val="auto"/>
                <w:sz w:val="24"/>
                <w:szCs w:val="24"/>
                <w:highlight w:val="none"/>
              </w:rPr>
              <w:t>尘拖或拖把清洁大厅地面尘土和污迹后，倾倒将垃圾桶</w:t>
            </w:r>
            <w:r>
              <w:rPr>
                <w:rFonts w:hint="eastAsia" w:ascii="宋体" w:hAnsi="宋体"/>
                <w:color w:val="auto"/>
                <w:sz w:val="24"/>
                <w:szCs w:val="24"/>
                <w:highlight w:val="none"/>
              </w:rPr>
              <w:t>并收集</w:t>
            </w:r>
            <w:r>
              <w:rPr>
                <w:rFonts w:ascii="宋体" w:hAnsi="宋体"/>
                <w:color w:val="auto"/>
                <w:sz w:val="24"/>
                <w:szCs w:val="24"/>
                <w:highlight w:val="none"/>
              </w:rPr>
              <w:t>后运至室外。地面</w:t>
            </w:r>
            <w:r>
              <w:rPr>
                <w:rFonts w:hint="eastAsia" w:ascii="宋体" w:hAnsi="宋体"/>
                <w:color w:val="auto"/>
                <w:sz w:val="24"/>
                <w:szCs w:val="24"/>
                <w:highlight w:val="none"/>
              </w:rPr>
              <w:t>及</w:t>
            </w:r>
            <w:r>
              <w:rPr>
                <w:rFonts w:ascii="宋体" w:hAnsi="宋体"/>
                <w:color w:val="auto"/>
                <w:sz w:val="24"/>
                <w:szCs w:val="24"/>
                <w:highlight w:val="none"/>
              </w:rPr>
              <w:t>边角干净。</w:t>
            </w:r>
          </w:p>
          <w:p w14:paraId="172AEB22">
            <w:pPr>
              <w:numPr>
                <w:ilvl w:val="0"/>
                <w:numId w:val="25"/>
              </w:numPr>
              <w:spacing w:line="360" w:lineRule="auto"/>
              <w:rPr>
                <w:rFonts w:ascii="宋体" w:hAnsi="宋体"/>
                <w:color w:val="auto"/>
                <w:sz w:val="24"/>
                <w:highlight w:val="none"/>
              </w:rPr>
            </w:pPr>
            <w:r>
              <w:rPr>
                <w:rFonts w:hint="eastAsia" w:ascii="宋体" w:hAnsi="宋体"/>
                <w:color w:val="auto"/>
                <w:sz w:val="24"/>
                <w:highlight w:val="none"/>
              </w:rPr>
              <w:t>用</w:t>
            </w:r>
            <w:r>
              <w:rPr>
                <w:rFonts w:ascii="宋体" w:hAnsi="宋体"/>
                <w:color w:val="auto"/>
                <w:sz w:val="24"/>
                <w:highlight w:val="none"/>
              </w:rPr>
              <w:t>干</w:t>
            </w:r>
            <w:r>
              <w:rPr>
                <w:rFonts w:hint="eastAsia" w:ascii="宋体" w:hAnsi="宋体"/>
                <w:color w:val="auto"/>
                <w:sz w:val="24"/>
                <w:highlight w:val="none"/>
              </w:rPr>
              <w:t>毛巾</w:t>
            </w:r>
            <w:r>
              <w:rPr>
                <w:rFonts w:ascii="宋体" w:hAnsi="宋体"/>
                <w:color w:val="auto"/>
                <w:sz w:val="24"/>
                <w:highlight w:val="none"/>
              </w:rPr>
              <w:t>轻抹大厅内各种制品，如门柱、镶字、</w:t>
            </w:r>
            <w:r>
              <w:rPr>
                <w:rFonts w:hint="eastAsia" w:ascii="宋体" w:hAnsi="宋体"/>
                <w:color w:val="auto"/>
                <w:sz w:val="24"/>
                <w:highlight w:val="none"/>
              </w:rPr>
              <w:t>宣传栏</w:t>
            </w:r>
            <w:r>
              <w:rPr>
                <w:rFonts w:ascii="宋体" w:hAnsi="宋体"/>
                <w:color w:val="auto"/>
                <w:sz w:val="24"/>
                <w:highlight w:val="none"/>
              </w:rPr>
              <w:t>等，用湿毛巾拧干后擦拭大厅内</w:t>
            </w:r>
            <w:r>
              <w:rPr>
                <w:rFonts w:hint="eastAsia" w:ascii="宋体" w:hAnsi="宋体"/>
                <w:color w:val="auto"/>
                <w:sz w:val="24"/>
                <w:highlight w:val="none"/>
              </w:rPr>
              <w:t>窗框</w:t>
            </w:r>
            <w:r>
              <w:rPr>
                <w:rFonts w:ascii="宋体" w:hAnsi="宋体"/>
                <w:color w:val="auto"/>
                <w:sz w:val="24"/>
                <w:highlight w:val="none"/>
              </w:rPr>
              <w:t>、防火</w:t>
            </w:r>
            <w:r>
              <w:rPr>
                <w:rFonts w:hint="eastAsia" w:ascii="宋体" w:hAnsi="宋体"/>
                <w:color w:val="auto"/>
                <w:sz w:val="24"/>
                <w:highlight w:val="none"/>
              </w:rPr>
              <w:t>门</w:t>
            </w:r>
            <w:r>
              <w:rPr>
                <w:rFonts w:ascii="宋体" w:hAnsi="宋体"/>
                <w:color w:val="auto"/>
                <w:sz w:val="24"/>
                <w:highlight w:val="none"/>
              </w:rPr>
              <w:t>、消防栓，指示牌、内墙面、台面等。</w:t>
            </w:r>
          </w:p>
          <w:p w14:paraId="5471AA41">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天花板</w:t>
            </w:r>
            <w:r>
              <w:rPr>
                <w:rFonts w:ascii="宋体" w:hAnsi="宋体"/>
                <w:color w:val="auto"/>
                <w:sz w:val="24"/>
                <w:szCs w:val="24"/>
                <w:highlight w:val="none"/>
              </w:rPr>
              <w:t>、灯罩、排风口及龙骨架干净。墙面</w:t>
            </w:r>
            <w:r>
              <w:rPr>
                <w:rFonts w:hint="eastAsia" w:ascii="宋体" w:hAnsi="宋体"/>
                <w:color w:val="auto"/>
                <w:sz w:val="24"/>
                <w:szCs w:val="24"/>
                <w:highlight w:val="none"/>
              </w:rPr>
              <w:t>及</w:t>
            </w:r>
            <w:r>
              <w:rPr>
                <w:rFonts w:ascii="宋体" w:hAnsi="宋体"/>
                <w:color w:val="auto"/>
                <w:sz w:val="24"/>
                <w:szCs w:val="24"/>
                <w:highlight w:val="none"/>
              </w:rPr>
              <w:t>踢脚板、玻璃门及窗</w:t>
            </w:r>
            <w:r>
              <w:rPr>
                <w:rFonts w:hint="eastAsia" w:ascii="宋体" w:hAnsi="宋体"/>
                <w:color w:val="auto"/>
                <w:sz w:val="24"/>
                <w:szCs w:val="24"/>
                <w:highlight w:val="none"/>
              </w:rPr>
              <w:t>体</w:t>
            </w:r>
            <w:r>
              <w:rPr>
                <w:rFonts w:ascii="宋体" w:hAnsi="宋体"/>
                <w:color w:val="auto"/>
                <w:sz w:val="24"/>
                <w:szCs w:val="24"/>
                <w:highlight w:val="none"/>
              </w:rPr>
              <w:t>玻璃维持干净</w:t>
            </w:r>
            <w:r>
              <w:rPr>
                <w:rFonts w:hint="eastAsia" w:ascii="宋体" w:hAnsi="宋体"/>
                <w:color w:val="auto"/>
                <w:sz w:val="24"/>
                <w:szCs w:val="24"/>
                <w:highlight w:val="none"/>
              </w:rPr>
              <w:t>。</w:t>
            </w:r>
          </w:p>
          <w:p w14:paraId="3714307C">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前台办公</w:t>
            </w:r>
            <w:r>
              <w:rPr>
                <w:rFonts w:ascii="宋体" w:hAnsi="宋体"/>
                <w:color w:val="auto"/>
                <w:sz w:val="24"/>
                <w:szCs w:val="24"/>
                <w:highlight w:val="none"/>
              </w:rPr>
              <w:t>桌面、台面干净。文件柜</w:t>
            </w:r>
            <w:r>
              <w:rPr>
                <w:rFonts w:hint="eastAsia" w:ascii="宋体" w:hAnsi="宋体"/>
                <w:color w:val="auto"/>
                <w:sz w:val="24"/>
                <w:szCs w:val="24"/>
                <w:highlight w:val="none"/>
              </w:rPr>
              <w:t>、</w:t>
            </w:r>
            <w:r>
              <w:rPr>
                <w:rFonts w:ascii="宋体" w:hAnsi="宋体"/>
                <w:color w:val="auto"/>
                <w:sz w:val="24"/>
                <w:szCs w:val="24"/>
                <w:highlight w:val="none"/>
              </w:rPr>
              <w:t>书报架摆放整齐，目视无尘土。</w:t>
            </w:r>
          </w:p>
          <w:p w14:paraId="11362091">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大厅内</w:t>
            </w:r>
            <w:r>
              <w:rPr>
                <w:rFonts w:ascii="宋体" w:hAnsi="宋体"/>
                <w:color w:val="auto"/>
                <w:sz w:val="24"/>
                <w:szCs w:val="24"/>
                <w:highlight w:val="none"/>
              </w:rPr>
              <w:t>摆放的绿植等盆体周围干净</w:t>
            </w:r>
            <w:r>
              <w:rPr>
                <w:rFonts w:hint="eastAsia" w:ascii="宋体" w:hAnsi="宋体"/>
                <w:color w:val="auto"/>
                <w:sz w:val="24"/>
                <w:szCs w:val="24"/>
                <w:highlight w:val="none"/>
              </w:rPr>
              <w:t>，</w:t>
            </w:r>
            <w:r>
              <w:rPr>
                <w:rFonts w:ascii="宋体" w:hAnsi="宋体"/>
                <w:color w:val="auto"/>
                <w:sz w:val="24"/>
                <w:szCs w:val="24"/>
                <w:highlight w:val="none"/>
              </w:rPr>
              <w:t>两侧楼梯要清洁后用拖把擦拭。</w:t>
            </w:r>
          </w:p>
          <w:p w14:paraId="00DF101D">
            <w:pPr>
              <w:pStyle w:val="161"/>
              <w:numPr>
                <w:ilvl w:val="0"/>
                <w:numId w:val="25"/>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雨雪天</w:t>
            </w:r>
            <w:r>
              <w:rPr>
                <w:rFonts w:ascii="宋体" w:hAnsi="宋体"/>
                <w:color w:val="auto"/>
                <w:sz w:val="24"/>
                <w:szCs w:val="24"/>
                <w:highlight w:val="none"/>
              </w:rPr>
              <w:t>要及时放置地毯等</w:t>
            </w:r>
            <w:r>
              <w:rPr>
                <w:rFonts w:hint="eastAsia" w:ascii="宋体" w:hAnsi="宋体"/>
                <w:color w:val="auto"/>
                <w:sz w:val="24"/>
                <w:szCs w:val="24"/>
                <w:highlight w:val="none"/>
              </w:rPr>
              <w:t>防止</w:t>
            </w:r>
            <w:r>
              <w:rPr>
                <w:rFonts w:ascii="宋体" w:hAnsi="宋体"/>
                <w:color w:val="auto"/>
                <w:sz w:val="24"/>
                <w:szCs w:val="24"/>
                <w:highlight w:val="none"/>
              </w:rPr>
              <w:t>水渍带入大厅。</w:t>
            </w:r>
          </w:p>
          <w:p w14:paraId="6C54F0B5">
            <w:pPr>
              <w:numPr>
                <w:ilvl w:val="0"/>
                <w:numId w:val="25"/>
              </w:numPr>
              <w:spacing w:line="360" w:lineRule="auto"/>
              <w:rPr>
                <w:rFonts w:ascii="宋体" w:hAnsi="宋体"/>
                <w:color w:val="auto"/>
                <w:sz w:val="24"/>
                <w:highlight w:val="none"/>
              </w:rPr>
            </w:pPr>
            <w:r>
              <w:rPr>
                <w:rFonts w:hint="eastAsia" w:ascii="宋体" w:hAnsi="宋体"/>
                <w:color w:val="auto"/>
                <w:sz w:val="24"/>
                <w:highlight w:val="none"/>
              </w:rPr>
              <w:t>办公区域按规定</w:t>
            </w:r>
            <w:r>
              <w:rPr>
                <w:rFonts w:ascii="宋体" w:hAnsi="宋体"/>
                <w:color w:val="auto"/>
                <w:sz w:val="24"/>
                <w:highlight w:val="none"/>
              </w:rPr>
              <w:t>分类收集垃圾，清</w:t>
            </w:r>
            <w:r>
              <w:rPr>
                <w:rFonts w:hint="eastAsia" w:ascii="宋体" w:hAnsi="宋体"/>
                <w:color w:val="auto"/>
                <w:sz w:val="24"/>
                <w:highlight w:val="none"/>
              </w:rPr>
              <w:t>拖</w:t>
            </w:r>
            <w:r>
              <w:rPr>
                <w:rFonts w:ascii="宋体" w:hAnsi="宋体"/>
                <w:color w:val="auto"/>
                <w:sz w:val="24"/>
                <w:highlight w:val="none"/>
              </w:rPr>
              <w:t>地面，保持清洁，擦抹门窗</w:t>
            </w:r>
            <w:r>
              <w:rPr>
                <w:rFonts w:hint="eastAsia" w:ascii="宋体" w:hAnsi="宋体"/>
                <w:color w:val="auto"/>
                <w:sz w:val="24"/>
                <w:highlight w:val="none"/>
              </w:rPr>
              <w:t>、</w:t>
            </w:r>
            <w:r>
              <w:rPr>
                <w:rFonts w:ascii="宋体" w:hAnsi="宋体"/>
                <w:color w:val="auto"/>
                <w:sz w:val="24"/>
                <w:highlight w:val="none"/>
              </w:rPr>
              <w:t>办公室家具。特殊</w:t>
            </w:r>
            <w:r>
              <w:rPr>
                <w:rFonts w:hint="eastAsia" w:ascii="宋体" w:hAnsi="宋体"/>
                <w:color w:val="auto"/>
                <w:sz w:val="24"/>
                <w:highlight w:val="none"/>
              </w:rPr>
              <w:t>情况</w:t>
            </w:r>
            <w:r>
              <w:rPr>
                <w:rFonts w:ascii="宋体" w:hAnsi="宋体"/>
                <w:color w:val="auto"/>
                <w:sz w:val="24"/>
                <w:highlight w:val="none"/>
              </w:rPr>
              <w:t>下应先敲门</w:t>
            </w:r>
            <w:r>
              <w:rPr>
                <w:rFonts w:hint="eastAsia" w:ascii="宋体" w:hAnsi="宋体"/>
                <w:color w:val="auto"/>
                <w:sz w:val="24"/>
                <w:highlight w:val="none"/>
              </w:rPr>
              <w:t>再</w:t>
            </w:r>
            <w:r>
              <w:rPr>
                <w:rFonts w:ascii="宋体" w:hAnsi="宋体"/>
                <w:color w:val="auto"/>
                <w:sz w:val="24"/>
                <w:highlight w:val="none"/>
              </w:rPr>
              <w:t>进入，使用文明用语。工作时</w:t>
            </w:r>
            <w:r>
              <w:rPr>
                <w:rFonts w:hint="eastAsia" w:ascii="宋体" w:hAnsi="宋体"/>
                <w:color w:val="auto"/>
                <w:sz w:val="24"/>
                <w:highlight w:val="none"/>
              </w:rPr>
              <w:t>应</w:t>
            </w:r>
            <w:r>
              <w:rPr>
                <w:rFonts w:ascii="宋体" w:hAnsi="宋体"/>
                <w:color w:val="auto"/>
                <w:sz w:val="24"/>
                <w:highlight w:val="none"/>
              </w:rPr>
              <w:t>保持安静，</w:t>
            </w:r>
            <w:r>
              <w:rPr>
                <w:rFonts w:hint="eastAsia" w:ascii="宋体" w:hAnsi="宋体"/>
                <w:color w:val="auto"/>
                <w:sz w:val="24"/>
                <w:highlight w:val="none"/>
              </w:rPr>
              <w:t>不得</w:t>
            </w:r>
            <w:r>
              <w:rPr>
                <w:rFonts w:ascii="宋体" w:hAnsi="宋体"/>
                <w:color w:val="auto"/>
                <w:sz w:val="24"/>
                <w:highlight w:val="none"/>
              </w:rPr>
              <w:t>大声喧哗，工作</w:t>
            </w:r>
            <w:r>
              <w:rPr>
                <w:rFonts w:hint="eastAsia" w:ascii="宋体" w:hAnsi="宋体"/>
                <w:color w:val="auto"/>
                <w:sz w:val="24"/>
                <w:highlight w:val="none"/>
              </w:rPr>
              <w:t>性</w:t>
            </w:r>
            <w:r>
              <w:rPr>
                <w:rFonts w:ascii="宋体" w:hAnsi="宋体"/>
                <w:color w:val="auto"/>
                <w:sz w:val="24"/>
                <w:highlight w:val="none"/>
              </w:rPr>
              <w:t>交谈小声进行，不得干扰</w:t>
            </w:r>
            <w:r>
              <w:rPr>
                <w:rFonts w:hint="eastAsia" w:ascii="宋体" w:hAnsi="宋体"/>
                <w:color w:val="auto"/>
                <w:sz w:val="24"/>
                <w:highlight w:val="none"/>
              </w:rPr>
              <w:t>医护</w:t>
            </w:r>
            <w:r>
              <w:rPr>
                <w:rFonts w:ascii="宋体" w:hAnsi="宋体"/>
                <w:color w:val="auto"/>
                <w:sz w:val="24"/>
                <w:highlight w:val="none"/>
              </w:rPr>
              <w:t>人员休息。医院</w:t>
            </w:r>
            <w:r>
              <w:rPr>
                <w:rFonts w:hint="eastAsia" w:ascii="宋体" w:hAnsi="宋体"/>
                <w:color w:val="auto"/>
                <w:sz w:val="24"/>
                <w:highlight w:val="none"/>
              </w:rPr>
              <w:t>办公室、</w:t>
            </w:r>
            <w:r>
              <w:rPr>
                <w:rFonts w:ascii="宋体" w:hAnsi="宋体"/>
                <w:color w:val="auto"/>
                <w:sz w:val="24"/>
                <w:highlight w:val="none"/>
              </w:rPr>
              <w:t>休息室内保持干净，桌椅摆放</w:t>
            </w:r>
            <w:r>
              <w:rPr>
                <w:rFonts w:hint="eastAsia" w:ascii="宋体" w:hAnsi="宋体"/>
                <w:color w:val="auto"/>
                <w:sz w:val="24"/>
                <w:highlight w:val="none"/>
              </w:rPr>
              <w:t>整齐</w:t>
            </w:r>
            <w:r>
              <w:rPr>
                <w:rFonts w:ascii="宋体" w:hAnsi="宋体"/>
                <w:color w:val="auto"/>
                <w:sz w:val="24"/>
                <w:highlight w:val="none"/>
              </w:rPr>
              <w:t>。</w:t>
            </w:r>
          </w:p>
          <w:p w14:paraId="34DD16B4">
            <w:pPr>
              <w:spacing w:line="360" w:lineRule="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通道、楼梯</w:t>
            </w:r>
            <w:r>
              <w:rPr>
                <w:rFonts w:hint="eastAsia" w:ascii="宋体" w:hAnsi="宋体"/>
                <w:color w:val="auto"/>
                <w:sz w:val="24"/>
                <w:highlight w:val="none"/>
              </w:rPr>
              <w:t>保洁：</w:t>
            </w:r>
          </w:p>
          <w:p w14:paraId="4FB1FCA1">
            <w:pPr>
              <w:spacing w:line="360" w:lineRule="auto"/>
              <w:jc w:val="left"/>
              <w:rPr>
                <w:rFonts w:hint="eastAsia"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巡视通道或楼梯，</w:t>
            </w:r>
            <w:r>
              <w:rPr>
                <w:rFonts w:hint="eastAsia" w:ascii="宋体" w:hAnsi="宋体"/>
                <w:color w:val="auto"/>
                <w:sz w:val="24"/>
                <w:highlight w:val="none"/>
              </w:rPr>
              <w:t>自下而上</w:t>
            </w:r>
            <w:r>
              <w:rPr>
                <w:rFonts w:ascii="宋体" w:hAnsi="宋体"/>
                <w:color w:val="auto"/>
                <w:sz w:val="24"/>
                <w:highlight w:val="none"/>
              </w:rPr>
              <w:t>清扫垃圾</w:t>
            </w:r>
            <w:r>
              <w:rPr>
                <w:rFonts w:hint="eastAsia" w:ascii="宋体" w:hAnsi="宋体"/>
                <w:color w:val="auto"/>
                <w:sz w:val="24"/>
                <w:highlight w:val="none"/>
              </w:rPr>
              <w:t>、</w:t>
            </w:r>
            <w:r>
              <w:rPr>
                <w:rFonts w:ascii="宋体" w:hAnsi="宋体"/>
                <w:color w:val="auto"/>
                <w:sz w:val="24"/>
                <w:highlight w:val="none"/>
              </w:rPr>
              <w:t>尘土，将果皮纸屑烟头清理后倒入垃圾桶，用托布擦地面台阶，清洗</w:t>
            </w:r>
            <w:r>
              <w:rPr>
                <w:rFonts w:hint="eastAsia" w:ascii="宋体" w:hAnsi="宋体"/>
                <w:color w:val="auto"/>
                <w:sz w:val="24"/>
                <w:highlight w:val="none"/>
              </w:rPr>
              <w:t>数次</w:t>
            </w:r>
            <w:r>
              <w:rPr>
                <w:rFonts w:ascii="宋体" w:hAnsi="宋体"/>
                <w:color w:val="auto"/>
                <w:sz w:val="24"/>
                <w:highlight w:val="none"/>
              </w:rPr>
              <w:t>；用抹布自下而上擦拭扶手和栏杆。雨雪天</w:t>
            </w:r>
            <w:r>
              <w:rPr>
                <w:rFonts w:hint="eastAsia" w:ascii="宋体" w:hAnsi="宋体"/>
                <w:color w:val="auto"/>
                <w:sz w:val="24"/>
                <w:highlight w:val="none"/>
              </w:rPr>
              <w:t>要</w:t>
            </w:r>
            <w:r>
              <w:rPr>
                <w:rFonts w:ascii="宋体" w:hAnsi="宋体"/>
                <w:color w:val="auto"/>
                <w:sz w:val="24"/>
                <w:highlight w:val="none"/>
              </w:rPr>
              <w:t>及时</w:t>
            </w:r>
            <w:r>
              <w:rPr>
                <w:rFonts w:hint="eastAsia" w:ascii="宋体" w:hAnsi="宋体"/>
                <w:color w:val="auto"/>
                <w:sz w:val="24"/>
                <w:highlight w:val="none"/>
              </w:rPr>
              <w:t>放置地毯</w:t>
            </w:r>
            <w:r>
              <w:rPr>
                <w:rFonts w:ascii="宋体" w:hAnsi="宋体"/>
                <w:color w:val="auto"/>
                <w:sz w:val="24"/>
                <w:highlight w:val="none"/>
              </w:rPr>
              <w:t>等</w:t>
            </w:r>
            <w:r>
              <w:rPr>
                <w:rFonts w:hint="eastAsia" w:ascii="宋体" w:hAnsi="宋体"/>
                <w:color w:val="auto"/>
                <w:sz w:val="24"/>
                <w:highlight w:val="none"/>
              </w:rPr>
              <w:t>防止</w:t>
            </w:r>
            <w:r>
              <w:rPr>
                <w:rFonts w:ascii="宋体" w:hAnsi="宋体"/>
                <w:color w:val="auto"/>
                <w:sz w:val="24"/>
                <w:highlight w:val="none"/>
              </w:rPr>
              <w:t>水渍</w:t>
            </w:r>
            <w:r>
              <w:rPr>
                <w:rFonts w:hint="eastAsia" w:ascii="宋体" w:hAnsi="宋体"/>
                <w:color w:val="auto"/>
                <w:sz w:val="24"/>
                <w:highlight w:val="none"/>
              </w:rPr>
              <w:t>带入通道</w:t>
            </w:r>
            <w:r>
              <w:rPr>
                <w:rFonts w:ascii="宋体" w:hAnsi="宋体"/>
                <w:color w:val="auto"/>
                <w:sz w:val="24"/>
                <w:highlight w:val="none"/>
              </w:rPr>
              <w:t>。</w:t>
            </w:r>
          </w:p>
          <w:p w14:paraId="5D1D1375">
            <w:pPr>
              <w:spacing w:line="360" w:lineRule="auto"/>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、卫生间</w:t>
            </w:r>
          </w:p>
          <w:p w14:paraId="1814D6B1">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10157237">
            <w:pPr>
              <w:pStyle w:val="161"/>
              <w:numPr>
                <w:ilvl w:val="0"/>
                <w:numId w:val="2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每天重点</w:t>
            </w:r>
            <w:r>
              <w:rPr>
                <w:rFonts w:ascii="宋体" w:hAnsi="宋体"/>
                <w:color w:val="auto"/>
                <w:sz w:val="24"/>
                <w:szCs w:val="24"/>
                <w:highlight w:val="none"/>
              </w:rPr>
              <w:t>清理洗手间，进入洗手间</w:t>
            </w:r>
            <w:r>
              <w:rPr>
                <w:rFonts w:hint="eastAsia" w:ascii="宋体" w:hAnsi="宋体"/>
                <w:color w:val="auto"/>
                <w:sz w:val="24"/>
                <w:szCs w:val="24"/>
                <w:highlight w:val="none"/>
              </w:rPr>
              <w:t>前</w:t>
            </w:r>
            <w:r>
              <w:rPr>
                <w:rFonts w:ascii="宋体" w:hAnsi="宋体"/>
                <w:color w:val="auto"/>
                <w:sz w:val="24"/>
                <w:szCs w:val="24"/>
                <w:highlight w:val="none"/>
              </w:rPr>
              <w:t>将清洁指示牌放置门前，打开门窗</w:t>
            </w:r>
            <w:r>
              <w:rPr>
                <w:rFonts w:hint="eastAsia" w:ascii="宋体" w:hAnsi="宋体"/>
                <w:color w:val="auto"/>
                <w:sz w:val="24"/>
                <w:szCs w:val="24"/>
                <w:highlight w:val="none"/>
              </w:rPr>
              <w:t>通风</w:t>
            </w:r>
            <w:r>
              <w:rPr>
                <w:rFonts w:ascii="宋体" w:hAnsi="宋体"/>
                <w:color w:val="auto"/>
                <w:sz w:val="24"/>
                <w:szCs w:val="24"/>
                <w:highlight w:val="none"/>
              </w:rPr>
              <w:t>。</w:t>
            </w:r>
          </w:p>
          <w:p w14:paraId="56B4563D">
            <w:pPr>
              <w:pStyle w:val="161"/>
              <w:numPr>
                <w:ilvl w:val="0"/>
                <w:numId w:val="2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面盆表面包括台面</w:t>
            </w:r>
            <w:r>
              <w:rPr>
                <w:rFonts w:hint="eastAsia" w:ascii="宋体" w:hAnsi="宋体"/>
                <w:color w:val="auto"/>
                <w:sz w:val="24"/>
                <w:szCs w:val="24"/>
                <w:highlight w:val="none"/>
              </w:rPr>
              <w:t>、</w:t>
            </w:r>
            <w:r>
              <w:rPr>
                <w:rFonts w:ascii="宋体" w:hAnsi="宋体"/>
                <w:color w:val="auto"/>
                <w:sz w:val="24"/>
                <w:szCs w:val="24"/>
                <w:highlight w:val="none"/>
              </w:rPr>
              <w:t>墙面、门窗标牌、镜面等，用</w:t>
            </w:r>
            <w:r>
              <w:rPr>
                <w:rFonts w:hint="eastAsia" w:ascii="宋体" w:hAnsi="宋体"/>
                <w:color w:val="auto"/>
                <w:sz w:val="24"/>
                <w:szCs w:val="24"/>
                <w:highlight w:val="none"/>
              </w:rPr>
              <w:t>干</w:t>
            </w:r>
            <w:r>
              <w:rPr>
                <w:rFonts w:ascii="宋体" w:hAnsi="宋体"/>
                <w:color w:val="auto"/>
                <w:sz w:val="24"/>
                <w:szCs w:val="24"/>
                <w:highlight w:val="none"/>
              </w:rPr>
              <w:t>布</w:t>
            </w:r>
            <w:r>
              <w:rPr>
                <w:rFonts w:hint="eastAsia" w:ascii="宋体" w:hAnsi="宋体"/>
                <w:color w:val="auto"/>
                <w:sz w:val="24"/>
                <w:szCs w:val="24"/>
                <w:highlight w:val="none"/>
              </w:rPr>
              <w:t>擦抹</w:t>
            </w:r>
            <w:r>
              <w:rPr>
                <w:rFonts w:ascii="宋体" w:hAnsi="宋体"/>
                <w:color w:val="auto"/>
                <w:sz w:val="24"/>
                <w:szCs w:val="24"/>
                <w:highlight w:val="none"/>
              </w:rPr>
              <w:t>干净，必要时随时擦拭镜面</w:t>
            </w:r>
            <w:r>
              <w:rPr>
                <w:rFonts w:hint="eastAsia" w:ascii="宋体" w:hAnsi="宋体"/>
                <w:color w:val="auto"/>
                <w:sz w:val="24"/>
                <w:szCs w:val="24"/>
                <w:highlight w:val="none"/>
              </w:rPr>
              <w:t>保持</w:t>
            </w:r>
            <w:r>
              <w:rPr>
                <w:rFonts w:ascii="宋体" w:hAnsi="宋体"/>
                <w:color w:val="auto"/>
                <w:sz w:val="24"/>
                <w:szCs w:val="24"/>
                <w:highlight w:val="none"/>
              </w:rPr>
              <w:t>明净。</w:t>
            </w:r>
          </w:p>
          <w:p w14:paraId="5E9D90AA">
            <w:pPr>
              <w:pStyle w:val="161"/>
              <w:numPr>
                <w:ilvl w:val="0"/>
                <w:numId w:val="26"/>
              </w:numPr>
              <w:spacing w:line="360" w:lineRule="auto"/>
              <w:ind w:firstLineChars="0"/>
              <w:contextualSpacing/>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洗手盆、水龙头、皂液盒，无污物、无水渍、无杂物，保持清洁，</w:t>
            </w:r>
            <w:r>
              <w:rPr>
                <w:rFonts w:hint="eastAsia" w:ascii="宋体" w:hAnsi="宋体"/>
                <w:color w:val="auto"/>
                <w:sz w:val="24"/>
                <w:szCs w:val="24"/>
                <w:highlight w:val="none"/>
              </w:rPr>
              <w:t>经常</w:t>
            </w:r>
            <w:r>
              <w:rPr>
                <w:rFonts w:ascii="宋体" w:hAnsi="宋体"/>
                <w:color w:val="auto"/>
                <w:sz w:val="24"/>
                <w:szCs w:val="24"/>
                <w:highlight w:val="none"/>
              </w:rPr>
              <w:t>巡回擦拭台面。</w:t>
            </w:r>
          </w:p>
          <w:p w14:paraId="4837119C">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67A0F292">
            <w:pPr>
              <w:pStyle w:val="161"/>
              <w:numPr>
                <w:ilvl w:val="0"/>
                <w:numId w:val="2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0277A790">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709533AB">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451272D2">
            <w:pPr>
              <w:pStyle w:val="161"/>
              <w:numPr>
                <w:ilvl w:val="0"/>
                <w:numId w:val="2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6CC5961F">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10004968">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0D00E822">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4A06D44D">
            <w:pPr>
              <w:numPr>
                <w:ilvl w:val="0"/>
                <w:numId w:val="26"/>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03C80F45">
            <w:pPr>
              <w:spacing w:line="360" w:lineRule="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、垃圾处理：包括生活垃圾处理和医疗垃圾处理。</w:t>
            </w:r>
          </w:p>
          <w:p w14:paraId="318341E7">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72168774">
            <w:pPr>
              <w:spacing w:line="360" w:lineRule="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机动人员工作要求</w:t>
            </w:r>
            <w:r>
              <w:rPr>
                <w:rFonts w:hint="eastAsia" w:ascii="宋体" w:hAnsi="宋体"/>
                <w:color w:val="auto"/>
                <w:sz w:val="24"/>
                <w:highlight w:val="none"/>
              </w:rPr>
              <w:t>：</w:t>
            </w:r>
          </w:p>
          <w:p w14:paraId="11AD8816">
            <w:pPr>
              <w:numPr>
                <w:ilvl w:val="0"/>
                <w:numId w:val="27"/>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值班时间段保洁巡视工作（遇紧急保洁事件1</w:t>
            </w:r>
            <w:r>
              <w:rPr>
                <w:rFonts w:ascii="宋体" w:hAnsi="宋体"/>
                <w:color w:val="auto"/>
                <w:sz w:val="24"/>
                <w:highlight w:val="none"/>
              </w:rPr>
              <w:t>0分钟到达科室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6FFE950A">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 xml:space="preserve">0 </w:t>
            </w:r>
            <w:r>
              <w:rPr>
                <w:rFonts w:hint="eastAsia" w:ascii="宋体" w:hAnsi="宋体"/>
                <w:color w:val="auto"/>
                <w:sz w:val="24"/>
                <w:highlight w:val="none"/>
              </w:rPr>
              <w:t>门诊</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5F6FE5B7">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门诊</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07018B5B">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48A6C93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63CBAED">
            <w:pPr>
              <w:spacing w:line="360" w:lineRule="auto"/>
              <w:rPr>
                <w:rFonts w:hint="eastAsia" w:ascii="宋体" w:hAnsi="宋体"/>
                <w:color w:val="auto"/>
                <w:sz w:val="24"/>
                <w:highlight w:val="none"/>
              </w:rPr>
            </w:pPr>
            <w:r>
              <w:rPr>
                <w:rFonts w:hint="eastAsia" w:ascii="宋体" w:hAnsi="宋体"/>
                <w:color w:val="auto"/>
                <w:sz w:val="24"/>
                <w:highlight w:val="none"/>
              </w:rPr>
              <w:t>2.6</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4241D8D">
            <w:pPr>
              <w:spacing w:line="360" w:lineRule="auto"/>
              <w:rPr>
                <w:rFonts w:hint="eastAsia" w:ascii="宋体" w:hAnsi="宋体"/>
                <w:color w:val="auto"/>
                <w:sz w:val="24"/>
                <w:highlight w:val="none"/>
              </w:rPr>
            </w:pPr>
            <w:r>
              <w:rPr>
                <w:rFonts w:hint="eastAsia" w:ascii="宋体" w:hAnsi="宋体"/>
                <w:color w:val="auto"/>
                <w:sz w:val="24"/>
                <w:highlight w:val="none"/>
              </w:rPr>
              <w:t>手术室常规保洁要求及标准</w:t>
            </w:r>
          </w:p>
        </w:tc>
        <w:tc>
          <w:tcPr>
            <w:tcW w:w="6555" w:type="dxa"/>
            <w:tcBorders>
              <w:top w:val="single" w:color="auto" w:sz="4" w:space="0"/>
              <w:left w:val="nil"/>
              <w:bottom w:val="single" w:color="auto" w:sz="4" w:space="0"/>
              <w:right w:val="single" w:color="auto" w:sz="4" w:space="0"/>
            </w:tcBorders>
            <w:noWrap w:val="0"/>
            <w:vAlign w:val="center"/>
          </w:tcPr>
          <w:p w14:paraId="76EE9663">
            <w:pPr>
              <w:spacing w:line="360" w:lineRule="auto"/>
              <w:rPr>
                <w:rFonts w:hint="eastAsia" w:ascii="宋体" w:hAnsi="宋体"/>
                <w:color w:val="auto"/>
                <w:sz w:val="24"/>
                <w:highlight w:val="none"/>
              </w:rPr>
            </w:pPr>
            <w:r>
              <w:rPr>
                <w:rFonts w:hint="eastAsia" w:ascii="宋体" w:hAnsi="宋体"/>
                <w:color w:val="auto"/>
                <w:sz w:val="24"/>
                <w:highlight w:val="none"/>
              </w:rPr>
              <w:t>1、手术前30分钟开启净化空调系统，连续运行，直至手术间清洁消毒工作完成后关闭。</w:t>
            </w:r>
          </w:p>
          <w:p w14:paraId="331A4E95">
            <w:pPr>
              <w:spacing w:line="360" w:lineRule="auto"/>
              <w:rPr>
                <w:rFonts w:hint="eastAsia" w:ascii="宋体" w:hAnsi="宋体"/>
                <w:color w:val="auto"/>
                <w:sz w:val="24"/>
                <w:highlight w:val="none"/>
              </w:rPr>
            </w:pPr>
            <w:r>
              <w:rPr>
                <w:rFonts w:hint="eastAsia" w:ascii="宋体" w:hAnsi="宋体"/>
                <w:color w:val="auto"/>
                <w:sz w:val="24"/>
                <w:highlight w:val="none"/>
              </w:rPr>
              <w:t>2、每星期一早上用清水擦拭所有手术间物品表面，用500mg/L含氯消毒液擦净所有地面，擦拭水池子、门把手、灯具开关、栏杆等。</w:t>
            </w:r>
          </w:p>
          <w:p w14:paraId="4BEE3187">
            <w:pPr>
              <w:spacing w:line="360" w:lineRule="auto"/>
              <w:rPr>
                <w:rFonts w:hint="eastAsia" w:ascii="宋体" w:hAnsi="宋体"/>
                <w:color w:val="auto"/>
                <w:sz w:val="24"/>
                <w:highlight w:val="none"/>
              </w:rPr>
            </w:pPr>
            <w:r>
              <w:rPr>
                <w:rFonts w:hint="eastAsia" w:ascii="宋体" w:hAnsi="宋体"/>
                <w:color w:val="auto"/>
                <w:sz w:val="24"/>
                <w:highlight w:val="none"/>
              </w:rPr>
              <w:t>3、手术间物品（手术床、车、墙面、地面、各类家具及仪器表面）均用消毒液擦拭，被血或分泌物污染处用消毒液擦拭后，再用清水擦拭。电脑、灯具、玻璃使用消毒纸巾。</w:t>
            </w:r>
          </w:p>
          <w:p w14:paraId="1B9BE5DF">
            <w:pPr>
              <w:spacing w:line="360" w:lineRule="auto"/>
              <w:rPr>
                <w:rFonts w:hint="eastAsia" w:ascii="宋体" w:hAnsi="宋体"/>
                <w:color w:val="auto"/>
                <w:sz w:val="24"/>
                <w:highlight w:val="none"/>
              </w:rPr>
            </w:pPr>
            <w:r>
              <w:rPr>
                <w:rFonts w:hint="eastAsia" w:ascii="宋体" w:hAnsi="宋体"/>
                <w:color w:val="auto"/>
                <w:sz w:val="24"/>
                <w:highlight w:val="none"/>
              </w:rPr>
              <w:t>4、所有外来的仪器设备应在缓冲间仔细擦拭后，方可进入手术间。</w:t>
            </w:r>
          </w:p>
          <w:p w14:paraId="6B411D77">
            <w:pPr>
              <w:spacing w:line="360" w:lineRule="auto"/>
              <w:rPr>
                <w:rFonts w:hint="eastAsia" w:ascii="宋体" w:hAnsi="宋体"/>
                <w:color w:val="auto"/>
                <w:sz w:val="24"/>
                <w:highlight w:val="none"/>
              </w:rPr>
            </w:pPr>
            <w:r>
              <w:rPr>
                <w:rFonts w:hint="eastAsia" w:ascii="宋体" w:hAnsi="宋体"/>
                <w:color w:val="auto"/>
                <w:sz w:val="24"/>
                <w:highlight w:val="none"/>
              </w:rPr>
              <w:t>5、擦拭手术间物体表面的每一块抹布，使用后统用500mg/L的含氯消毒液清洗。</w:t>
            </w:r>
          </w:p>
          <w:p w14:paraId="6A0717C3">
            <w:pPr>
              <w:spacing w:line="360" w:lineRule="auto"/>
              <w:rPr>
                <w:rFonts w:hint="eastAsia" w:ascii="宋体" w:hAnsi="宋体"/>
                <w:color w:val="auto"/>
                <w:sz w:val="24"/>
                <w:highlight w:val="none"/>
              </w:rPr>
            </w:pPr>
            <w:r>
              <w:rPr>
                <w:rFonts w:hint="eastAsia" w:ascii="宋体" w:hAnsi="宋体"/>
                <w:color w:val="auto"/>
                <w:sz w:val="24"/>
                <w:highlight w:val="none"/>
              </w:rPr>
              <w:t>6、设置专用墩布，感染手术和非感染手术墩布分别放置，集中送洗。</w:t>
            </w:r>
          </w:p>
          <w:p w14:paraId="4EE9A0E5">
            <w:pPr>
              <w:spacing w:line="360" w:lineRule="auto"/>
              <w:rPr>
                <w:rFonts w:hint="eastAsia" w:ascii="宋体" w:hAnsi="宋体"/>
                <w:color w:val="auto"/>
                <w:sz w:val="24"/>
                <w:highlight w:val="none"/>
              </w:rPr>
            </w:pPr>
            <w:r>
              <w:rPr>
                <w:rFonts w:hint="eastAsia" w:ascii="宋体" w:hAnsi="宋体"/>
                <w:color w:val="auto"/>
                <w:sz w:val="24"/>
                <w:highlight w:val="none"/>
              </w:rPr>
              <w:t>7、扫把和簸箕每日消毒一次（取500mg/片的含氯消毒片1片配500m1水)。保洁物品分开放置，清洁区，污染区分别使用。</w:t>
            </w:r>
          </w:p>
          <w:p w14:paraId="7AA221FE">
            <w:pPr>
              <w:spacing w:line="360" w:lineRule="auto"/>
              <w:rPr>
                <w:rFonts w:hint="eastAsia" w:ascii="宋体" w:hAnsi="宋体"/>
                <w:color w:val="auto"/>
                <w:sz w:val="24"/>
                <w:highlight w:val="none"/>
              </w:rPr>
            </w:pPr>
            <w:r>
              <w:rPr>
                <w:rFonts w:hint="eastAsia" w:ascii="宋体" w:hAnsi="宋体"/>
                <w:color w:val="auto"/>
                <w:sz w:val="24"/>
                <w:highlight w:val="none"/>
              </w:rPr>
              <w:t>8、内走廊地面每日拖3次，污物间、清洁间、污物传送梯随时保持整洁、无异味、无蚊蝇、无蟑螂。</w:t>
            </w:r>
          </w:p>
          <w:p w14:paraId="54630CFD">
            <w:pPr>
              <w:spacing w:line="360" w:lineRule="auto"/>
              <w:rPr>
                <w:rFonts w:hint="eastAsia" w:ascii="宋体" w:hAnsi="宋体"/>
                <w:color w:val="auto"/>
                <w:sz w:val="24"/>
                <w:highlight w:val="none"/>
              </w:rPr>
            </w:pPr>
            <w:r>
              <w:rPr>
                <w:rFonts w:hint="eastAsia" w:ascii="宋体" w:hAnsi="宋体"/>
                <w:color w:val="auto"/>
                <w:sz w:val="24"/>
                <w:highlight w:val="none"/>
              </w:rPr>
              <w:t>9、推车要每日清洁消毒。</w:t>
            </w:r>
          </w:p>
          <w:p w14:paraId="51889D67">
            <w:pPr>
              <w:spacing w:line="360" w:lineRule="auto"/>
              <w:rPr>
                <w:rFonts w:hint="eastAsia" w:ascii="宋体" w:hAnsi="宋体"/>
                <w:color w:val="auto"/>
                <w:sz w:val="24"/>
                <w:highlight w:val="none"/>
              </w:rPr>
            </w:pPr>
            <w:r>
              <w:rPr>
                <w:rFonts w:hint="eastAsia" w:ascii="宋体" w:hAnsi="宋体"/>
                <w:color w:val="auto"/>
                <w:sz w:val="24"/>
                <w:highlight w:val="none"/>
              </w:rPr>
              <w:t>10、4台手术完毕后，采用术后湿式打扫，保证无灰尘。所有敷料均用手术衣包裹或布袋打包好。更换负压引流袋并安装好，放入黄色垃圾袋贴上标识，3/4满时进行有效的封口，辅料和垃圾袋放置于科室指定的暂时储存点，由专人负责统-回收处理。</w:t>
            </w:r>
          </w:p>
          <w:p w14:paraId="1CD97079">
            <w:pPr>
              <w:spacing w:line="360" w:lineRule="auto"/>
              <w:rPr>
                <w:rFonts w:hint="eastAsia" w:ascii="宋体" w:hAnsi="宋体"/>
                <w:color w:val="auto"/>
                <w:sz w:val="24"/>
                <w:highlight w:val="none"/>
              </w:rPr>
            </w:pPr>
            <w:r>
              <w:rPr>
                <w:rFonts w:hint="eastAsia" w:ascii="宋体" w:hAnsi="宋体"/>
                <w:color w:val="auto"/>
                <w:sz w:val="24"/>
                <w:highlight w:val="none"/>
              </w:rPr>
              <w:t>11、胸科两切口或三切口手术的所用敷料及垃圾，贴上专用标识，放在一个固定的地方，等这台手术全部完毕后再进行统一处理。</w:t>
            </w:r>
          </w:p>
          <w:p w14:paraId="569A019E">
            <w:pPr>
              <w:spacing w:line="360" w:lineRule="auto"/>
              <w:rPr>
                <w:rFonts w:hint="eastAsia" w:ascii="宋体" w:hAnsi="宋体"/>
                <w:color w:val="auto"/>
                <w:sz w:val="24"/>
                <w:highlight w:val="none"/>
              </w:rPr>
            </w:pPr>
            <w:r>
              <w:rPr>
                <w:rFonts w:hint="eastAsia" w:ascii="宋体" w:hAnsi="宋体"/>
                <w:color w:val="auto"/>
                <w:sz w:val="24"/>
                <w:highlight w:val="none"/>
              </w:rPr>
              <w:t>12、感染及急诊手术患者产生的医疗废物和排泄物按感染手术处理，用2000mg/L含氯消毒液擦拭物体表面，医疗废物要用双层黄色垃圾袋收纳。</w:t>
            </w:r>
          </w:p>
          <w:p w14:paraId="392B9899">
            <w:pPr>
              <w:spacing w:line="360" w:lineRule="auto"/>
              <w:rPr>
                <w:rFonts w:hint="eastAsia" w:ascii="宋体" w:hAnsi="宋体"/>
                <w:color w:val="auto"/>
                <w:sz w:val="24"/>
                <w:highlight w:val="none"/>
              </w:rPr>
            </w:pPr>
            <w:r>
              <w:rPr>
                <w:rFonts w:hint="eastAsia" w:ascii="宋体" w:hAnsi="宋体"/>
                <w:color w:val="auto"/>
                <w:sz w:val="24"/>
                <w:highlight w:val="none"/>
              </w:rPr>
              <w:t>13、利器盒、吻合器放入外面有标识的黄色垃圾袋内，放置于科室指定暂时储存点由专人统一回收处理。</w:t>
            </w:r>
          </w:p>
          <w:p w14:paraId="6816C59F">
            <w:pPr>
              <w:spacing w:line="360" w:lineRule="auto"/>
              <w:rPr>
                <w:rFonts w:hint="eastAsia" w:ascii="宋体" w:hAnsi="宋体"/>
                <w:color w:val="auto"/>
                <w:sz w:val="24"/>
                <w:highlight w:val="none"/>
              </w:rPr>
            </w:pPr>
            <w:r>
              <w:rPr>
                <w:rFonts w:hint="eastAsia" w:ascii="宋体" w:hAnsi="宋体"/>
                <w:color w:val="auto"/>
                <w:sz w:val="24"/>
                <w:highlight w:val="none"/>
              </w:rPr>
              <w:t>14、科室设立医疗废物运送登记本，手术间保洁员和医疗废物人员双方签字。</w:t>
            </w:r>
          </w:p>
          <w:p w14:paraId="21A35F8F">
            <w:pPr>
              <w:spacing w:line="360" w:lineRule="auto"/>
              <w:rPr>
                <w:rFonts w:hint="eastAsia" w:ascii="宋体" w:hAnsi="宋体"/>
                <w:color w:val="auto"/>
                <w:sz w:val="24"/>
                <w:highlight w:val="none"/>
              </w:rPr>
            </w:pPr>
            <w:r>
              <w:rPr>
                <w:rFonts w:hint="eastAsia" w:ascii="宋体" w:hAnsi="宋体"/>
                <w:color w:val="auto"/>
                <w:sz w:val="24"/>
                <w:highlight w:val="none"/>
              </w:rPr>
              <w:t>15、每次收完污染间的医疗废物后及时清扫擦拭污物间。</w:t>
            </w:r>
          </w:p>
          <w:p w14:paraId="1972BE75">
            <w:pPr>
              <w:spacing w:line="360" w:lineRule="auto"/>
              <w:rPr>
                <w:rFonts w:hint="eastAsia" w:ascii="宋体" w:hAnsi="宋体"/>
                <w:color w:val="auto"/>
                <w:sz w:val="24"/>
                <w:highlight w:val="none"/>
              </w:rPr>
            </w:pPr>
            <w:r>
              <w:rPr>
                <w:rFonts w:hint="eastAsia" w:ascii="宋体" w:hAnsi="宋体"/>
                <w:color w:val="auto"/>
                <w:sz w:val="24"/>
                <w:highlight w:val="none"/>
              </w:rPr>
              <w:t>16、十层通往外楼道的门要严格执行随手关门，设置一件外出衣和一双拖鞋。</w:t>
            </w:r>
          </w:p>
          <w:p w14:paraId="5E5BB91E">
            <w:pPr>
              <w:spacing w:line="360" w:lineRule="auto"/>
              <w:rPr>
                <w:rFonts w:hint="eastAsia" w:ascii="宋体" w:hAnsi="宋体"/>
                <w:color w:val="auto"/>
                <w:sz w:val="24"/>
                <w:highlight w:val="none"/>
              </w:rPr>
            </w:pPr>
            <w:r>
              <w:rPr>
                <w:rFonts w:hint="eastAsia" w:ascii="宋体" w:hAnsi="宋体"/>
                <w:color w:val="auto"/>
                <w:sz w:val="24"/>
                <w:highlight w:val="none"/>
              </w:rPr>
              <w:t>17、每星期五彻底打扫手术间卫生，用500mg/L含氯消毒液擦拭手术间内物品表面，地面，墙壁，门窗，体位垫、橱柜等。</w:t>
            </w:r>
          </w:p>
          <w:p w14:paraId="78C2B17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备注：</w:t>
            </w:r>
          </w:p>
          <w:p w14:paraId="4D1F75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所有在手术间地面上的盒子问清楚后再行处理。</w:t>
            </w:r>
          </w:p>
          <w:p w14:paraId="45F6FABB">
            <w:pPr>
              <w:spacing w:line="360" w:lineRule="auto"/>
              <w:rPr>
                <w:rFonts w:hint="eastAsia" w:ascii="宋体" w:hAnsi="宋体"/>
                <w:color w:val="auto"/>
                <w:sz w:val="24"/>
                <w:highlight w:val="none"/>
              </w:rPr>
            </w:pPr>
            <w:r>
              <w:rPr>
                <w:rFonts w:ascii="宋体" w:hAnsi="宋体"/>
                <w:color w:val="auto"/>
                <w:sz w:val="24"/>
                <w:highlight w:val="none"/>
              </w:rPr>
              <w:t>18</w:t>
            </w:r>
            <w:r>
              <w:rPr>
                <w:rFonts w:hint="eastAsia" w:ascii="宋体" w:hAnsi="宋体"/>
                <w:color w:val="auto"/>
                <w:sz w:val="24"/>
                <w:highlight w:val="none"/>
              </w:rPr>
              <w:t>、卫生间</w:t>
            </w:r>
          </w:p>
          <w:p w14:paraId="16C9E993">
            <w:pPr>
              <w:spacing w:line="360" w:lineRule="auto"/>
              <w:rPr>
                <w:rFonts w:ascii="宋体" w:hAnsi="宋体"/>
                <w:color w:val="auto"/>
                <w:sz w:val="24"/>
                <w:highlight w:val="none"/>
              </w:rPr>
            </w:pPr>
            <w:r>
              <w:rPr>
                <w:rFonts w:hint="eastAsia" w:ascii="宋体" w:hAnsi="宋体"/>
                <w:color w:val="auto"/>
                <w:sz w:val="24"/>
                <w:highlight w:val="none"/>
              </w:rPr>
              <w:t>清洁</w:t>
            </w:r>
            <w:r>
              <w:rPr>
                <w:rFonts w:ascii="宋体" w:hAnsi="宋体"/>
                <w:color w:val="auto"/>
                <w:sz w:val="24"/>
                <w:highlight w:val="none"/>
              </w:rPr>
              <w:t>标准（</w:t>
            </w:r>
            <w:r>
              <w:rPr>
                <w:rFonts w:hint="eastAsia" w:ascii="宋体" w:hAnsi="宋体"/>
                <w:color w:val="auto"/>
                <w:sz w:val="24"/>
                <w:highlight w:val="none"/>
              </w:rPr>
              <w:t>作为</w:t>
            </w:r>
            <w:r>
              <w:rPr>
                <w:rFonts w:ascii="宋体" w:hAnsi="宋体"/>
                <w:color w:val="auto"/>
                <w:sz w:val="24"/>
                <w:highlight w:val="none"/>
              </w:rPr>
              <w:t>三级甲等医院的规定卫生间清洁要求做到“</w:t>
            </w:r>
            <w:r>
              <w:rPr>
                <w:rFonts w:hint="eastAsia" w:ascii="宋体" w:hAnsi="宋体"/>
                <w:color w:val="auto"/>
                <w:sz w:val="24"/>
                <w:highlight w:val="none"/>
              </w:rPr>
              <w:t>专人</w:t>
            </w:r>
            <w:r>
              <w:rPr>
                <w:rFonts w:ascii="宋体" w:hAnsi="宋体"/>
                <w:color w:val="auto"/>
                <w:sz w:val="24"/>
                <w:highlight w:val="none"/>
              </w:rPr>
              <w:t>专</w:t>
            </w:r>
            <w:r>
              <w:rPr>
                <w:rFonts w:hint="eastAsia" w:ascii="宋体" w:hAnsi="宋体"/>
                <w:color w:val="auto"/>
                <w:sz w:val="24"/>
                <w:highlight w:val="none"/>
              </w:rPr>
              <w:t>间专</w:t>
            </w:r>
            <w:r>
              <w:rPr>
                <w:rFonts w:ascii="宋体" w:hAnsi="宋体"/>
                <w:color w:val="auto"/>
                <w:sz w:val="24"/>
                <w:highlight w:val="none"/>
              </w:rPr>
              <w:t>工具”</w:t>
            </w:r>
            <w:r>
              <w:rPr>
                <w:rFonts w:hint="eastAsia" w:ascii="宋体" w:hAnsi="宋体"/>
                <w:color w:val="auto"/>
                <w:sz w:val="24"/>
                <w:highlight w:val="none"/>
              </w:rPr>
              <w:t>管理</w:t>
            </w:r>
            <w:r>
              <w:rPr>
                <w:rFonts w:ascii="宋体" w:hAnsi="宋体"/>
                <w:color w:val="auto"/>
                <w:sz w:val="24"/>
                <w:highlight w:val="none"/>
              </w:rPr>
              <w:t>）</w:t>
            </w:r>
          </w:p>
          <w:p w14:paraId="35E94365">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每天重点</w:t>
            </w:r>
            <w:r>
              <w:rPr>
                <w:rFonts w:ascii="宋体" w:hAnsi="宋体"/>
                <w:color w:val="auto"/>
                <w:sz w:val="24"/>
                <w:highlight w:val="none"/>
              </w:rPr>
              <w:t>清理洗手间，进入洗手间</w:t>
            </w:r>
            <w:r>
              <w:rPr>
                <w:rFonts w:hint="eastAsia" w:ascii="宋体" w:hAnsi="宋体"/>
                <w:color w:val="auto"/>
                <w:sz w:val="24"/>
                <w:highlight w:val="none"/>
              </w:rPr>
              <w:t>前</w:t>
            </w:r>
            <w:r>
              <w:rPr>
                <w:rFonts w:ascii="宋体" w:hAnsi="宋体"/>
                <w:color w:val="auto"/>
                <w:sz w:val="24"/>
                <w:highlight w:val="none"/>
              </w:rPr>
              <w:t>将清洁指示牌放置门前，打开门窗</w:t>
            </w:r>
            <w:r>
              <w:rPr>
                <w:rFonts w:hint="eastAsia" w:ascii="宋体" w:hAnsi="宋体"/>
                <w:color w:val="auto"/>
                <w:sz w:val="24"/>
                <w:highlight w:val="none"/>
              </w:rPr>
              <w:t>通风</w:t>
            </w:r>
            <w:r>
              <w:rPr>
                <w:rFonts w:ascii="宋体" w:hAnsi="宋体"/>
                <w:color w:val="auto"/>
                <w:sz w:val="24"/>
                <w:highlight w:val="none"/>
              </w:rPr>
              <w:t>。</w:t>
            </w:r>
          </w:p>
          <w:p w14:paraId="2BDABF14">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面盆表面包括台面</w:t>
            </w:r>
            <w:r>
              <w:rPr>
                <w:rFonts w:hint="eastAsia" w:ascii="宋体" w:hAnsi="宋体"/>
                <w:color w:val="auto"/>
                <w:sz w:val="24"/>
                <w:highlight w:val="none"/>
              </w:rPr>
              <w:t>、</w:t>
            </w:r>
            <w:r>
              <w:rPr>
                <w:rFonts w:ascii="宋体" w:hAnsi="宋体"/>
                <w:color w:val="auto"/>
                <w:sz w:val="24"/>
                <w:highlight w:val="none"/>
              </w:rPr>
              <w:t>墙面、门窗标牌、镜面等，用</w:t>
            </w:r>
            <w:r>
              <w:rPr>
                <w:rFonts w:hint="eastAsia" w:ascii="宋体" w:hAnsi="宋体"/>
                <w:color w:val="auto"/>
                <w:sz w:val="24"/>
                <w:highlight w:val="none"/>
              </w:rPr>
              <w:t>干</w:t>
            </w:r>
            <w:r>
              <w:rPr>
                <w:rFonts w:ascii="宋体" w:hAnsi="宋体"/>
                <w:color w:val="auto"/>
                <w:sz w:val="24"/>
                <w:highlight w:val="none"/>
              </w:rPr>
              <w:t>布</w:t>
            </w:r>
            <w:r>
              <w:rPr>
                <w:rFonts w:hint="eastAsia" w:ascii="宋体" w:hAnsi="宋体"/>
                <w:color w:val="auto"/>
                <w:sz w:val="24"/>
                <w:highlight w:val="none"/>
              </w:rPr>
              <w:t>擦抹</w:t>
            </w:r>
            <w:r>
              <w:rPr>
                <w:rFonts w:ascii="宋体" w:hAnsi="宋体"/>
                <w:color w:val="auto"/>
                <w:sz w:val="24"/>
                <w:highlight w:val="none"/>
              </w:rPr>
              <w:t>干净，必要时随时擦拭镜面</w:t>
            </w:r>
            <w:r>
              <w:rPr>
                <w:rFonts w:hint="eastAsia" w:ascii="宋体" w:hAnsi="宋体"/>
                <w:color w:val="auto"/>
                <w:sz w:val="24"/>
                <w:highlight w:val="none"/>
              </w:rPr>
              <w:t>保持</w:t>
            </w:r>
            <w:r>
              <w:rPr>
                <w:rFonts w:ascii="宋体" w:hAnsi="宋体"/>
                <w:color w:val="auto"/>
                <w:sz w:val="24"/>
                <w:highlight w:val="none"/>
              </w:rPr>
              <w:t>明净。</w:t>
            </w:r>
          </w:p>
          <w:p w14:paraId="378C0BEF">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洗手盆、水龙头、皂液盒，无污物、无水渍、无杂物，保持清洁，</w:t>
            </w:r>
            <w:r>
              <w:rPr>
                <w:rFonts w:hint="eastAsia" w:ascii="宋体" w:hAnsi="宋体"/>
                <w:color w:val="auto"/>
                <w:sz w:val="24"/>
                <w:highlight w:val="none"/>
              </w:rPr>
              <w:t>经常</w:t>
            </w:r>
            <w:r>
              <w:rPr>
                <w:rFonts w:ascii="宋体" w:hAnsi="宋体"/>
                <w:color w:val="auto"/>
                <w:sz w:val="24"/>
                <w:highlight w:val="none"/>
              </w:rPr>
              <w:t>巡回擦拭台面。</w:t>
            </w:r>
          </w:p>
          <w:p w14:paraId="736B4FFF">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擦拭</w:t>
            </w:r>
            <w:r>
              <w:rPr>
                <w:rFonts w:ascii="宋体" w:hAnsi="宋体"/>
                <w:color w:val="auto"/>
                <w:sz w:val="24"/>
                <w:highlight w:val="none"/>
              </w:rPr>
              <w:t>洗手间瓷砖墙面、隔断板、隔断门，用湿、干拖</w:t>
            </w:r>
            <w:r>
              <w:rPr>
                <w:rFonts w:hint="eastAsia" w:ascii="宋体" w:hAnsi="宋体"/>
                <w:color w:val="auto"/>
                <w:sz w:val="24"/>
                <w:highlight w:val="none"/>
              </w:rPr>
              <w:t>布</w:t>
            </w:r>
            <w:r>
              <w:rPr>
                <w:rFonts w:ascii="宋体" w:hAnsi="宋体"/>
                <w:color w:val="auto"/>
                <w:sz w:val="24"/>
                <w:highlight w:val="none"/>
              </w:rPr>
              <w:t>擦地，维持干净。</w:t>
            </w:r>
          </w:p>
          <w:p w14:paraId="507520FA">
            <w:pPr>
              <w:pStyle w:val="164"/>
              <w:numPr>
                <w:ilvl w:val="0"/>
                <w:numId w:val="2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擦拭</w:t>
            </w:r>
            <w:r>
              <w:rPr>
                <w:rFonts w:ascii="宋体" w:hAnsi="宋体"/>
                <w:color w:val="auto"/>
                <w:sz w:val="24"/>
                <w:szCs w:val="24"/>
                <w:highlight w:val="none"/>
              </w:rPr>
              <w:t>洁具表面包括</w:t>
            </w:r>
            <w:r>
              <w:rPr>
                <w:rFonts w:hint="eastAsia" w:ascii="宋体" w:hAnsi="宋体"/>
                <w:color w:val="auto"/>
                <w:sz w:val="24"/>
                <w:szCs w:val="24"/>
                <w:highlight w:val="none"/>
              </w:rPr>
              <w:t>水箱</w:t>
            </w:r>
            <w:r>
              <w:rPr>
                <w:rFonts w:ascii="宋体" w:hAnsi="宋体"/>
                <w:color w:val="auto"/>
                <w:sz w:val="24"/>
                <w:szCs w:val="24"/>
                <w:highlight w:val="none"/>
              </w:rPr>
              <w:t>、水管、盖板两面基座周围，注意</w:t>
            </w:r>
            <w:r>
              <w:rPr>
                <w:rFonts w:hint="eastAsia" w:ascii="宋体" w:hAnsi="宋体"/>
                <w:color w:val="auto"/>
                <w:sz w:val="24"/>
                <w:szCs w:val="24"/>
                <w:highlight w:val="none"/>
              </w:rPr>
              <w:t>卫生</w:t>
            </w:r>
            <w:r>
              <w:rPr>
                <w:rFonts w:ascii="宋体" w:hAnsi="宋体"/>
                <w:color w:val="auto"/>
                <w:sz w:val="24"/>
                <w:szCs w:val="24"/>
                <w:highlight w:val="none"/>
              </w:rPr>
              <w:t>死角。厕位</w:t>
            </w:r>
            <w:r>
              <w:rPr>
                <w:rFonts w:hint="eastAsia" w:ascii="宋体" w:hAnsi="宋体"/>
                <w:color w:val="auto"/>
                <w:sz w:val="24"/>
                <w:szCs w:val="24"/>
                <w:highlight w:val="none"/>
              </w:rPr>
              <w:t>后</w:t>
            </w:r>
            <w:r>
              <w:rPr>
                <w:rFonts w:ascii="宋体" w:hAnsi="宋体"/>
                <w:color w:val="auto"/>
                <w:sz w:val="24"/>
                <w:szCs w:val="24"/>
                <w:highlight w:val="none"/>
              </w:rPr>
              <w:t>侧面墙面、小便池上下内外要求保持干净。刷洗</w:t>
            </w:r>
            <w:r>
              <w:rPr>
                <w:rFonts w:hint="eastAsia" w:ascii="宋体" w:hAnsi="宋体"/>
                <w:color w:val="auto"/>
                <w:sz w:val="24"/>
                <w:szCs w:val="24"/>
                <w:highlight w:val="none"/>
              </w:rPr>
              <w:t>大小</w:t>
            </w:r>
            <w:r>
              <w:rPr>
                <w:rFonts w:ascii="宋体" w:hAnsi="宋体"/>
                <w:color w:val="auto"/>
                <w:sz w:val="24"/>
                <w:szCs w:val="24"/>
                <w:highlight w:val="none"/>
              </w:rPr>
              <w:t>便器，反复刷洗至干净。</w:t>
            </w:r>
          </w:p>
          <w:p w14:paraId="286C5BB5">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金属</w:t>
            </w:r>
            <w:r>
              <w:rPr>
                <w:rFonts w:ascii="宋体" w:hAnsi="宋体"/>
                <w:color w:val="auto"/>
                <w:sz w:val="24"/>
                <w:highlight w:val="none"/>
              </w:rPr>
              <w:t>器具压水杆及不锈钢</w:t>
            </w:r>
            <w:r>
              <w:rPr>
                <w:rFonts w:hint="eastAsia" w:ascii="宋体" w:hAnsi="宋体"/>
                <w:color w:val="auto"/>
                <w:sz w:val="24"/>
                <w:highlight w:val="none"/>
              </w:rPr>
              <w:t>扶手、电镀</w:t>
            </w:r>
            <w:r>
              <w:rPr>
                <w:rFonts w:ascii="宋体" w:hAnsi="宋体"/>
                <w:color w:val="auto"/>
                <w:sz w:val="24"/>
                <w:highlight w:val="none"/>
              </w:rPr>
              <w:t>件保持洁净。</w:t>
            </w:r>
          </w:p>
          <w:p w14:paraId="7A97C2E2">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要</w:t>
            </w:r>
            <w:r>
              <w:rPr>
                <w:rFonts w:ascii="宋体" w:hAnsi="宋体"/>
                <w:color w:val="auto"/>
                <w:sz w:val="24"/>
                <w:highlight w:val="none"/>
              </w:rPr>
              <w:t>经常干湿拖地面，及时清理边角烟头纸屑</w:t>
            </w:r>
            <w:r>
              <w:rPr>
                <w:rFonts w:hint="eastAsia" w:ascii="宋体" w:hAnsi="宋体"/>
                <w:color w:val="auto"/>
                <w:sz w:val="24"/>
                <w:highlight w:val="none"/>
              </w:rPr>
              <w:t>杂物</w:t>
            </w:r>
            <w:r>
              <w:rPr>
                <w:rFonts w:ascii="宋体" w:hAnsi="宋体"/>
                <w:color w:val="auto"/>
                <w:sz w:val="24"/>
                <w:highlight w:val="none"/>
              </w:rPr>
              <w:t>、积水等。</w:t>
            </w:r>
          </w:p>
          <w:p w14:paraId="6E72A6E2">
            <w:pPr>
              <w:pStyle w:val="164"/>
              <w:numPr>
                <w:ilvl w:val="0"/>
                <w:numId w:val="2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清扫</w:t>
            </w:r>
            <w:r>
              <w:rPr>
                <w:rFonts w:ascii="宋体" w:hAnsi="宋体"/>
                <w:color w:val="auto"/>
                <w:sz w:val="24"/>
                <w:szCs w:val="24"/>
                <w:highlight w:val="none"/>
              </w:rPr>
              <w:t>地面垃圾夹出烟头杂物冲洗洁具。及时</w:t>
            </w:r>
            <w:r>
              <w:rPr>
                <w:rFonts w:hint="eastAsia" w:ascii="宋体" w:hAnsi="宋体"/>
                <w:color w:val="auto"/>
                <w:sz w:val="24"/>
                <w:szCs w:val="24"/>
                <w:highlight w:val="none"/>
              </w:rPr>
              <w:t>清倒</w:t>
            </w:r>
            <w:r>
              <w:rPr>
                <w:rFonts w:ascii="宋体" w:hAnsi="宋体"/>
                <w:color w:val="auto"/>
                <w:sz w:val="24"/>
                <w:szCs w:val="24"/>
                <w:highlight w:val="none"/>
              </w:rPr>
              <w:t>垃圾桶，垃圾袋及时更换，垃圾桶内壁</w:t>
            </w:r>
            <w:r>
              <w:rPr>
                <w:rFonts w:hint="eastAsia" w:ascii="宋体" w:hAnsi="宋体"/>
                <w:color w:val="auto"/>
                <w:sz w:val="24"/>
                <w:szCs w:val="24"/>
                <w:highlight w:val="none"/>
              </w:rPr>
              <w:t>及</w:t>
            </w:r>
            <w:r>
              <w:rPr>
                <w:rFonts w:ascii="宋体" w:hAnsi="宋体"/>
                <w:color w:val="auto"/>
                <w:sz w:val="24"/>
                <w:szCs w:val="24"/>
                <w:highlight w:val="none"/>
              </w:rPr>
              <w:t>桶后墙面要及时清洁。</w:t>
            </w:r>
          </w:p>
          <w:p w14:paraId="32B2FABB">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定期</w:t>
            </w:r>
            <w:r>
              <w:rPr>
                <w:rFonts w:ascii="宋体" w:hAnsi="宋体"/>
                <w:color w:val="auto"/>
                <w:sz w:val="24"/>
                <w:highlight w:val="none"/>
              </w:rPr>
              <w:t>清洁天花板</w:t>
            </w:r>
            <w:r>
              <w:rPr>
                <w:rFonts w:hint="eastAsia" w:ascii="宋体" w:hAnsi="宋体"/>
                <w:color w:val="auto"/>
                <w:sz w:val="24"/>
                <w:highlight w:val="none"/>
              </w:rPr>
              <w:t>、</w:t>
            </w:r>
            <w:r>
              <w:rPr>
                <w:rFonts w:ascii="宋体" w:hAnsi="宋体"/>
                <w:color w:val="auto"/>
                <w:sz w:val="24"/>
                <w:highlight w:val="none"/>
              </w:rPr>
              <w:t>排风口、灯具灯罩。</w:t>
            </w:r>
          </w:p>
          <w:p w14:paraId="0F24B565">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经常</w:t>
            </w:r>
            <w:r>
              <w:rPr>
                <w:rFonts w:ascii="宋体" w:hAnsi="宋体"/>
                <w:color w:val="auto"/>
                <w:sz w:val="24"/>
                <w:highlight w:val="none"/>
              </w:rPr>
              <w:t>巡视冲洗厕位。</w:t>
            </w:r>
          </w:p>
          <w:p w14:paraId="0607073B">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及时</w:t>
            </w:r>
            <w:r>
              <w:rPr>
                <w:rFonts w:ascii="宋体" w:hAnsi="宋体"/>
                <w:color w:val="auto"/>
                <w:sz w:val="24"/>
                <w:highlight w:val="none"/>
              </w:rPr>
              <w:t>添加补充</w:t>
            </w:r>
            <w:r>
              <w:rPr>
                <w:rFonts w:hint="eastAsia" w:ascii="宋体" w:hAnsi="宋体"/>
                <w:color w:val="auto"/>
                <w:sz w:val="24"/>
                <w:highlight w:val="none"/>
              </w:rPr>
              <w:t>大盘纸及</w:t>
            </w:r>
            <w:r>
              <w:rPr>
                <w:rFonts w:ascii="宋体" w:hAnsi="宋体"/>
                <w:color w:val="auto"/>
                <w:sz w:val="24"/>
                <w:highlight w:val="none"/>
              </w:rPr>
              <w:t>洗手液</w:t>
            </w:r>
            <w:r>
              <w:rPr>
                <w:rFonts w:hint="eastAsia" w:ascii="宋体" w:hAnsi="宋体"/>
                <w:color w:val="auto"/>
                <w:sz w:val="24"/>
                <w:highlight w:val="none"/>
              </w:rPr>
              <w:t>。</w:t>
            </w:r>
          </w:p>
          <w:p w14:paraId="67B3DC83">
            <w:pPr>
              <w:numPr>
                <w:ilvl w:val="0"/>
                <w:numId w:val="28"/>
              </w:numPr>
              <w:spacing w:line="360" w:lineRule="auto"/>
              <w:rPr>
                <w:rFonts w:ascii="宋体" w:hAnsi="宋体"/>
                <w:color w:val="auto"/>
                <w:sz w:val="24"/>
                <w:highlight w:val="none"/>
              </w:rPr>
            </w:pPr>
            <w:r>
              <w:rPr>
                <w:rFonts w:hint="eastAsia" w:ascii="宋体" w:hAnsi="宋体"/>
                <w:color w:val="auto"/>
                <w:sz w:val="24"/>
                <w:highlight w:val="none"/>
              </w:rPr>
              <w:t>检查卫生间</w:t>
            </w:r>
            <w:r>
              <w:rPr>
                <w:rFonts w:ascii="宋体" w:hAnsi="宋体"/>
                <w:color w:val="auto"/>
                <w:sz w:val="24"/>
                <w:highlight w:val="none"/>
              </w:rPr>
              <w:t>内各种设备，发现损坏及时报修</w:t>
            </w:r>
            <w:r>
              <w:rPr>
                <w:rFonts w:hint="eastAsia" w:ascii="宋体" w:hAnsi="宋体"/>
                <w:color w:val="auto"/>
                <w:sz w:val="24"/>
                <w:highlight w:val="none"/>
              </w:rPr>
              <w:t>。</w:t>
            </w:r>
          </w:p>
          <w:p w14:paraId="6839D418">
            <w:pPr>
              <w:spacing w:line="360" w:lineRule="auto"/>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、垃圾处理：包括生活垃圾处理和医疗垃圾处理。</w:t>
            </w:r>
          </w:p>
          <w:p w14:paraId="54BEC259">
            <w:pPr>
              <w:spacing w:line="360" w:lineRule="auto"/>
              <w:rPr>
                <w:rFonts w:hint="eastAsia"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w:t>
            </w:r>
            <w:r>
              <w:rPr>
                <w:rFonts w:hint="eastAsia" w:ascii="宋体" w:hAnsi="宋体"/>
                <w:color w:val="auto"/>
                <w:sz w:val="24"/>
                <w:highlight w:val="none"/>
              </w:rPr>
              <w:t>医院院感科</w:t>
            </w:r>
            <w:r>
              <w:rPr>
                <w:rFonts w:ascii="宋体" w:hAnsi="宋体"/>
                <w:color w:val="auto"/>
                <w:sz w:val="24"/>
                <w:highlight w:val="none"/>
              </w:rPr>
              <w:t>及后勤处管理。</w:t>
            </w:r>
          </w:p>
        </w:tc>
      </w:tr>
      <w:tr w14:paraId="76A5627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34F773E">
            <w:pPr>
              <w:spacing w:line="360" w:lineRule="auto"/>
              <w:rPr>
                <w:rFonts w:hint="eastAsia" w:ascii="宋体" w:hAnsi="宋体"/>
                <w:color w:val="auto"/>
                <w:sz w:val="24"/>
                <w:highlight w:val="none"/>
              </w:rPr>
            </w:pPr>
            <w:r>
              <w:rPr>
                <w:rFonts w:hint="eastAsia" w:ascii="宋体" w:hAnsi="宋体"/>
                <w:color w:val="auto"/>
                <w:sz w:val="24"/>
                <w:highlight w:val="none"/>
              </w:rPr>
              <w:t>2.7</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616DA379">
            <w:pPr>
              <w:spacing w:line="360" w:lineRule="auto"/>
              <w:rPr>
                <w:rFonts w:hint="eastAsia" w:ascii="宋体" w:hAnsi="宋体"/>
                <w:color w:val="auto"/>
                <w:sz w:val="24"/>
                <w:highlight w:val="none"/>
              </w:rPr>
            </w:pPr>
            <w:r>
              <w:rPr>
                <w:rFonts w:hint="eastAsia" w:ascii="宋体" w:hAnsi="宋体"/>
                <w:color w:val="auto"/>
                <w:sz w:val="24"/>
                <w:highlight w:val="none"/>
              </w:rPr>
              <w:t>科研楼服务范围、常规保洁要求及服务标准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310801C5">
            <w:pPr>
              <w:pStyle w:val="24"/>
              <w:spacing w:line="360" w:lineRule="auto"/>
              <w:rPr>
                <w:rFonts w:hAnsi="宋体"/>
                <w:color w:val="auto"/>
                <w:sz w:val="24"/>
                <w:szCs w:val="24"/>
                <w:highlight w:val="none"/>
              </w:rPr>
            </w:pPr>
            <w:r>
              <w:rPr>
                <w:rFonts w:hAnsi="宋体"/>
                <w:color w:val="auto"/>
                <w:sz w:val="24"/>
                <w:szCs w:val="24"/>
                <w:highlight w:val="none"/>
              </w:rPr>
              <w:t>一、服务范围</w:t>
            </w:r>
          </w:p>
          <w:p w14:paraId="12782AF9">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1、一层小厅，中药房，洗衣房进行清洁。</w:t>
            </w:r>
          </w:p>
          <w:p w14:paraId="17F6DF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2、西门保卫处和门卫室，司机班进行清洁，清扫杂物、烟头、小广告等。</w:t>
            </w:r>
          </w:p>
          <w:p w14:paraId="25911D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3、二层至四层，各行政办公室清洁，会议室定期吸尘清洗(3层4层)。</w:t>
            </w:r>
          </w:p>
          <w:p w14:paraId="01689F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4、五层至七层实验室，动物室进行清洁消毒，会议室定期吸尘清洗(7层)。</w:t>
            </w:r>
          </w:p>
          <w:p w14:paraId="12377D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5、各层公共卫生间进行清洁、巡视、消毒，定期大清。</w:t>
            </w:r>
          </w:p>
          <w:p w14:paraId="4714BA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6、两侧步行梯及消防梯(7层至B1层)清洁，清理烟头杂物。</w:t>
            </w:r>
          </w:p>
          <w:p w14:paraId="621949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7、科研楼东段：工会(3层)各办公室、小厅、公共卫生间清洁，营养科(2层)办公室清洁。两侧步行楼梯 (3层至地下2层/1层食堂入口通道)地下设备库清洁。</w:t>
            </w:r>
          </w:p>
          <w:p w14:paraId="678EBCFB">
            <w:pPr>
              <w:spacing w:line="36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、常规</w:t>
            </w:r>
            <w:r>
              <w:rPr>
                <w:rFonts w:ascii="宋体" w:hAnsi="宋体"/>
                <w:color w:val="auto"/>
                <w:sz w:val="24"/>
                <w:highlight w:val="none"/>
              </w:rPr>
              <w:t>保洁要求</w:t>
            </w:r>
            <w:r>
              <w:rPr>
                <w:rFonts w:hint="eastAsia" w:ascii="宋体" w:hAnsi="宋体"/>
                <w:color w:val="auto"/>
                <w:sz w:val="24"/>
                <w:highlight w:val="none"/>
              </w:rPr>
              <w:t>及</w:t>
            </w:r>
            <w:r>
              <w:rPr>
                <w:rFonts w:ascii="宋体" w:hAnsi="宋体"/>
                <w:color w:val="auto"/>
                <w:sz w:val="24"/>
                <w:highlight w:val="none"/>
              </w:rPr>
              <w:t>标准</w:t>
            </w:r>
          </w:p>
          <w:p w14:paraId="045A7598">
            <w:pPr>
              <w:spacing w:line="360" w:lineRule="auto"/>
              <w:rPr>
                <w:rFonts w:hint="eastAsia" w:ascii="宋体" w:hAnsi="宋体"/>
                <w:color w:val="auto"/>
                <w:sz w:val="24"/>
                <w:highlight w:val="none"/>
              </w:rPr>
            </w:pPr>
            <w:r>
              <w:rPr>
                <w:rFonts w:hint="eastAsia" w:ascii="宋体" w:hAnsi="宋体"/>
                <w:color w:val="auto"/>
                <w:sz w:val="24"/>
                <w:highlight w:val="none"/>
              </w:rPr>
              <w:t xml:space="preserve">1、楼道、楼梯、电梯间、大厅干净整洁、玻璃门窗明亮无明显污迹；地面无污垢、痰迹、纸屑、烟头；天花板、天棚目视无灰尘、无蜘蛛网；窗台无灰尘，窗帘挂放整齐；大理石墙面用纸巾擦拭无灰尘，喷涂墙无污迹；  </w:t>
            </w:r>
          </w:p>
          <w:p w14:paraId="43876992">
            <w:pPr>
              <w:spacing w:line="360" w:lineRule="auto"/>
              <w:rPr>
                <w:rFonts w:hint="eastAsia" w:ascii="宋体" w:hAnsi="宋体"/>
                <w:color w:val="auto"/>
                <w:sz w:val="24"/>
                <w:highlight w:val="none"/>
              </w:rPr>
            </w:pPr>
            <w:r>
              <w:rPr>
                <w:rFonts w:hint="eastAsia" w:ascii="宋体" w:hAnsi="宋体"/>
                <w:color w:val="auto"/>
                <w:sz w:val="24"/>
                <w:highlight w:val="none"/>
              </w:rPr>
              <w:t>2、开水间、卫生间每日彻底打扫三次以上。保持无异味、厕坑、镜面无污点；洗手台面无水渍；纸篓超过2/3时需清理；有异味及时处理。</w:t>
            </w:r>
          </w:p>
          <w:p w14:paraId="5A6AF1DB">
            <w:pPr>
              <w:spacing w:line="360" w:lineRule="auto"/>
              <w:rPr>
                <w:rFonts w:hint="eastAsia" w:ascii="宋体" w:hAnsi="宋体"/>
                <w:color w:val="auto"/>
                <w:sz w:val="24"/>
                <w:highlight w:val="none"/>
              </w:rPr>
            </w:pPr>
            <w:r>
              <w:rPr>
                <w:rFonts w:hint="eastAsia" w:ascii="宋体" w:hAnsi="宋体"/>
                <w:color w:val="auto"/>
                <w:sz w:val="24"/>
                <w:highlight w:val="none"/>
              </w:rPr>
              <w:t>3、垃圾桶每天更换及擦拭二次，每两周消毒一次；</w:t>
            </w:r>
          </w:p>
          <w:p w14:paraId="2098B6E7">
            <w:pPr>
              <w:spacing w:line="360" w:lineRule="auto"/>
              <w:rPr>
                <w:rFonts w:hint="eastAsia" w:ascii="宋体" w:hAnsi="宋体"/>
                <w:color w:val="auto"/>
                <w:sz w:val="24"/>
                <w:highlight w:val="none"/>
              </w:rPr>
            </w:pPr>
            <w:r>
              <w:rPr>
                <w:rFonts w:hint="eastAsia" w:ascii="宋体" w:hAnsi="宋体"/>
                <w:color w:val="auto"/>
                <w:sz w:val="24"/>
                <w:highlight w:val="none"/>
              </w:rPr>
              <w:t>4、保洁工具、保洁用品及个人物品要统一放在指定地点，保证楼道、房间、大厅、开水间、卫生间整洁；</w:t>
            </w:r>
          </w:p>
          <w:p w14:paraId="23708A70">
            <w:pPr>
              <w:spacing w:line="360" w:lineRule="auto"/>
              <w:rPr>
                <w:rFonts w:hint="eastAsia" w:ascii="宋体" w:hAnsi="宋体"/>
                <w:color w:val="auto"/>
                <w:sz w:val="24"/>
                <w:highlight w:val="none"/>
              </w:rPr>
            </w:pPr>
            <w:r>
              <w:rPr>
                <w:rFonts w:hint="eastAsia" w:ascii="宋体" w:hAnsi="宋体"/>
                <w:color w:val="auto"/>
                <w:sz w:val="24"/>
                <w:highlight w:val="none"/>
              </w:rPr>
              <w:t>5、捡拾物品及时上交值班员做失物招领，不许私自处理。</w:t>
            </w:r>
          </w:p>
          <w:p w14:paraId="5C8A552C">
            <w:pPr>
              <w:spacing w:line="360" w:lineRule="auto"/>
              <w:rPr>
                <w:rFonts w:hint="eastAsia" w:ascii="宋体" w:hAnsi="宋体"/>
                <w:color w:val="auto"/>
                <w:sz w:val="24"/>
                <w:highlight w:val="none"/>
              </w:rPr>
            </w:pPr>
            <w:r>
              <w:rPr>
                <w:rFonts w:hint="eastAsia" w:ascii="宋体" w:hAnsi="宋体"/>
                <w:color w:val="auto"/>
                <w:sz w:val="24"/>
                <w:highlight w:val="none"/>
              </w:rPr>
              <w:t>6、公共设施设备损坏需及时报修，如有跑冒滴漏情况，需及时处理，防止伤害到过往人员。</w:t>
            </w:r>
          </w:p>
          <w:p w14:paraId="5950999A">
            <w:pPr>
              <w:spacing w:line="360" w:lineRule="auto"/>
              <w:rPr>
                <w:rFonts w:hint="eastAsia" w:ascii="宋体" w:hAnsi="宋体"/>
                <w:color w:val="auto"/>
                <w:sz w:val="24"/>
                <w:highlight w:val="none"/>
              </w:rPr>
            </w:pPr>
            <w:r>
              <w:rPr>
                <w:rFonts w:hint="eastAsia" w:ascii="宋体" w:hAnsi="宋体"/>
                <w:color w:val="auto"/>
                <w:sz w:val="24"/>
                <w:highlight w:val="none"/>
              </w:rPr>
              <w:t>7、配合院办临时调配、临时房间清理使用时的卫生打扫工作；</w:t>
            </w:r>
          </w:p>
          <w:p w14:paraId="6178A4D1">
            <w:pPr>
              <w:spacing w:line="360" w:lineRule="auto"/>
              <w:rPr>
                <w:rFonts w:ascii="宋体" w:hAnsi="宋体"/>
                <w:color w:val="auto"/>
                <w:sz w:val="24"/>
                <w:highlight w:val="none"/>
              </w:rPr>
            </w:pPr>
            <w:r>
              <w:rPr>
                <w:rFonts w:hint="eastAsia" w:ascii="宋体" w:hAnsi="宋体"/>
                <w:color w:val="auto"/>
                <w:sz w:val="24"/>
                <w:highlight w:val="none"/>
              </w:rPr>
              <w:t>8、具体保洁内容（包括但不限于）：科研楼一层大厅、走廊地面、门、窗（内侧）、标牌、不锈钢装饰风口、墙面及地上附属物（包括沙发、家具、垃圾桶等）清洁；楼道：楼梯通道地面、墙面和楼梯扶手的日常清洁；卫生间：公共卫生间地面、门、标牌、墙面、台面、镜子、隔板、灯具及卫生洁具的清洁和消毒，以及大盘纸、洗手液日常消耗品的填充。</w:t>
            </w:r>
          </w:p>
          <w:p w14:paraId="06EAC7E3">
            <w:pPr>
              <w:spacing w:line="360" w:lineRule="auto"/>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、垃圾处理：包括生活垃圾处理和医疗垃圾处理。</w:t>
            </w:r>
          </w:p>
          <w:p w14:paraId="6192159B">
            <w:pPr>
              <w:spacing w:line="360" w:lineRule="auto"/>
              <w:rPr>
                <w:rFonts w:ascii="宋体" w:hAnsi="宋体"/>
                <w:color w:val="auto"/>
                <w:sz w:val="24"/>
                <w:highlight w:val="none"/>
              </w:rPr>
            </w:pPr>
            <w:r>
              <w:rPr>
                <w:rFonts w:hint="eastAsia" w:ascii="宋体" w:hAnsi="宋体"/>
                <w:color w:val="auto"/>
                <w:sz w:val="24"/>
                <w:highlight w:val="none"/>
              </w:rPr>
              <w:t>医院</w:t>
            </w:r>
            <w:r>
              <w:rPr>
                <w:rFonts w:ascii="宋体" w:hAnsi="宋体"/>
                <w:color w:val="auto"/>
                <w:sz w:val="24"/>
                <w:highlight w:val="none"/>
              </w:rPr>
              <w:t>各区域产生的生活垃圾</w:t>
            </w:r>
            <w:r>
              <w:rPr>
                <w:rFonts w:hint="eastAsia" w:ascii="宋体" w:hAnsi="宋体"/>
                <w:color w:val="auto"/>
                <w:sz w:val="24"/>
                <w:highlight w:val="none"/>
              </w:rPr>
              <w:t>有</w:t>
            </w:r>
            <w:r>
              <w:rPr>
                <w:rFonts w:ascii="宋体" w:hAnsi="宋体"/>
                <w:color w:val="auto"/>
                <w:sz w:val="24"/>
                <w:highlight w:val="none"/>
              </w:rPr>
              <w:t>保洁公司统一收集清运，封口扎</w:t>
            </w:r>
            <w:r>
              <w:rPr>
                <w:rFonts w:hint="eastAsia" w:ascii="宋体" w:hAnsi="宋体"/>
                <w:color w:val="auto"/>
                <w:sz w:val="24"/>
                <w:highlight w:val="none"/>
              </w:rPr>
              <w:t>紧</w:t>
            </w:r>
            <w:r>
              <w:rPr>
                <w:rFonts w:ascii="宋体" w:hAnsi="宋体"/>
                <w:color w:val="auto"/>
                <w:sz w:val="24"/>
                <w:highlight w:val="none"/>
              </w:rPr>
              <w:t>，放置各科室规定位置回收。</w:t>
            </w:r>
            <w:r>
              <w:rPr>
                <w:rFonts w:hint="eastAsia" w:ascii="宋体" w:hAnsi="宋体"/>
                <w:color w:val="auto"/>
                <w:sz w:val="24"/>
                <w:highlight w:val="none"/>
              </w:rPr>
              <w:t>医疗</w:t>
            </w:r>
            <w:r>
              <w:rPr>
                <w:rFonts w:ascii="宋体" w:hAnsi="宋体"/>
                <w:color w:val="auto"/>
                <w:sz w:val="24"/>
                <w:highlight w:val="none"/>
              </w:rPr>
              <w:t>垃圾处理：</w:t>
            </w:r>
            <w:r>
              <w:rPr>
                <w:rFonts w:hint="eastAsia" w:ascii="宋体" w:hAnsi="宋体"/>
                <w:color w:val="auto"/>
                <w:sz w:val="24"/>
                <w:highlight w:val="none"/>
              </w:rPr>
              <w:t>要求</w:t>
            </w:r>
            <w:r>
              <w:rPr>
                <w:rFonts w:ascii="宋体" w:hAnsi="宋体"/>
                <w:color w:val="auto"/>
                <w:sz w:val="24"/>
                <w:highlight w:val="none"/>
              </w:rPr>
              <w:t>按照北京市</w:t>
            </w:r>
            <w:r>
              <w:rPr>
                <w:rFonts w:hint="eastAsia" w:ascii="宋体" w:hAnsi="宋体"/>
                <w:color w:val="auto"/>
                <w:sz w:val="24"/>
                <w:highlight w:val="none"/>
              </w:rPr>
              <w:t>医用</w:t>
            </w:r>
            <w:r>
              <w:rPr>
                <w:rFonts w:ascii="宋体" w:hAnsi="宋体"/>
                <w:color w:val="auto"/>
                <w:sz w:val="24"/>
                <w:highlight w:val="none"/>
              </w:rPr>
              <w:t>垃圾处理的有关规定严格执行</w:t>
            </w:r>
            <w:r>
              <w:rPr>
                <w:rFonts w:hint="eastAsia" w:ascii="宋体" w:hAnsi="宋体"/>
                <w:color w:val="auto"/>
                <w:sz w:val="24"/>
                <w:highlight w:val="none"/>
              </w:rPr>
              <w:t>，</w:t>
            </w:r>
            <w:r>
              <w:rPr>
                <w:rFonts w:ascii="宋体" w:hAnsi="宋体"/>
                <w:color w:val="auto"/>
                <w:sz w:val="24"/>
                <w:highlight w:val="none"/>
              </w:rPr>
              <w:t>并服从医院</w:t>
            </w:r>
            <w:r>
              <w:rPr>
                <w:rFonts w:hint="eastAsia" w:ascii="宋体" w:hAnsi="宋体"/>
                <w:color w:val="auto"/>
                <w:sz w:val="24"/>
                <w:highlight w:val="none"/>
              </w:rPr>
              <w:t>院感科</w:t>
            </w:r>
            <w:r>
              <w:rPr>
                <w:rFonts w:ascii="宋体" w:hAnsi="宋体"/>
                <w:color w:val="auto"/>
                <w:sz w:val="24"/>
                <w:highlight w:val="none"/>
              </w:rPr>
              <w:t>及后勤处的管理。</w:t>
            </w:r>
          </w:p>
          <w:p w14:paraId="280FA9B5">
            <w:pPr>
              <w:spacing w:line="360" w:lineRule="auto"/>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机动人员工作要求</w:t>
            </w:r>
            <w:r>
              <w:rPr>
                <w:rFonts w:hint="eastAsia" w:ascii="宋体" w:hAnsi="宋体"/>
                <w:color w:val="auto"/>
                <w:sz w:val="24"/>
                <w:highlight w:val="none"/>
              </w:rPr>
              <w:t>：</w:t>
            </w:r>
          </w:p>
          <w:p w14:paraId="28BDB6C6">
            <w:pPr>
              <w:numPr>
                <w:ilvl w:val="0"/>
                <w:numId w:val="29"/>
              </w:numPr>
              <w:spacing w:line="360" w:lineRule="auto"/>
              <w:rPr>
                <w:rFonts w:ascii="宋体" w:hAnsi="宋体"/>
                <w:color w:val="auto"/>
                <w:sz w:val="24"/>
                <w:highlight w:val="none"/>
              </w:rPr>
            </w:pPr>
            <w:r>
              <w:rPr>
                <w:rFonts w:hint="eastAsia" w:ascii="宋体" w:hAnsi="宋体"/>
                <w:color w:val="auto"/>
                <w:sz w:val="24"/>
                <w:highlight w:val="none"/>
              </w:rPr>
              <w:t>值班时间段保洁巡视工作（遇紧急保洁事件1</w:t>
            </w:r>
            <w:r>
              <w:rPr>
                <w:rFonts w:ascii="宋体" w:hAnsi="宋体"/>
                <w:color w:val="auto"/>
                <w:sz w:val="24"/>
                <w:highlight w:val="none"/>
              </w:rPr>
              <w:t>0分钟到达科室</w:t>
            </w:r>
            <w:r>
              <w:rPr>
                <w:rFonts w:hint="eastAsia" w:ascii="宋体" w:hAnsi="宋体"/>
                <w:color w:val="auto"/>
                <w:sz w:val="24"/>
                <w:highlight w:val="none"/>
              </w:rPr>
              <w:t>）</w:t>
            </w:r>
            <w:r>
              <w:rPr>
                <w:rFonts w:ascii="宋体" w:hAnsi="宋体"/>
                <w:color w:val="auto"/>
                <w:sz w:val="24"/>
                <w:highlight w:val="none"/>
              </w:rPr>
              <w:t>确保工作质量</w:t>
            </w:r>
            <w:r>
              <w:rPr>
                <w:rFonts w:hint="eastAsia" w:ascii="宋体" w:hAnsi="宋体"/>
                <w:color w:val="auto"/>
                <w:sz w:val="24"/>
                <w:highlight w:val="none"/>
              </w:rPr>
              <w:t>：</w:t>
            </w:r>
          </w:p>
          <w:p w14:paraId="66C9BD97">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中午1</w:t>
            </w:r>
            <w:r>
              <w:rPr>
                <w:rFonts w:ascii="宋体" w:hAnsi="宋体"/>
                <w:color w:val="auto"/>
                <w:sz w:val="24"/>
                <w:highlight w:val="none"/>
              </w:rPr>
              <w:t>1</w:t>
            </w:r>
            <w:r>
              <w:rPr>
                <w:rFonts w:hint="eastAsia" w:ascii="宋体" w:hAnsi="宋体"/>
                <w:color w:val="auto"/>
                <w:sz w:val="24"/>
                <w:highlight w:val="none"/>
              </w:rPr>
              <w:t>:30-</w:t>
            </w:r>
            <w:r>
              <w:rPr>
                <w:rFonts w:ascii="宋体" w:hAnsi="宋体"/>
                <w:color w:val="auto"/>
                <w:sz w:val="24"/>
                <w:highlight w:val="none"/>
              </w:rPr>
              <w:t>13</w:t>
            </w:r>
            <w:r>
              <w:rPr>
                <w:rFonts w:hint="eastAsia" w:ascii="宋体" w:hAnsi="宋体"/>
                <w:color w:val="auto"/>
                <w:sz w:val="24"/>
                <w:highlight w:val="none"/>
              </w:rPr>
              <w:t>:3</w:t>
            </w:r>
            <w:r>
              <w:rPr>
                <w:rFonts w:ascii="宋体" w:hAnsi="宋体"/>
                <w:color w:val="auto"/>
                <w:sz w:val="24"/>
                <w:highlight w:val="none"/>
              </w:rPr>
              <w:t xml:space="preserve">0 </w:t>
            </w:r>
            <w:r>
              <w:rPr>
                <w:rFonts w:hint="eastAsia" w:ascii="宋体" w:hAnsi="宋体"/>
                <w:color w:val="auto"/>
                <w:sz w:val="24"/>
                <w:highlight w:val="none"/>
              </w:rPr>
              <w:t>科研</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6EF1F04E">
            <w:pPr>
              <w:spacing w:line="360" w:lineRule="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小夜班</w:t>
            </w:r>
            <w:r>
              <w:rPr>
                <w:rFonts w:ascii="宋体" w:hAnsi="宋体"/>
                <w:color w:val="auto"/>
                <w:sz w:val="24"/>
                <w:highlight w:val="none"/>
              </w:rPr>
              <w:t>16</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19</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科研</w:t>
            </w:r>
            <w:r>
              <w:rPr>
                <w:rFonts w:ascii="宋体" w:hAnsi="宋体"/>
                <w:color w:val="auto"/>
                <w:sz w:val="24"/>
                <w:highlight w:val="none"/>
              </w:rPr>
              <w:t>楼保洁巡视</w:t>
            </w:r>
            <w:r>
              <w:rPr>
                <w:rFonts w:hint="eastAsia" w:ascii="宋体" w:hAnsi="宋体"/>
                <w:color w:val="auto"/>
                <w:sz w:val="24"/>
                <w:highlight w:val="none"/>
              </w:rPr>
              <w:t>，包含但不少于：垃圾倾倒、卫生间清洁以及临时性保洁工作安排；</w:t>
            </w:r>
          </w:p>
          <w:p w14:paraId="63CD46B1">
            <w:pPr>
              <w:spacing w:line="360" w:lineRule="auto"/>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大夜2</w:t>
            </w: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0 协助完成</w:t>
            </w:r>
            <w:r>
              <w:rPr>
                <w:rFonts w:hint="eastAsia" w:ascii="宋体" w:hAnsi="宋体"/>
                <w:color w:val="auto"/>
                <w:sz w:val="24"/>
                <w:highlight w:val="none"/>
              </w:rPr>
              <w:t>全院</w:t>
            </w:r>
            <w:r>
              <w:rPr>
                <w:rFonts w:ascii="宋体" w:hAnsi="宋体"/>
                <w:color w:val="auto"/>
                <w:sz w:val="24"/>
                <w:highlight w:val="none"/>
              </w:rPr>
              <w:t>临时性保洁工作安排</w:t>
            </w:r>
            <w:r>
              <w:rPr>
                <w:rFonts w:hint="eastAsia" w:ascii="宋体" w:hAnsi="宋体"/>
                <w:color w:val="auto"/>
                <w:sz w:val="24"/>
                <w:highlight w:val="none"/>
              </w:rPr>
              <w:t>（接听电话至到岗不超过1</w:t>
            </w:r>
            <w:r>
              <w:rPr>
                <w:rFonts w:ascii="宋体" w:hAnsi="宋体"/>
                <w:color w:val="auto"/>
                <w:sz w:val="24"/>
                <w:highlight w:val="none"/>
              </w:rPr>
              <w:t>0分钟</w:t>
            </w:r>
            <w:r>
              <w:rPr>
                <w:rFonts w:hint="eastAsia" w:ascii="宋体" w:hAnsi="宋体"/>
                <w:color w:val="auto"/>
                <w:sz w:val="24"/>
                <w:highlight w:val="none"/>
              </w:rPr>
              <w:t>）；</w:t>
            </w:r>
          </w:p>
        </w:tc>
      </w:tr>
      <w:tr w14:paraId="54814A74">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AB623A">
            <w:pPr>
              <w:spacing w:line="360" w:lineRule="auto"/>
              <w:rPr>
                <w:rFonts w:hint="eastAsia" w:ascii="宋体" w:hAnsi="宋体"/>
                <w:color w:val="auto"/>
                <w:sz w:val="24"/>
                <w:highlight w:val="none"/>
              </w:rPr>
            </w:pPr>
            <w:r>
              <w:rPr>
                <w:rFonts w:hint="eastAsia" w:ascii="宋体" w:hAnsi="宋体"/>
                <w:color w:val="auto"/>
                <w:sz w:val="24"/>
                <w:highlight w:val="none"/>
              </w:rPr>
              <w:t>2.8</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06FD9C3A">
            <w:pPr>
              <w:spacing w:line="360" w:lineRule="auto"/>
              <w:rPr>
                <w:rFonts w:hint="eastAsia" w:ascii="宋体" w:hAnsi="宋体"/>
                <w:color w:val="auto"/>
                <w:sz w:val="24"/>
                <w:highlight w:val="none"/>
              </w:rPr>
            </w:pPr>
            <w:r>
              <w:rPr>
                <w:rFonts w:hint="eastAsia" w:ascii="宋体" w:hAnsi="宋体"/>
                <w:color w:val="auto"/>
                <w:sz w:val="24"/>
                <w:highlight w:val="none"/>
              </w:rPr>
              <w:t>北院区（1-5层门诊及办公区域）服务范围、日常保洁要求及服务标准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445E2D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1、服务区域：1-5层门诊及办公区域：挂号处、收费处、检查室、药房药库、诊室、采血室、检验科、超声科、内镜科、公共区域、办公区域及会议室按感控高要求擦拭消毒。</w:t>
            </w:r>
          </w:p>
          <w:p w14:paraId="07F251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2、楼梯：1-4层步行梯清洁卫生清理烟头杂物、小广告。</w:t>
            </w:r>
          </w:p>
          <w:p w14:paraId="068570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公共卫生间：进行清洁、巡视、消毒、祛除异味、垃圾处理，结合采购人实际情况定期大清，（投标人自行制定大清频率及方案，频率和方案需同采购人确认）包括但不少于：墙面、隔板、便池内、洗手池等。</w:t>
            </w:r>
          </w:p>
          <w:p w14:paraId="7C358165">
            <w:pPr>
              <w:spacing w:line="360" w:lineRule="auto"/>
              <w:rPr>
                <w:rFonts w:ascii="宋体" w:hAnsi="宋体" w:cs="宋体"/>
                <w:color w:val="auto"/>
                <w:sz w:val="24"/>
                <w:highlight w:val="none"/>
              </w:rPr>
            </w:pPr>
            <w:r>
              <w:rPr>
                <w:rFonts w:hint="eastAsia" w:ascii="宋体" w:hAnsi="宋体" w:cs="宋体"/>
                <w:color w:val="auto"/>
                <w:sz w:val="24"/>
                <w:highlight w:val="none"/>
              </w:rPr>
              <w:t>4、各入口卫生：门诊大厅、西门、南门及北门。</w:t>
            </w:r>
          </w:p>
          <w:p w14:paraId="355A2DC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服务标准同主院区门诊楼</w:t>
            </w:r>
            <w:r>
              <w:rPr>
                <w:rFonts w:ascii="宋体" w:hAnsi="宋体" w:cs="宋体"/>
                <w:color w:val="auto"/>
                <w:sz w:val="24"/>
                <w:highlight w:val="none"/>
              </w:rPr>
              <w:t>)</w:t>
            </w:r>
          </w:p>
          <w:p w14:paraId="7DD5A123">
            <w:pPr>
              <w:spacing w:line="360" w:lineRule="auto"/>
              <w:rPr>
                <w:rFonts w:hint="eastAsia" w:ascii="宋体" w:hAnsi="宋体"/>
                <w:color w:val="auto"/>
                <w:sz w:val="24"/>
                <w:highlight w:val="none"/>
              </w:rPr>
            </w:pPr>
            <w:r>
              <w:rPr>
                <w:rFonts w:hint="eastAsia" w:ascii="宋体" w:hAnsi="宋体" w:cs="宋体"/>
                <w:color w:val="auto"/>
                <w:sz w:val="24"/>
                <w:highlight w:val="none"/>
              </w:rPr>
              <w:t>5.办公用房：进行清洁</w:t>
            </w:r>
          </w:p>
        </w:tc>
      </w:tr>
      <w:tr w14:paraId="652CD43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6CB4F30">
            <w:pPr>
              <w:spacing w:line="360" w:lineRule="auto"/>
              <w:rPr>
                <w:rFonts w:hint="eastAsia" w:ascii="宋体" w:hAnsi="宋体"/>
                <w:color w:val="auto"/>
                <w:sz w:val="24"/>
                <w:highlight w:val="none"/>
              </w:rPr>
            </w:pPr>
            <w:r>
              <w:rPr>
                <w:rFonts w:hint="eastAsia" w:ascii="宋体" w:hAnsi="宋体"/>
                <w:color w:val="auto"/>
                <w:sz w:val="24"/>
                <w:highlight w:val="none"/>
              </w:rPr>
              <w:t>2.9</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55903E3">
            <w:pPr>
              <w:spacing w:line="360" w:lineRule="auto"/>
              <w:rPr>
                <w:rFonts w:hint="eastAsia" w:ascii="宋体" w:hAnsi="宋体"/>
                <w:color w:val="auto"/>
                <w:sz w:val="24"/>
                <w:highlight w:val="none"/>
              </w:rPr>
            </w:pPr>
            <w:r>
              <w:rPr>
                <w:rFonts w:hint="eastAsia" w:ascii="宋体" w:hAnsi="宋体"/>
                <w:color w:val="auto"/>
                <w:sz w:val="24"/>
                <w:highlight w:val="none"/>
              </w:rPr>
              <w:t>CRC办公区服务范围、日常保洁要求及服务标准</w:t>
            </w:r>
          </w:p>
        </w:tc>
        <w:tc>
          <w:tcPr>
            <w:tcW w:w="6555" w:type="dxa"/>
            <w:tcBorders>
              <w:top w:val="single" w:color="auto" w:sz="4" w:space="0"/>
              <w:left w:val="nil"/>
              <w:bottom w:val="single" w:color="auto" w:sz="4" w:space="0"/>
              <w:right w:val="single" w:color="auto" w:sz="4" w:space="0"/>
            </w:tcBorders>
            <w:noWrap w:val="0"/>
            <w:vAlign w:val="center"/>
          </w:tcPr>
          <w:p w14:paraId="13C6345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1、地面推</w:t>
            </w:r>
            <w:r>
              <w:rPr>
                <w:rFonts w:hint="eastAsia" w:ascii="宋体" w:hAnsi="宋体" w:cs="微软雅黑"/>
                <w:color w:val="auto"/>
                <w:sz w:val="24"/>
                <w:highlight w:val="none"/>
              </w:rPr>
              <w:t>尘</w:t>
            </w:r>
            <w:r>
              <w:rPr>
                <w:rFonts w:ascii="宋体" w:hAnsi="宋体" w:cs="MS PGothic"/>
                <w:color w:val="auto"/>
                <w:sz w:val="24"/>
                <w:highlight w:val="none"/>
              </w:rPr>
              <w:t>，</w:t>
            </w:r>
            <w:r>
              <w:rPr>
                <w:rFonts w:hint="eastAsia" w:ascii="宋体" w:hAnsi="宋体" w:cs="微软雅黑"/>
                <w:color w:val="auto"/>
                <w:sz w:val="24"/>
                <w:highlight w:val="none"/>
              </w:rPr>
              <w:t>墙</w:t>
            </w:r>
            <w:r>
              <w:rPr>
                <w:rFonts w:ascii="宋体" w:hAnsi="宋体" w:cs="MS PGothic"/>
                <w:color w:val="auto"/>
                <w:sz w:val="24"/>
                <w:highlight w:val="none"/>
              </w:rPr>
              <w:t>体</w:t>
            </w:r>
            <w:r>
              <w:rPr>
                <w:rFonts w:hint="eastAsia" w:ascii="宋体" w:hAnsi="宋体" w:cs="微软雅黑"/>
                <w:color w:val="auto"/>
                <w:sz w:val="24"/>
                <w:highlight w:val="none"/>
              </w:rPr>
              <w:t>设备</w:t>
            </w:r>
            <w:r>
              <w:rPr>
                <w:rFonts w:ascii="宋体" w:hAnsi="宋体" w:cs="MS PGothic"/>
                <w:color w:val="auto"/>
                <w:sz w:val="24"/>
                <w:highlight w:val="none"/>
              </w:rPr>
              <w:t>开关，</w:t>
            </w:r>
            <w:r>
              <w:rPr>
                <w:rFonts w:hint="eastAsia" w:ascii="宋体" w:hAnsi="宋体" w:cs="微软雅黑"/>
                <w:color w:val="auto"/>
                <w:sz w:val="24"/>
                <w:highlight w:val="none"/>
              </w:rPr>
              <w:t>门</w:t>
            </w:r>
            <w:r>
              <w:rPr>
                <w:rFonts w:ascii="宋体" w:hAnsi="宋体" w:cs="MS PGothic"/>
                <w:color w:val="auto"/>
                <w:sz w:val="24"/>
                <w:highlight w:val="none"/>
              </w:rPr>
              <w:t>体的擦拭，确保地面、开关、</w:t>
            </w:r>
            <w:r>
              <w:rPr>
                <w:rFonts w:hint="eastAsia" w:ascii="宋体" w:hAnsi="宋体" w:cs="微软雅黑"/>
                <w:color w:val="auto"/>
                <w:sz w:val="24"/>
                <w:highlight w:val="none"/>
              </w:rPr>
              <w:t>门</w:t>
            </w:r>
            <w:r>
              <w:rPr>
                <w:rFonts w:ascii="宋体" w:hAnsi="宋体" w:cs="MS PGothic"/>
                <w:color w:val="auto"/>
                <w:sz w:val="24"/>
                <w:highlight w:val="none"/>
              </w:rPr>
              <w:t>体干</w:t>
            </w:r>
            <w:r>
              <w:rPr>
                <w:rFonts w:hint="eastAsia" w:ascii="宋体" w:hAnsi="宋体" w:cs="微软雅黑"/>
                <w:color w:val="auto"/>
                <w:sz w:val="24"/>
                <w:highlight w:val="none"/>
              </w:rPr>
              <w:t>净</w:t>
            </w:r>
            <w:r>
              <w:rPr>
                <w:rFonts w:ascii="宋体" w:hAnsi="宋体" w:cs="MS PGothic"/>
                <w:color w:val="auto"/>
                <w:sz w:val="24"/>
                <w:highlight w:val="none"/>
              </w:rPr>
              <w:t>、整</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污渍</w:t>
            </w:r>
            <w:r>
              <w:rPr>
                <w:rFonts w:ascii="宋体" w:hAnsi="宋体" w:cs="MS PGothic"/>
                <w:color w:val="auto"/>
                <w:sz w:val="24"/>
                <w:highlight w:val="none"/>
              </w:rPr>
              <w:t>、无水</w:t>
            </w:r>
            <w:r>
              <w:rPr>
                <w:rFonts w:hint="eastAsia" w:ascii="宋体" w:hAnsi="宋体" w:cs="微软雅黑"/>
                <w:color w:val="auto"/>
                <w:sz w:val="24"/>
                <w:highlight w:val="none"/>
              </w:rPr>
              <w:t>渍</w:t>
            </w:r>
            <w:r>
              <w:rPr>
                <w:rFonts w:ascii="宋体" w:hAnsi="宋体" w:cs="MS PGothic"/>
                <w:color w:val="auto"/>
                <w:sz w:val="24"/>
                <w:highlight w:val="none"/>
              </w:rPr>
              <w:t>；</w:t>
            </w:r>
          </w:p>
          <w:p w14:paraId="06A323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2、公共</w:t>
            </w:r>
            <w:r>
              <w:rPr>
                <w:rFonts w:hint="eastAsia" w:ascii="宋体" w:hAnsi="宋体" w:cs="微软雅黑"/>
                <w:color w:val="auto"/>
                <w:sz w:val="24"/>
                <w:highlight w:val="none"/>
              </w:rPr>
              <w:t>卫</w:t>
            </w:r>
            <w:r>
              <w:rPr>
                <w:rFonts w:ascii="宋体" w:hAnsi="宋体" w:cs="MS PGothic"/>
                <w:color w:val="auto"/>
                <w:sz w:val="24"/>
                <w:highlight w:val="none"/>
              </w:rPr>
              <w:t>生</w:t>
            </w:r>
            <w:r>
              <w:rPr>
                <w:rFonts w:hint="eastAsia" w:ascii="宋体" w:hAnsi="宋体" w:cs="微软雅黑"/>
                <w:color w:val="auto"/>
                <w:sz w:val="24"/>
                <w:highlight w:val="none"/>
              </w:rPr>
              <w:t>间进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、巡</w:t>
            </w:r>
            <w:r>
              <w:rPr>
                <w:rFonts w:hint="eastAsia" w:ascii="宋体" w:hAnsi="宋体" w:cs="微软雅黑"/>
                <w:color w:val="auto"/>
                <w:sz w:val="24"/>
                <w:highlight w:val="none"/>
              </w:rPr>
              <w:t>视</w:t>
            </w:r>
            <w:r>
              <w:rPr>
                <w:rFonts w:ascii="宋体" w:hAnsi="宋体" w:cs="MS PGothic"/>
                <w:color w:val="auto"/>
                <w:sz w:val="24"/>
                <w:highlight w:val="none"/>
              </w:rPr>
              <w:t>、消毒，</w:t>
            </w:r>
            <w:r>
              <w:rPr>
                <w:rFonts w:hint="eastAsia" w:ascii="宋体" w:hAnsi="宋体" w:cs="宋体"/>
                <w:color w:val="auto"/>
                <w:sz w:val="24"/>
                <w:highlight w:val="none"/>
              </w:rPr>
              <w:t>结合采购人实际情况定期大清，（投标人自行制定大清频率及方案，频率和方案需同采购人确认）包括但不少于：墙面、隔板、便池内、洗手池等。</w:t>
            </w:r>
          </w:p>
          <w:p w14:paraId="5B29E116">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微软雅黑"/>
                <w:color w:val="auto"/>
                <w:sz w:val="24"/>
                <w:highlight w:val="none"/>
              </w:rPr>
              <w:t>办</w:t>
            </w:r>
            <w:r>
              <w:rPr>
                <w:rFonts w:ascii="宋体" w:hAnsi="宋体" w:cs="MS PGothic"/>
                <w:color w:val="auto"/>
                <w:sz w:val="24"/>
                <w:highlight w:val="none"/>
              </w:rPr>
              <w:t>公室、公共区域内</w:t>
            </w:r>
            <w:r>
              <w:rPr>
                <w:rFonts w:hint="eastAsia" w:ascii="宋体" w:hAnsi="宋体" w:cs="微软雅黑"/>
                <w:color w:val="auto"/>
                <w:sz w:val="24"/>
                <w:highlight w:val="none"/>
              </w:rPr>
              <w:t>侧</w:t>
            </w:r>
            <w:r>
              <w:rPr>
                <w:rFonts w:ascii="宋体" w:hAnsi="宋体" w:cs="MS PGothic"/>
                <w:color w:val="auto"/>
                <w:sz w:val="24"/>
                <w:highlight w:val="none"/>
              </w:rPr>
              <w:t>，外</w:t>
            </w:r>
            <w:r>
              <w:rPr>
                <w:rFonts w:hint="eastAsia" w:ascii="宋体" w:hAnsi="宋体" w:cs="微软雅黑"/>
                <w:color w:val="auto"/>
                <w:sz w:val="24"/>
                <w:highlight w:val="none"/>
              </w:rPr>
              <w:t>侧</w:t>
            </w:r>
            <w:r>
              <w:rPr>
                <w:rFonts w:hint="eastAsia" w:ascii="宋体" w:hAnsi="宋体" w:cs="宋体"/>
                <w:color w:val="auto"/>
                <w:sz w:val="24"/>
                <w:highlight w:val="none"/>
              </w:rPr>
              <w:t>3米以内的玻璃</w:t>
            </w:r>
            <w:r>
              <w:rPr>
                <w:rFonts w:hint="eastAsia" w:ascii="宋体" w:hAnsi="宋体" w:cs="微软雅黑"/>
                <w:color w:val="auto"/>
                <w:sz w:val="24"/>
                <w:highlight w:val="none"/>
              </w:rPr>
              <w:t>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尘</w:t>
            </w:r>
            <w:r>
              <w:rPr>
                <w:rFonts w:ascii="宋体" w:hAnsi="宋体" w:cs="MS PGothic"/>
                <w:color w:val="auto"/>
                <w:sz w:val="24"/>
                <w:highlight w:val="none"/>
              </w:rPr>
              <w:t>土、无水印、无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2D8D48D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微软雅黑"/>
                <w:color w:val="auto"/>
                <w:sz w:val="24"/>
                <w:highlight w:val="none"/>
              </w:rPr>
              <w:t>办</w:t>
            </w:r>
            <w:r>
              <w:rPr>
                <w:rFonts w:ascii="宋体" w:hAnsi="宋体" w:cs="MS PGothic"/>
                <w:color w:val="auto"/>
                <w:sz w:val="24"/>
                <w:highlight w:val="none"/>
              </w:rPr>
              <w:t>公室南</w:t>
            </w:r>
            <w:r>
              <w:rPr>
                <w:rFonts w:hint="eastAsia" w:ascii="宋体" w:hAnsi="宋体" w:cs="微软雅黑"/>
                <w:color w:val="auto"/>
                <w:sz w:val="24"/>
                <w:highlight w:val="none"/>
              </w:rPr>
              <w:t>侧门</w:t>
            </w:r>
            <w:r>
              <w:rPr>
                <w:rFonts w:ascii="宋体" w:hAnsi="宋体" w:cs="MS PGothic"/>
                <w:color w:val="auto"/>
                <w:sz w:val="24"/>
                <w:highlight w:val="none"/>
              </w:rPr>
              <w:t>平台及南北两</w:t>
            </w:r>
            <w:r>
              <w:rPr>
                <w:rFonts w:hint="eastAsia" w:ascii="宋体" w:hAnsi="宋体" w:cs="微软雅黑"/>
                <w:color w:val="auto"/>
                <w:sz w:val="24"/>
                <w:highlight w:val="none"/>
              </w:rPr>
              <w:t>侧门</w:t>
            </w:r>
            <w:r>
              <w:rPr>
                <w:rFonts w:ascii="宋体" w:hAnsi="宋体" w:cs="MS PGothic"/>
                <w:color w:val="auto"/>
                <w:sz w:val="24"/>
                <w:highlight w:val="none"/>
              </w:rPr>
              <w:t>前三包任</w:t>
            </w:r>
            <w:r>
              <w:rPr>
                <w:rFonts w:hint="eastAsia" w:ascii="宋体" w:hAnsi="宋体" w:cs="微软雅黑"/>
                <w:color w:val="auto"/>
                <w:sz w:val="24"/>
                <w:highlight w:val="none"/>
              </w:rPr>
              <w:t>务</w:t>
            </w:r>
            <w:r>
              <w:rPr>
                <w:rFonts w:ascii="宋体" w:hAnsi="宋体" w:cs="MS PGothic"/>
                <w:color w:val="auto"/>
                <w:sz w:val="24"/>
                <w:highlight w:val="none"/>
              </w:rPr>
              <w:t>；</w:t>
            </w:r>
          </w:p>
          <w:p w14:paraId="46307162">
            <w:pPr>
              <w:spacing w:line="360" w:lineRule="auto"/>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服务标准同科研楼办公区域要求</w:t>
            </w:r>
            <w:r>
              <w:rPr>
                <w:rFonts w:ascii="宋体" w:hAnsi="宋体" w:cs="宋体"/>
                <w:color w:val="auto"/>
                <w:sz w:val="24"/>
                <w:highlight w:val="none"/>
              </w:rPr>
              <w:t>)</w:t>
            </w:r>
          </w:p>
        </w:tc>
      </w:tr>
      <w:tr w14:paraId="2A1F565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5A4FA89">
            <w:pPr>
              <w:spacing w:line="360" w:lineRule="auto"/>
              <w:rPr>
                <w:rFonts w:hint="eastAsia" w:ascii="宋体" w:hAnsi="宋体"/>
                <w:color w:val="auto"/>
                <w:sz w:val="24"/>
                <w:highlight w:val="none"/>
              </w:rPr>
            </w:pPr>
            <w:r>
              <w:rPr>
                <w:rFonts w:hint="eastAsia" w:ascii="宋体" w:hAnsi="宋体"/>
                <w:color w:val="auto"/>
                <w:sz w:val="24"/>
                <w:highlight w:val="none"/>
              </w:rPr>
              <w:t>2.10</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2723612">
            <w:pPr>
              <w:spacing w:line="360" w:lineRule="auto"/>
              <w:jc w:val="center"/>
              <w:rPr>
                <w:rFonts w:hint="eastAsia" w:ascii="宋体" w:hAnsi="宋体"/>
                <w:color w:val="auto"/>
                <w:sz w:val="24"/>
                <w:highlight w:val="none"/>
              </w:rPr>
            </w:pPr>
            <w:r>
              <w:rPr>
                <w:rFonts w:hint="eastAsia" w:ascii="宋体" w:hAnsi="宋体" w:cs="微软雅黑"/>
                <w:bCs/>
                <w:color w:val="auto"/>
                <w:sz w:val="24"/>
                <w:highlight w:val="none"/>
              </w:rPr>
              <w:t>专项</w:t>
            </w:r>
            <w:r>
              <w:rPr>
                <w:rFonts w:ascii="宋体" w:hAnsi="宋体" w:cs="MS PGothic"/>
                <w:bCs/>
                <w:color w:val="auto"/>
                <w:sz w:val="24"/>
                <w:highlight w:val="none"/>
              </w:rPr>
              <w:t>保</w:t>
            </w:r>
            <w:r>
              <w:rPr>
                <w:rFonts w:hint="eastAsia" w:ascii="宋体" w:hAnsi="宋体" w:cs="微软雅黑"/>
                <w:bCs/>
                <w:color w:val="auto"/>
                <w:sz w:val="24"/>
                <w:highlight w:val="none"/>
              </w:rPr>
              <w:t>洁服务要求</w:t>
            </w:r>
          </w:p>
        </w:tc>
        <w:tc>
          <w:tcPr>
            <w:tcW w:w="6555" w:type="dxa"/>
            <w:tcBorders>
              <w:top w:val="single" w:color="auto" w:sz="4" w:space="0"/>
              <w:left w:val="nil"/>
              <w:bottom w:val="single" w:color="auto" w:sz="4" w:space="0"/>
              <w:right w:val="single" w:color="auto" w:sz="4" w:space="0"/>
            </w:tcBorders>
            <w:noWrap w:val="0"/>
            <w:vAlign w:val="center"/>
          </w:tcPr>
          <w:p w14:paraId="38F0A8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微软雅黑"/>
                <w:color w:val="auto"/>
                <w:sz w:val="24"/>
                <w:highlight w:val="none"/>
              </w:rPr>
              <w:t>对</w:t>
            </w:r>
            <w:r>
              <w:rPr>
                <w:rFonts w:ascii="宋体" w:hAnsi="宋体" w:cs="MS PGothic"/>
                <w:color w:val="auto"/>
                <w:sz w:val="24"/>
                <w:highlight w:val="none"/>
              </w:rPr>
              <w:t>医院楼区内各种材</w:t>
            </w:r>
            <w:r>
              <w:rPr>
                <w:rFonts w:hint="eastAsia" w:ascii="宋体" w:hAnsi="宋体" w:cs="微软雅黑"/>
                <w:color w:val="auto"/>
                <w:sz w:val="24"/>
                <w:highlight w:val="none"/>
              </w:rPr>
              <w:t>质</w:t>
            </w:r>
            <w:r>
              <w:rPr>
                <w:rFonts w:ascii="宋体" w:hAnsi="宋体" w:cs="MS PGothic"/>
                <w:color w:val="auto"/>
                <w:sz w:val="24"/>
                <w:highlight w:val="none"/>
              </w:rPr>
              <w:t>地面（石材地面、</w:t>
            </w:r>
            <w:r>
              <w:rPr>
                <w:rFonts w:hint="eastAsia" w:ascii="宋体" w:hAnsi="宋体" w:cs="宋体"/>
                <w:color w:val="auto"/>
                <w:sz w:val="24"/>
                <w:highlight w:val="none"/>
              </w:rPr>
              <w:t>PVC地面）</w:t>
            </w:r>
            <w:r>
              <w:rPr>
                <w:rFonts w:hint="eastAsia" w:ascii="宋体" w:hAnsi="宋体" w:cs="微软雅黑"/>
                <w:color w:val="auto"/>
                <w:sz w:val="24"/>
                <w:highlight w:val="none"/>
              </w:rPr>
              <w:t>进</w:t>
            </w:r>
            <w:r>
              <w:rPr>
                <w:rFonts w:ascii="宋体" w:hAnsi="宋体" w:cs="MS PGothic"/>
                <w:color w:val="auto"/>
                <w:sz w:val="24"/>
                <w:highlight w:val="none"/>
              </w:rPr>
              <w:t>行相</w:t>
            </w:r>
            <w:r>
              <w:rPr>
                <w:rFonts w:hint="eastAsia" w:ascii="宋体" w:hAnsi="宋体" w:cs="微软雅黑"/>
                <w:color w:val="auto"/>
                <w:sz w:val="24"/>
                <w:highlight w:val="none"/>
              </w:rPr>
              <w:t>应</w:t>
            </w:r>
            <w:r>
              <w:rPr>
                <w:rFonts w:ascii="宋体" w:hAnsi="宋体" w:cs="MS PGothic"/>
                <w:color w:val="auto"/>
                <w:sz w:val="24"/>
                <w:highlight w:val="none"/>
              </w:rPr>
              <w:t>的清</w:t>
            </w:r>
            <w:r>
              <w:rPr>
                <w:rFonts w:hint="eastAsia" w:ascii="宋体" w:hAnsi="宋体" w:cs="微软雅黑"/>
                <w:color w:val="auto"/>
                <w:sz w:val="24"/>
                <w:highlight w:val="none"/>
              </w:rPr>
              <w:t>洁</w:t>
            </w:r>
            <w:r>
              <w:rPr>
                <w:rFonts w:ascii="宋体" w:hAnsi="宋体" w:cs="MS PGothic"/>
                <w:color w:val="auto"/>
                <w:sz w:val="24"/>
                <w:highlight w:val="none"/>
              </w:rPr>
              <w:t>、</w:t>
            </w:r>
            <w:r>
              <w:rPr>
                <w:rFonts w:hint="eastAsia" w:ascii="宋体" w:hAnsi="宋体" w:cs="微软雅黑"/>
                <w:color w:val="auto"/>
                <w:sz w:val="24"/>
                <w:highlight w:val="none"/>
              </w:rPr>
              <w:t>维护</w:t>
            </w:r>
            <w:r>
              <w:rPr>
                <w:rFonts w:ascii="宋体" w:hAnsi="宋体" w:cs="MS PGothic"/>
                <w:color w:val="auto"/>
                <w:sz w:val="24"/>
                <w:highlight w:val="none"/>
              </w:rPr>
              <w:t>、保养</w:t>
            </w:r>
          </w:p>
          <w:p w14:paraId="49E4FF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微软雅黑"/>
                <w:color w:val="auto"/>
                <w:sz w:val="24"/>
                <w:highlight w:val="none"/>
              </w:rPr>
              <w:t>对</w:t>
            </w:r>
            <w:r>
              <w:rPr>
                <w:rFonts w:ascii="宋体" w:hAnsi="宋体" w:cs="MS PGothic"/>
                <w:color w:val="auto"/>
                <w:sz w:val="24"/>
                <w:highlight w:val="none"/>
              </w:rPr>
              <w:t>医院内所有房</w:t>
            </w:r>
            <w:r>
              <w:rPr>
                <w:rFonts w:hint="eastAsia" w:ascii="宋体" w:hAnsi="宋体" w:cs="微软雅黑"/>
                <w:color w:val="auto"/>
                <w:sz w:val="24"/>
                <w:highlight w:val="none"/>
              </w:rPr>
              <w:t>间</w:t>
            </w:r>
            <w:r>
              <w:rPr>
                <w:rFonts w:ascii="宋体" w:hAnsi="宋体" w:cs="MS PGothic"/>
                <w:color w:val="auto"/>
                <w:sz w:val="24"/>
                <w:highlight w:val="none"/>
              </w:rPr>
              <w:t>、公共区域内</w:t>
            </w:r>
            <w:r>
              <w:rPr>
                <w:rFonts w:hint="eastAsia" w:ascii="宋体" w:hAnsi="宋体" w:cs="微软雅黑"/>
                <w:color w:val="auto"/>
                <w:sz w:val="24"/>
                <w:highlight w:val="none"/>
              </w:rPr>
              <w:t>侧</w:t>
            </w:r>
            <w:r>
              <w:rPr>
                <w:rFonts w:ascii="宋体" w:hAnsi="宋体" w:cs="MS PGothic"/>
                <w:color w:val="auto"/>
                <w:sz w:val="24"/>
                <w:highlight w:val="none"/>
              </w:rPr>
              <w:t>，外</w:t>
            </w:r>
            <w:r>
              <w:rPr>
                <w:rFonts w:hint="eastAsia" w:ascii="宋体" w:hAnsi="宋体" w:cs="微软雅黑"/>
                <w:color w:val="auto"/>
                <w:sz w:val="24"/>
                <w:highlight w:val="none"/>
              </w:rPr>
              <w:t>侧</w:t>
            </w:r>
            <w:r>
              <w:rPr>
                <w:rFonts w:hint="eastAsia" w:ascii="宋体" w:hAnsi="宋体" w:cs="宋体"/>
                <w:color w:val="auto"/>
                <w:sz w:val="24"/>
                <w:highlight w:val="none"/>
              </w:rPr>
              <w:t>3米以内的玻璃</w:t>
            </w:r>
            <w:r>
              <w:rPr>
                <w:rFonts w:hint="eastAsia" w:ascii="宋体" w:hAnsi="宋体" w:cs="微软雅黑"/>
                <w:color w:val="auto"/>
                <w:sz w:val="24"/>
                <w:highlight w:val="none"/>
              </w:rPr>
              <w:t>进</w:t>
            </w:r>
            <w:r>
              <w:rPr>
                <w:rFonts w:ascii="宋体" w:hAnsi="宋体" w:cs="MS PGothic"/>
                <w:color w:val="auto"/>
                <w:sz w:val="24"/>
                <w:highlight w:val="none"/>
              </w:rPr>
              <w:t>行清</w:t>
            </w:r>
            <w:r>
              <w:rPr>
                <w:rFonts w:hint="eastAsia" w:ascii="宋体" w:hAnsi="宋体" w:cs="微软雅黑"/>
                <w:color w:val="auto"/>
                <w:sz w:val="24"/>
                <w:highlight w:val="none"/>
              </w:rPr>
              <w:t>洁</w:t>
            </w:r>
            <w:r>
              <w:rPr>
                <w:rFonts w:ascii="宋体" w:hAnsi="宋体" w:cs="MS PGothic"/>
                <w:color w:val="auto"/>
                <w:sz w:val="24"/>
                <w:highlight w:val="none"/>
              </w:rPr>
              <w:t>，无</w:t>
            </w:r>
            <w:r>
              <w:rPr>
                <w:rFonts w:hint="eastAsia" w:ascii="宋体" w:hAnsi="宋体" w:cs="微软雅黑"/>
                <w:color w:val="auto"/>
                <w:sz w:val="24"/>
                <w:highlight w:val="none"/>
              </w:rPr>
              <w:t>尘</w:t>
            </w:r>
            <w:r>
              <w:rPr>
                <w:rFonts w:ascii="宋体" w:hAnsi="宋体" w:cs="MS PGothic"/>
                <w:color w:val="auto"/>
                <w:sz w:val="24"/>
                <w:highlight w:val="none"/>
              </w:rPr>
              <w:t>土、无水印、无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4BC144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微软雅黑"/>
                <w:color w:val="auto"/>
                <w:sz w:val="24"/>
                <w:highlight w:val="none"/>
              </w:rPr>
              <w:t>对</w:t>
            </w:r>
            <w:r>
              <w:rPr>
                <w:rFonts w:ascii="宋体" w:hAnsi="宋体" w:cs="MS PGothic"/>
                <w:color w:val="auto"/>
                <w:sz w:val="24"/>
                <w:highlight w:val="none"/>
              </w:rPr>
              <w:t>科研楼、</w:t>
            </w:r>
            <w:r>
              <w:rPr>
                <w:rFonts w:hint="eastAsia" w:ascii="宋体" w:hAnsi="宋体" w:cs="微软雅黑"/>
                <w:color w:val="auto"/>
                <w:sz w:val="24"/>
                <w:highlight w:val="none"/>
              </w:rPr>
              <w:t>门诊</w:t>
            </w:r>
            <w:r>
              <w:rPr>
                <w:rFonts w:ascii="宋体" w:hAnsi="宋体" w:cs="MS PGothic"/>
                <w:color w:val="auto"/>
                <w:sz w:val="24"/>
                <w:highlight w:val="none"/>
              </w:rPr>
              <w:t>区域地毯</w:t>
            </w:r>
            <w:r>
              <w:rPr>
                <w:rFonts w:hint="eastAsia" w:ascii="宋体" w:hAnsi="宋体" w:cs="微软雅黑"/>
                <w:color w:val="auto"/>
                <w:sz w:val="24"/>
                <w:highlight w:val="none"/>
              </w:rPr>
              <w:t>进</w:t>
            </w:r>
            <w:r>
              <w:rPr>
                <w:rFonts w:ascii="宋体" w:hAnsi="宋体" w:cs="MS PGothic"/>
                <w:color w:val="auto"/>
                <w:sz w:val="24"/>
                <w:highlight w:val="none"/>
              </w:rPr>
              <w:t>行</w:t>
            </w:r>
            <w:r>
              <w:rPr>
                <w:rFonts w:hint="eastAsia" w:ascii="宋体" w:hAnsi="宋体" w:cs="宋体"/>
                <w:color w:val="auto"/>
                <w:sz w:val="24"/>
                <w:highlight w:val="none"/>
              </w:rPr>
              <w:t>结合采购人实际情况定期清洁，（投标人自行制定频率及方案，频率和方案需同采购人确认）</w:t>
            </w:r>
            <w:r>
              <w:rPr>
                <w:rFonts w:ascii="宋体" w:hAnsi="宋体" w:cs="MS PGothic"/>
                <w:color w:val="auto"/>
                <w:sz w:val="24"/>
                <w:highlight w:val="none"/>
              </w:rPr>
              <w:t>保证</w:t>
            </w:r>
            <w:r>
              <w:rPr>
                <w:rFonts w:hint="eastAsia" w:ascii="宋体" w:hAnsi="宋体" w:cs="MS PGothic"/>
                <w:color w:val="auto"/>
                <w:sz w:val="24"/>
                <w:highlight w:val="none"/>
              </w:rPr>
              <w:t>：</w:t>
            </w:r>
            <w:r>
              <w:rPr>
                <w:rFonts w:hint="eastAsia" w:ascii="宋体" w:hAnsi="宋体" w:cs="宋体"/>
                <w:color w:val="auto"/>
                <w:sz w:val="24"/>
                <w:highlight w:val="none"/>
              </w:rPr>
              <w:t>无水印、无</w:t>
            </w:r>
            <w:r>
              <w:rPr>
                <w:rFonts w:hint="eastAsia" w:ascii="宋体" w:hAnsi="宋体" w:cs="微软雅黑"/>
                <w:color w:val="auto"/>
                <w:sz w:val="24"/>
                <w:highlight w:val="none"/>
              </w:rPr>
              <w:t>污</w:t>
            </w:r>
            <w:r>
              <w:rPr>
                <w:rFonts w:ascii="宋体" w:hAnsi="宋体" w:cs="MS PGothic"/>
                <w:color w:val="auto"/>
                <w:sz w:val="24"/>
                <w:highlight w:val="none"/>
              </w:rPr>
              <w:t>迹。</w:t>
            </w:r>
          </w:p>
          <w:p w14:paraId="508F03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4、完成各区域排</w:t>
            </w:r>
            <w:r>
              <w:rPr>
                <w:rFonts w:hint="eastAsia" w:ascii="宋体" w:hAnsi="宋体" w:cs="微软雅黑"/>
                <w:color w:val="auto"/>
                <w:sz w:val="24"/>
                <w:highlight w:val="none"/>
              </w:rPr>
              <w:t>风</w:t>
            </w:r>
            <w:r>
              <w:rPr>
                <w:rFonts w:ascii="宋体" w:hAnsi="宋体" w:cs="MS PGothic"/>
                <w:color w:val="auto"/>
                <w:sz w:val="24"/>
                <w:highlight w:val="none"/>
              </w:rPr>
              <w:t>口、灯具、</w:t>
            </w:r>
            <w:r>
              <w:rPr>
                <w:rFonts w:hint="eastAsia" w:ascii="宋体" w:hAnsi="宋体" w:cs="微软雅黑"/>
                <w:color w:val="auto"/>
                <w:sz w:val="24"/>
                <w:highlight w:val="none"/>
              </w:rPr>
              <w:t>换</w:t>
            </w:r>
            <w:r>
              <w:rPr>
                <w:rFonts w:ascii="宋体" w:hAnsi="宋体" w:cs="MS PGothic"/>
                <w:color w:val="auto"/>
                <w:sz w:val="24"/>
                <w:highlight w:val="none"/>
              </w:rPr>
              <w:t>气扇等高</w:t>
            </w:r>
            <w:r>
              <w:rPr>
                <w:rFonts w:hint="eastAsia" w:ascii="宋体" w:hAnsi="宋体" w:cs="微软雅黑"/>
                <w:color w:val="auto"/>
                <w:sz w:val="24"/>
                <w:highlight w:val="none"/>
              </w:rPr>
              <w:t>处设备设</w:t>
            </w:r>
            <w:r>
              <w:rPr>
                <w:rFonts w:hint="eastAsia" w:ascii="宋体" w:hAnsi="宋体" w:cs="宋体"/>
                <w:color w:val="auto"/>
                <w:sz w:val="24"/>
                <w:highlight w:val="none"/>
              </w:rPr>
              <w:t>施的清</w:t>
            </w:r>
            <w:r>
              <w:rPr>
                <w:rFonts w:hint="eastAsia" w:ascii="宋体" w:hAnsi="宋体" w:cs="微软雅黑"/>
                <w:color w:val="auto"/>
                <w:sz w:val="24"/>
                <w:highlight w:val="none"/>
              </w:rPr>
              <w:t>洁</w:t>
            </w:r>
            <w:r>
              <w:rPr>
                <w:rFonts w:ascii="宋体" w:hAnsi="宋体" w:cs="MS PGothic"/>
                <w:color w:val="auto"/>
                <w:sz w:val="24"/>
                <w:highlight w:val="none"/>
              </w:rPr>
              <w:t>。</w:t>
            </w:r>
          </w:p>
          <w:p w14:paraId="0179B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5、完成临时性重点清洁、开荒保洁服务工作,不包含</w:t>
            </w:r>
            <w:r>
              <w:rPr>
                <w:rFonts w:ascii="宋体" w:hAnsi="宋体" w:cs="宋体"/>
                <w:color w:val="auto"/>
                <w:sz w:val="24"/>
                <w:highlight w:val="none"/>
              </w:rPr>
              <w:t>北院区未使用区域施工改造后的开荒保洁工作。</w:t>
            </w:r>
          </w:p>
          <w:p w14:paraId="29C54F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6、对于地面护理和服务所使用的各类清洁剂、蜡、光亮剂等质量均应符合国家有关卫生及环保标准，不得使用任何有害人体健康的清洗用品及原料。</w:t>
            </w:r>
          </w:p>
        </w:tc>
      </w:tr>
      <w:tr w14:paraId="25D2AB1D">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06E2F81">
            <w:pPr>
              <w:spacing w:line="360" w:lineRule="auto"/>
              <w:rPr>
                <w:rFonts w:hint="eastAsia" w:ascii="宋体" w:hAnsi="宋体"/>
                <w:color w:val="auto"/>
                <w:sz w:val="24"/>
                <w:highlight w:val="none"/>
              </w:rPr>
            </w:pPr>
            <w:r>
              <w:rPr>
                <w:rFonts w:hint="eastAsia" w:ascii="宋体" w:hAnsi="宋体"/>
                <w:color w:val="auto"/>
                <w:sz w:val="24"/>
                <w:highlight w:val="none"/>
              </w:rPr>
              <w:t>2.11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7051E7A1">
            <w:pPr>
              <w:spacing w:line="360" w:lineRule="auto"/>
              <w:jc w:val="center"/>
              <w:rPr>
                <w:rFonts w:hint="eastAsia" w:ascii="宋体" w:hAnsi="宋体"/>
                <w:color w:val="auto"/>
                <w:sz w:val="24"/>
                <w:highlight w:val="none"/>
              </w:rPr>
            </w:pPr>
            <w:r>
              <w:rPr>
                <w:rFonts w:hint="eastAsia" w:ascii="宋体" w:hAnsi="宋体"/>
                <w:color w:val="auto"/>
                <w:sz w:val="24"/>
                <w:highlight w:val="none"/>
              </w:rPr>
              <w:t>外保洁服务范围及要求</w:t>
            </w:r>
          </w:p>
        </w:tc>
        <w:tc>
          <w:tcPr>
            <w:tcW w:w="6555" w:type="dxa"/>
            <w:tcBorders>
              <w:top w:val="single" w:color="auto" w:sz="4" w:space="0"/>
              <w:left w:val="nil"/>
              <w:bottom w:val="single" w:color="auto" w:sz="4" w:space="0"/>
              <w:right w:val="single" w:color="auto" w:sz="4" w:space="0"/>
            </w:tcBorders>
            <w:noWrap w:val="0"/>
            <w:vAlign w:val="center"/>
          </w:tcPr>
          <w:p w14:paraId="566392B6">
            <w:pPr>
              <w:spacing w:line="360" w:lineRule="auto"/>
              <w:rPr>
                <w:rFonts w:ascii="宋体" w:hAnsi="宋体" w:cs="宋体"/>
                <w:color w:val="auto"/>
                <w:sz w:val="24"/>
                <w:highlight w:val="none"/>
              </w:rPr>
            </w:pPr>
            <w:r>
              <w:rPr>
                <w:rFonts w:hint="eastAsia" w:ascii="宋体" w:hAnsi="宋体" w:cs="宋体"/>
                <w:color w:val="auto"/>
                <w:sz w:val="24"/>
                <w:highlight w:val="none"/>
              </w:rPr>
              <w:t>1、医院院落内主路、天井、平台、医院门前三包任务、清理小广告，北门小广场及通道。非医疗废弃物和废品收集。院落中的标识牌擦拭。</w:t>
            </w:r>
          </w:p>
          <w:p w14:paraId="027639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2、协助配合</w:t>
            </w:r>
            <w:r>
              <w:rPr>
                <w:rFonts w:ascii="宋体" w:hAnsi="宋体" w:cs="宋体"/>
                <w:color w:val="auto"/>
                <w:sz w:val="24"/>
                <w:highlight w:val="none"/>
              </w:rPr>
              <w:t>相关部门进行公共区域</w:t>
            </w:r>
            <w:r>
              <w:rPr>
                <w:rFonts w:hint="eastAsia" w:ascii="宋体" w:hAnsi="宋体" w:cs="宋体"/>
                <w:color w:val="auto"/>
                <w:sz w:val="24"/>
                <w:highlight w:val="none"/>
              </w:rPr>
              <w:t>劝</w:t>
            </w:r>
            <w:r>
              <w:rPr>
                <w:rFonts w:ascii="宋体" w:hAnsi="宋体" w:cs="宋体"/>
                <w:color w:val="auto"/>
                <w:sz w:val="24"/>
                <w:highlight w:val="none"/>
              </w:rPr>
              <w:t>烟工作</w:t>
            </w:r>
            <w:r>
              <w:rPr>
                <w:rFonts w:hint="eastAsia" w:ascii="宋体" w:hAnsi="宋体" w:cs="宋体"/>
                <w:color w:val="auto"/>
                <w:sz w:val="24"/>
                <w:highlight w:val="none"/>
              </w:rPr>
              <w:t>，及时清理地面烟头。</w:t>
            </w:r>
          </w:p>
        </w:tc>
      </w:tr>
      <w:tr w14:paraId="4FDE467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B5B14A0">
            <w:pPr>
              <w:spacing w:line="360" w:lineRule="auto"/>
              <w:rPr>
                <w:rFonts w:hint="eastAsia" w:ascii="宋体" w:hAnsi="宋体"/>
                <w:color w:val="auto"/>
                <w:sz w:val="24"/>
                <w:highlight w:val="none"/>
              </w:rPr>
            </w:pPr>
            <w:r>
              <w:rPr>
                <w:rFonts w:hint="eastAsia" w:ascii="宋体" w:hAnsi="宋体"/>
                <w:color w:val="auto"/>
                <w:sz w:val="24"/>
                <w:highlight w:val="none"/>
              </w:rPr>
              <w:t>2.12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963B8AF">
            <w:pPr>
              <w:spacing w:line="360" w:lineRule="auto"/>
              <w:rPr>
                <w:rFonts w:hint="eastAsia" w:ascii="宋体" w:hAnsi="宋体"/>
                <w:color w:val="auto"/>
                <w:sz w:val="24"/>
                <w:highlight w:val="none"/>
              </w:rPr>
            </w:pPr>
            <w:r>
              <w:rPr>
                <w:rFonts w:hint="eastAsia" w:ascii="宋体" w:hAnsi="宋体"/>
                <w:color w:val="auto"/>
                <w:sz w:val="24"/>
                <w:highlight w:val="none"/>
              </w:rPr>
              <w:t>其他服务</w:t>
            </w:r>
          </w:p>
        </w:tc>
        <w:tc>
          <w:tcPr>
            <w:tcW w:w="6555" w:type="dxa"/>
            <w:tcBorders>
              <w:top w:val="single" w:color="auto" w:sz="4" w:space="0"/>
              <w:left w:val="nil"/>
              <w:bottom w:val="single" w:color="auto" w:sz="4" w:space="0"/>
              <w:right w:val="single" w:color="auto" w:sz="4" w:space="0"/>
            </w:tcBorders>
            <w:noWrap w:val="0"/>
            <w:vAlign w:val="center"/>
          </w:tcPr>
          <w:p w14:paraId="46DB0E19">
            <w:pPr>
              <w:spacing w:line="360" w:lineRule="auto"/>
              <w:rPr>
                <w:rFonts w:ascii="宋体" w:hAnsi="宋体" w:cs="宋体"/>
                <w:color w:val="auto"/>
                <w:sz w:val="24"/>
                <w:highlight w:val="none"/>
              </w:rPr>
            </w:pPr>
            <w:r>
              <w:rPr>
                <w:rFonts w:hint="eastAsia" w:ascii="宋体" w:hAnsi="宋体" w:cs="宋体"/>
                <w:color w:val="auto"/>
                <w:sz w:val="24"/>
                <w:highlight w:val="none"/>
              </w:rPr>
              <w:t>1、生活垃圾、医疗垃圾、涉疫医疗垃圾、输液瓶袋由专人收集转运，严格按照医院院感科要求和管理制度执行。并根据北京市生活垃圾分类有关要求，对生活垃圾进行分类、转运。</w:t>
            </w:r>
          </w:p>
          <w:p w14:paraId="52EF6F83">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投标人需具备可回收生活废弃物转运</w:t>
            </w:r>
            <w:r>
              <w:rPr>
                <w:rFonts w:hint="eastAsia" w:ascii="宋体" w:hAnsi="宋体" w:cs="宋体"/>
                <w:color w:val="auto"/>
                <w:sz w:val="24"/>
                <w:highlight w:val="none"/>
              </w:rPr>
              <w:t>的再生资源回收业务范围，或</w:t>
            </w:r>
            <w:r>
              <w:rPr>
                <w:rFonts w:ascii="宋体" w:hAnsi="宋体" w:cs="宋体"/>
                <w:color w:val="auto"/>
                <w:sz w:val="24"/>
                <w:highlight w:val="none"/>
              </w:rPr>
              <w:t>投标人</w:t>
            </w:r>
            <w:r>
              <w:rPr>
                <w:rFonts w:hint="eastAsia" w:ascii="宋体" w:hAnsi="宋体" w:cs="宋体"/>
                <w:color w:val="auto"/>
                <w:sz w:val="24"/>
                <w:highlight w:val="none"/>
              </w:rPr>
              <w:t>与营业范围内有“再生资源回收”的第三方</w:t>
            </w:r>
            <w:r>
              <w:rPr>
                <w:rFonts w:ascii="宋体" w:hAnsi="宋体" w:cs="宋体"/>
                <w:color w:val="auto"/>
                <w:sz w:val="24"/>
                <w:highlight w:val="none"/>
              </w:rPr>
              <w:t>签订</w:t>
            </w:r>
            <w:r>
              <w:rPr>
                <w:rFonts w:hint="eastAsia" w:ascii="宋体" w:hAnsi="宋体" w:cs="宋体"/>
                <w:color w:val="auto"/>
                <w:sz w:val="24"/>
                <w:highlight w:val="none"/>
              </w:rPr>
              <w:t>可回收</w:t>
            </w:r>
            <w:r>
              <w:rPr>
                <w:rFonts w:ascii="宋体" w:hAnsi="宋体" w:cs="宋体"/>
                <w:color w:val="auto"/>
                <w:sz w:val="24"/>
                <w:highlight w:val="none"/>
              </w:rPr>
              <w:t>转运协议</w:t>
            </w:r>
            <w:r>
              <w:rPr>
                <w:rFonts w:hint="eastAsia" w:ascii="宋体" w:hAnsi="宋体" w:cs="宋体"/>
                <w:color w:val="auto"/>
                <w:sz w:val="24"/>
                <w:highlight w:val="none"/>
              </w:rPr>
              <w:t>（合同在有效期内），负责收集、清运、处置院内可回收生活废弃物。</w:t>
            </w:r>
          </w:p>
        </w:tc>
      </w:tr>
      <w:tr w14:paraId="5318CCDA">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0F85CF9">
            <w:pPr>
              <w:spacing w:line="360" w:lineRule="auto"/>
              <w:rPr>
                <w:rFonts w:ascii="宋体" w:hAnsi="宋体"/>
                <w:color w:val="auto"/>
                <w:sz w:val="24"/>
                <w:highlight w:val="none"/>
              </w:rPr>
            </w:pPr>
            <w:r>
              <w:rPr>
                <w:rFonts w:hint="eastAsia" w:ascii="宋体" w:hAnsi="宋体"/>
                <w:color w:val="auto"/>
                <w:sz w:val="24"/>
                <w:highlight w:val="none"/>
              </w:rPr>
              <w:t>2.13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9E25C86">
            <w:pPr>
              <w:spacing w:line="360" w:lineRule="auto"/>
              <w:rPr>
                <w:rFonts w:hint="eastAsia" w:ascii="宋体" w:hAnsi="宋体"/>
                <w:color w:val="auto"/>
                <w:sz w:val="24"/>
                <w:highlight w:val="none"/>
              </w:rPr>
            </w:pPr>
            <w:r>
              <w:rPr>
                <w:color w:val="auto"/>
                <w:kern w:val="0"/>
                <w:highlight w:val="none"/>
                <w:lang w:val="zh-CN"/>
              </w:rPr>
              <w:t>整体设想及策划</w:t>
            </w:r>
          </w:p>
        </w:tc>
        <w:tc>
          <w:tcPr>
            <w:tcW w:w="6555" w:type="dxa"/>
            <w:tcBorders>
              <w:top w:val="single" w:color="auto" w:sz="4" w:space="0"/>
              <w:left w:val="nil"/>
              <w:bottom w:val="single" w:color="auto" w:sz="4" w:space="0"/>
              <w:right w:val="single" w:color="auto" w:sz="4" w:space="0"/>
            </w:tcBorders>
            <w:noWrap w:val="0"/>
            <w:vAlign w:val="center"/>
          </w:tcPr>
          <w:p w14:paraId="62CF986D">
            <w:pPr>
              <w:spacing w:line="360" w:lineRule="auto"/>
              <w:rPr>
                <w:rFonts w:hint="eastAsia" w:ascii="宋体" w:hAnsi="宋体" w:cs="宋体"/>
                <w:color w:val="auto"/>
                <w:sz w:val="24"/>
                <w:highlight w:val="none"/>
              </w:rPr>
            </w:pPr>
            <w:r>
              <w:rPr>
                <w:rFonts w:hint="eastAsia" w:ascii="宋体" w:hAnsi="宋体" w:cs="宋体"/>
                <w:color w:val="auto"/>
                <w:sz w:val="24"/>
                <w:szCs w:val="20"/>
                <w:highlight w:val="none"/>
              </w:rPr>
              <w:t>投标人针对本项目提供完善的组织架构及管理制度。包括但不限于：组织架构、岗位职责、奖惩制度、人员系统化管理制度、检查评价制度。</w:t>
            </w:r>
          </w:p>
        </w:tc>
      </w:tr>
      <w:tr w14:paraId="1BA410E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E9B6C9">
            <w:pPr>
              <w:widowControl/>
              <w:spacing w:line="360" w:lineRule="auto"/>
              <w:jc w:val="left"/>
              <w:rPr>
                <w:rFonts w:hint="eastAsia" w:ascii="宋体" w:hAnsi="宋体"/>
                <w:color w:val="auto"/>
                <w:sz w:val="24"/>
                <w:highlight w:val="none"/>
              </w:rPr>
            </w:pPr>
            <w:r>
              <w:rPr>
                <w:rFonts w:ascii="宋体" w:hAnsi="宋体"/>
                <w:color w:val="auto"/>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9FB4DB8">
            <w:pPr>
              <w:spacing w:line="360" w:lineRule="auto"/>
              <w:rPr>
                <w:rFonts w:ascii="宋体" w:hAnsi="宋体"/>
                <w:color w:val="auto"/>
                <w:sz w:val="24"/>
                <w:highlight w:val="none"/>
              </w:rPr>
            </w:pPr>
            <w:r>
              <w:rPr>
                <w:rFonts w:hint="eastAsia" w:ascii="宋体" w:hAnsi="宋体"/>
                <w:color w:val="auto"/>
                <w:sz w:val="24"/>
                <w:highlight w:val="none"/>
              </w:rPr>
              <w:t>服务方案</w:t>
            </w:r>
          </w:p>
        </w:tc>
        <w:tc>
          <w:tcPr>
            <w:tcW w:w="6555" w:type="dxa"/>
            <w:tcBorders>
              <w:top w:val="single" w:color="auto" w:sz="4" w:space="0"/>
              <w:left w:val="nil"/>
              <w:bottom w:val="single" w:color="auto" w:sz="4" w:space="0"/>
              <w:right w:val="single" w:color="auto" w:sz="4" w:space="0"/>
            </w:tcBorders>
            <w:noWrap w:val="0"/>
            <w:vAlign w:val="center"/>
          </w:tcPr>
          <w:p w14:paraId="48F1FF78">
            <w:pPr>
              <w:pStyle w:val="24"/>
              <w:rPr>
                <w:rFonts w:hAnsi="宋体"/>
                <w:color w:val="auto"/>
                <w:sz w:val="24"/>
                <w:highlight w:val="none"/>
              </w:rPr>
            </w:pPr>
            <w:r>
              <w:rPr>
                <w:rFonts w:hAnsi="宋体" w:cs="宋体"/>
                <w:color w:val="auto"/>
                <w:sz w:val="24"/>
                <w:highlight w:val="none"/>
              </w:rPr>
              <w:t>投标人需依据服务内容提供服务方案。包括但不限于：安全管理制度、人员管理制度、考勤制度、清洁服务方案、垃圾处理方案、预防交叉感染控制方案、医疗废弃物处理信息化服务方案、人员稳定性及培训方案、清洁设备配备方案。</w:t>
            </w:r>
          </w:p>
        </w:tc>
      </w:tr>
      <w:tr w14:paraId="5BA4A748">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F8E43C4">
            <w:pPr>
              <w:widowControl/>
              <w:spacing w:line="360" w:lineRule="auto"/>
              <w:jc w:val="left"/>
              <w:rPr>
                <w:rFonts w:hint="eastAsia" w:ascii="宋体" w:hAnsi="宋体"/>
                <w:color w:val="auto"/>
                <w:sz w:val="24"/>
                <w:highlight w:val="none"/>
              </w:rPr>
            </w:pPr>
            <w:r>
              <w:rPr>
                <w:rFonts w:ascii="宋体" w:hAnsi="宋体"/>
                <w:color w:val="auto"/>
                <w:sz w:val="24"/>
                <w:highlight w:val="none"/>
              </w:rPr>
              <w:t>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309D8B4">
            <w:pPr>
              <w:spacing w:line="360" w:lineRule="auto"/>
              <w:rPr>
                <w:rFonts w:hint="eastAsia" w:ascii="宋体" w:hAnsi="宋体"/>
                <w:color w:val="auto"/>
                <w:sz w:val="24"/>
                <w:highlight w:val="none"/>
              </w:rPr>
            </w:pPr>
            <w:r>
              <w:rPr>
                <w:rFonts w:hint="eastAsia" w:ascii="宋体" w:hAnsi="宋体"/>
                <w:color w:val="auto"/>
                <w:sz w:val="24"/>
                <w:highlight w:val="none"/>
              </w:rPr>
              <w:t>应急响应预案</w:t>
            </w:r>
          </w:p>
        </w:tc>
        <w:tc>
          <w:tcPr>
            <w:tcW w:w="6555" w:type="dxa"/>
            <w:tcBorders>
              <w:top w:val="single" w:color="auto" w:sz="4" w:space="0"/>
              <w:left w:val="nil"/>
              <w:bottom w:val="single" w:color="auto" w:sz="4" w:space="0"/>
              <w:right w:val="single" w:color="auto" w:sz="4" w:space="0"/>
            </w:tcBorders>
            <w:noWrap w:val="0"/>
            <w:vAlign w:val="center"/>
          </w:tcPr>
          <w:p w14:paraId="0D0234F5">
            <w:pPr>
              <w:pStyle w:val="24"/>
              <w:rPr>
                <w:rFonts w:hAnsi="宋体"/>
                <w:color w:val="auto"/>
                <w:sz w:val="24"/>
                <w:highlight w:val="none"/>
              </w:rPr>
            </w:pPr>
            <w:r>
              <w:rPr>
                <w:rFonts w:hAnsi="宋体" w:cs="宋体"/>
                <w:color w:val="auto"/>
                <w:sz w:val="24"/>
                <w:highlight w:val="none"/>
              </w:rPr>
              <w:t>投标人应提供服务本项目的应急预案。包括但不限于防汛及消防预案、医疗垃圾遗撒预案、针刺伤预案、特殊公共卫生应急预案。</w:t>
            </w:r>
          </w:p>
        </w:tc>
      </w:tr>
      <w:tr w14:paraId="41B290E6">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998C034">
            <w:pPr>
              <w:widowControl/>
              <w:spacing w:line="360" w:lineRule="auto"/>
              <w:jc w:val="left"/>
              <w:rPr>
                <w:rFonts w:ascii="宋体" w:hAnsi="宋体"/>
                <w:color w:val="auto"/>
                <w:sz w:val="24"/>
                <w:highlight w:val="none"/>
              </w:rPr>
            </w:pPr>
            <w:r>
              <w:rPr>
                <w:rFonts w:ascii="宋体" w:hAnsi="宋体"/>
                <w:color w:val="auto"/>
                <w:sz w:val="24"/>
                <w:highlight w:val="none"/>
              </w:rPr>
              <w:t>5</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5B11A90">
            <w:pPr>
              <w:spacing w:line="360" w:lineRule="auto"/>
              <w:rPr>
                <w:rFonts w:hint="eastAsia" w:ascii="宋体" w:hAnsi="宋体"/>
                <w:color w:val="auto"/>
                <w:sz w:val="24"/>
                <w:highlight w:val="none"/>
              </w:rPr>
            </w:pPr>
            <w:r>
              <w:rPr>
                <w:rFonts w:hint="eastAsia" w:ascii="宋体" w:hAnsi="宋体"/>
                <w:color w:val="auto"/>
                <w:sz w:val="24"/>
                <w:highlight w:val="none"/>
              </w:rPr>
              <w:t>服务验收要求</w:t>
            </w:r>
          </w:p>
        </w:tc>
        <w:tc>
          <w:tcPr>
            <w:tcW w:w="6555" w:type="dxa"/>
            <w:tcBorders>
              <w:top w:val="single" w:color="auto" w:sz="4" w:space="0"/>
              <w:left w:val="nil"/>
              <w:bottom w:val="single" w:color="auto" w:sz="4" w:space="0"/>
              <w:right w:val="single" w:color="auto" w:sz="4" w:space="0"/>
            </w:tcBorders>
            <w:noWrap w:val="0"/>
            <w:vAlign w:val="center"/>
          </w:tcPr>
          <w:p w14:paraId="674D2C94">
            <w:pPr>
              <w:spacing w:line="360" w:lineRule="auto"/>
              <w:rPr>
                <w:rFonts w:hint="eastAsia" w:ascii="宋体" w:hAnsi="宋体"/>
                <w:color w:val="auto"/>
                <w:sz w:val="24"/>
                <w:highlight w:val="none"/>
              </w:rPr>
            </w:pPr>
            <w:r>
              <w:rPr>
                <w:rFonts w:hint="eastAsia" w:ascii="宋体" w:hAnsi="宋体" w:cs="宋体"/>
                <w:color w:val="auto"/>
                <w:sz w:val="24"/>
                <w:highlight w:val="none"/>
              </w:rPr>
              <w:t>中标人每月满意度测评，85分以上为合格；服务期间未出现安全事件。</w:t>
            </w:r>
          </w:p>
        </w:tc>
      </w:tr>
      <w:tr w14:paraId="0F26B9B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AF5E395">
            <w:pPr>
              <w:spacing w:line="360" w:lineRule="auto"/>
              <w:rPr>
                <w:rFonts w:hint="eastAsia" w:ascii="宋体" w:hAnsi="宋体"/>
                <w:color w:val="auto"/>
                <w:sz w:val="24"/>
                <w:highlight w:val="none"/>
              </w:rPr>
            </w:pPr>
            <w:r>
              <w:rPr>
                <w:rFonts w:ascii="宋体" w:hAnsi="宋体"/>
                <w:color w:val="auto"/>
                <w:sz w:val="24"/>
                <w:highlight w:val="none"/>
              </w:rPr>
              <w:t>6</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A4ECE8C">
            <w:pPr>
              <w:spacing w:line="360" w:lineRule="auto"/>
              <w:rPr>
                <w:rFonts w:hint="eastAsia" w:ascii="宋体" w:hAnsi="宋体"/>
                <w:color w:val="auto"/>
                <w:sz w:val="24"/>
                <w:highlight w:val="none"/>
              </w:rPr>
            </w:pPr>
            <w:r>
              <w:rPr>
                <w:rFonts w:hint="eastAsia" w:ascii="宋体" w:hAnsi="宋体"/>
                <w:color w:val="auto"/>
                <w:sz w:val="24"/>
                <w:highlight w:val="none"/>
              </w:rPr>
              <w:t>其他要求</w:t>
            </w:r>
          </w:p>
        </w:tc>
        <w:tc>
          <w:tcPr>
            <w:tcW w:w="6555" w:type="dxa"/>
            <w:tcBorders>
              <w:top w:val="single" w:color="auto" w:sz="4" w:space="0"/>
              <w:left w:val="nil"/>
              <w:bottom w:val="single" w:color="auto" w:sz="4" w:space="0"/>
              <w:right w:val="single" w:color="auto" w:sz="4" w:space="0"/>
            </w:tcBorders>
            <w:noWrap w:val="0"/>
            <w:vAlign w:val="center"/>
          </w:tcPr>
          <w:p w14:paraId="685BA0C8">
            <w:pPr>
              <w:spacing w:line="360" w:lineRule="auto"/>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、负责医院内废弃纸箱的收集及整理后放置在指定地点，中标人员工不得私自买卖。</w:t>
            </w:r>
          </w:p>
          <w:p w14:paraId="763F1020">
            <w:pPr>
              <w:spacing w:line="360" w:lineRule="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、负责医院内保洁专用布草洗涤工作。</w:t>
            </w:r>
          </w:p>
          <w:p w14:paraId="6A9E1573">
            <w:pPr>
              <w:spacing w:line="360" w:lineRule="auto"/>
              <w:rPr>
                <w:rStyle w:val="52"/>
                <w:rFonts w:eastAsia="MingLiU"/>
                <w:color w:val="auto"/>
                <w:kern w:val="0"/>
                <w:highlight w:val="none"/>
                <w:lang w:eastAsia="zh-TW"/>
              </w:rPr>
            </w:pPr>
            <w:r>
              <w:rPr>
                <w:rFonts w:hint="eastAsia" w:ascii="宋体" w:hAnsi="宋体" w:cs="宋体"/>
                <w:color w:val="auto"/>
                <w:sz w:val="24"/>
                <w:highlight w:val="none"/>
              </w:rPr>
              <w:t>3.医院不为中标人提供办公场所及宿舍。</w:t>
            </w:r>
          </w:p>
          <w:p w14:paraId="404F0A8A">
            <w:pPr>
              <w:spacing w:line="360" w:lineRule="auto"/>
              <w:rPr>
                <w:rStyle w:val="52"/>
                <w:rFonts w:hint="eastAsia"/>
                <w:color w:val="auto"/>
                <w:kern w:val="0"/>
                <w:highlight w:val="none"/>
              </w:rPr>
            </w:pPr>
            <w:r>
              <w:rPr>
                <w:rFonts w:hint="eastAsia" w:ascii="宋体" w:hAnsi="宋体" w:cs="宋体"/>
                <w:color w:val="auto"/>
                <w:sz w:val="24"/>
                <w:highlight w:val="none"/>
              </w:rPr>
              <w:t>4.</w:t>
            </w:r>
            <w:r>
              <w:rPr>
                <w:rFonts w:hint="eastAsia" w:ascii="宋体" w:hAnsi="宋体" w:cs="宋体"/>
                <w:color w:val="auto"/>
                <w:sz w:val="24"/>
                <w:highlight w:val="none"/>
                <w:lang w:bidi="ar"/>
              </w:rPr>
              <w:t>组织相关岗位每半年至少开展一次专项应急预案演练。</w:t>
            </w:r>
          </w:p>
        </w:tc>
      </w:tr>
      <w:tr w14:paraId="0B7E516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8ECDFBE">
            <w:pPr>
              <w:spacing w:line="360" w:lineRule="auto"/>
              <w:rPr>
                <w:rFonts w:hint="eastAsia" w:ascii="宋体" w:hAnsi="宋体"/>
                <w:b/>
                <w:bCs/>
                <w:color w:val="auto"/>
                <w:sz w:val="24"/>
                <w:highlight w:val="none"/>
              </w:rPr>
            </w:pPr>
            <w:r>
              <w:rPr>
                <w:rFonts w:hint="eastAsia" w:ascii="宋体" w:hAnsi="宋体"/>
                <w:b/>
                <w:bCs/>
                <w:color w:val="auto"/>
                <w:sz w:val="24"/>
                <w:highlight w:val="none"/>
              </w:rPr>
              <w:t>二.</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0F964C">
            <w:pPr>
              <w:spacing w:line="360" w:lineRule="auto"/>
              <w:rPr>
                <w:rFonts w:ascii="宋体" w:hAnsi="宋体"/>
                <w:b/>
                <w:bCs/>
                <w:color w:val="auto"/>
                <w:sz w:val="24"/>
                <w:highlight w:val="none"/>
              </w:rPr>
            </w:pPr>
            <w:r>
              <w:rPr>
                <w:rFonts w:hint="eastAsia" w:ascii="宋体" w:hAnsi="宋体"/>
                <w:b/>
                <w:bCs/>
                <w:color w:val="auto"/>
                <w:sz w:val="24"/>
                <w:highlight w:val="none"/>
              </w:rPr>
              <w:t>投标人要求</w:t>
            </w:r>
          </w:p>
        </w:tc>
        <w:tc>
          <w:tcPr>
            <w:tcW w:w="6555" w:type="dxa"/>
            <w:tcBorders>
              <w:top w:val="single" w:color="auto" w:sz="4" w:space="0"/>
              <w:left w:val="nil"/>
              <w:bottom w:val="single" w:color="auto" w:sz="4" w:space="0"/>
              <w:right w:val="single" w:color="auto" w:sz="4" w:space="0"/>
            </w:tcBorders>
            <w:noWrap w:val="0"/>
            <w:vAlign w:val="center"/>
          </w:tcPr>
          <w:p w14:paraId="58D7D972">
            <w:pPr>
              <w:spacing w:line="360" w:lineRule="auto"/>
              <w:rPr>
                <w:rFonts w:hint="eastAsia" w:ascii="宋体" w:hAnsi="宋体"/>
                <w:color w:val="auto"/>
                <w:sz w:val="24"/>
                <w:highlight w:val="none"/>
              </w:rPr>
            </w:pPr>
          </w:p>
        </w:tc>
      </w:tr>
      <w:tr w14:paraId="05E648EF">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E83A322">
            <w:pPr>
              <w:spacing w:line="360" w:lineRule="auto"/>
              <w:rPr>
                <w:rFonts w:hint="eastAsia" w:ascii="宋体" w:hAnsi="宋体"/>
                <w:color w:val="auto"/>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1CBD2AF6">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类似物业服务项目案例</w:t>
            </w:r>
          </w:p>
        </w:tc>
        <w:tc>
          <w:tcPr>
            <w:tcW w:w="6555" w:type="dxa"/>
            <w:tcBorders>
              <w:top w:val="single" w:color="auto" w:sz="4" w:space="0"/>
              <w:left w:val="nil"/>
              <w:bottom w:val="single" w:color="auto" w:sz="4" w:space="0"/>
              <w:right w:val="single" w:color="auto" w:sz="4" w:space="0"/>
            </w:tcBorders>
            <w:noWrap w:val="0"/>
            <w:vAlign w:val="center"/>
          </w:tcPr>
          <w:p w14:paraId="4AEDE9FB">
            <w:pPr>
              <w:spacing w:line="360" w:lineRule="auto"/>
              <w:jc w:val="left"/>
              <w:rPr>
                <w:rFonts w:hint="eastAsia" w:ascii="宋体" w:hAnsi="宋体"/>
                <w:color w:val="auto"/>
                <w:sz w:val="24"/>
                <w:highlight w:val="none"/>
              </w:rPr>
            </w:pPr>
            <w:r>
              <w:rPr>
                <w:rFonts w:hint="eastAsia" w:ascii="宋体" w:hAnsi="宋体" w:cs="宋体"/>
                <w:color w:val="auto"/>
                <w:sz w:val="24"/>
                <w:highlight w:val="none"/>
              </w:rPr>
              <w:t xml:space="preserve">提供从2018年1月1日至递交投标文件截止日承担过的类似已实施及正在履约的物业服务项目（至少包含保洁内容）案例。 </w:t>
            </w:r>
            <w:r>
              <w:rPr>
                <w:rFonts w:hint="eastAsia" w:ascii="宋体" w:hAnsi="宋体"/>
                <w:color w:val="auto"/>
                <w:sz w:val="24"/>
                <w:highlight w:val="none"/>
              </w:rPr>
              <w:t xml:space="preserve">                                       </w:t>
            </w:r>
          </w:p>
        </w:tc>
      </w:tr>
      <w:tr w14:paraId="35D0F0E5">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B5A7C3C">
            <w:pPr>
              <w:widowControl/>
              <w:spacing w:line="360" w:lineRule="auto"/>
              <w:jc w:val="left"/>
              <w:rPr>
                <w:rFonts w:ascii="宋体" w:hAnsi="宋体"/>
                <w:color w:val="auto"/>
                <w:kern w:val="0"/>
                <w:sz w:val="24"/>
                <w:highlight w:val="none"/>
              </w:rPr>
            </w:pPr>
            <w:r>
              <w:rPr>
                <w:rFonts w:hint="eastAsia" w:ascii="宋体" w:hAnsi="宋体"/>
                <w:color w:val="auto"/>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39933A0B">
            <w:pPr>
              <w:spacing w:line="360" w:lineRule="auto"/>
              <w:rPr>
                <w:rFonts w:ascii="宋体" w:hAnsi="宋体"/>
                <w:color w:val="auto"/>
                <w:sz w:val="24"/>
                <w:highlight w:val="none"/>
              </w:rPr>
            </w:pPr>
            <w:r>
              <w:rPr>
                <w:rFonts w:hint="eastAsia" w:ascii="宋体" w:hAnsi="宋体"/>
                <w:color w:val="auto"/>
                <w:sz w:val="24"/>
                <w:highlight w:val="none"/>
              </w:rPr>
              <w:t>服务涉及零备件供应能力</w:t>
            </w:r>
          </w:p>
        </w:tc>
        <w:tc>
          <w:tcPr>
            <w:tcW w:w="6555" w:type="dxa"/>
            <w:tcBorders>
              <w:top w:val="single" w:color="auto" w:sz="4" w:space="0"/>
              <w:left w:val="nil"/>
              <w:bottom w:val="single" w:color="auto" w:sz="4" w:space="0"/>
              <w:right w:val="single" w:color="auto" w:sz="4" w:space="0"/>
            </w:tcBorders>
            <w:noWrap w:val="0"/>
            <w:vAlign w:val="center"/>
          </w:tcPr>
          <w:p w14:paraId="38ECE375">
            <w:pPr>
              <w:spacing w:line="360" w:lineRule="auto"/>
              <w:jc w:val="left"/>
              <w:rPr>
                <w:rFonts w:ascii="宋体" w:hAnsi="宋体"/>
                <w:color w:val="auto"/>
                <w:sz w:val="24"/>
                <w:highlight w:val="none"/>
              </w:rPr>
            </w:pPr>
            <w:r>
              <w:rPr>
                <w:rFonts w:hint="eastAsia" w:ascii="宋体" w:hAnsi="宋体"/>
                <w:color w:val="auto"/>
                <w:sz w:val="24"/>
                <w:highlight w:val="none"/>
              </w:rPr>
              <w:t>投标人为采购人公共区域卫生间提供不少于48个电子喷香机及所有包括但不限于喷香罐、耗材垃圾袋、清洁药剂、清洁工具等，并由投标人提供相应保洁工具，所有费用包含在投标报价中。</w:t>
            </w:r>
          </w:p>
          <w:p w14:paraId="2B3436B7">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（注：所有投标人提供的消毒品需接受采购人审核监督，满足采购人要求，院感备案、主管科室备案）。                                                   </w:t>
            </w:r>
          </w:p>
        </w:tc>
      </w:tr>
      <w:tr w14:paraId="056F96F3">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7B9705E">
            <w:pPr>
              <w:widowControl/>
              <w:spacing w:line="360" w:lineRule="auto"/>
              <w:jc w:val="left"/>
              <w:rPr>
                <w:rFonts w:hint="eastAsia" w:ascii="宋体" w:hAnsi="宋体"/>
                <w:color w:val="auto"/>
                <w:sz w:val="24"/>
                <w:highlight w:val="none"/>
              </w:rPr>
            </w:pPr>
            <w:r>
              <w:rPr>
                <w:rFonts w:hint="eastAsia" w:ascii="宋体" w:hAnsi="宋体"/>
                <w:color w:val="auto"/>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9B04066">
            <w:pPr>
              <w:spacing w:line="360" w:lineRule="auto"/>
              <w:rPr>
                <w:rFonts w:ascii="宋体" w:hAnsi="宋体"/>
                <w:color w:val="auto"/>
                <w:sz w:val="24"/>
                <w:highlight w:val="none"/>
              </w:rPr>
            </w:pPr>
            <w:r>
              <w:rPr>
                <w:rFonts w:hint="eastAsia" w:ascii="宋体" w:hAnsi="宋体"/>
                <w:color w:val="auto"/>
                <w:sz w:val="24"/>
                <w:highlight w:val="none"/>
              </w:rPr>
              <w:t>投标人提供服务涉及的场地、设备要求</w:t>
            </w:r>
          </w:p>
        </w:tc>
        <w:tc>
          <w:tcPr>
            <w:tcW w:w="6555" w:type="dxa"/>
            <w:tcBorders>
              <w:top w:val="single" w:color="auto" w:sz="4" w:space="0"/>
              <w:left w:val="nil"/>
              <w:bottom w:val="single" w:color="auto" w:sz="4" w:space="0"/>
              <w:right w:val="single" w:color="auto" w:sz="4" w:space="0"/>
            </w:tcBorders>
            <w:noWrap w:val="0"/>
            <w:vAlign w:val="center"/>
          </w:tcPr>
          <w:p w14:paraId="48083D21">
            <w:pPr>
              <w:spacing w:line="360" w:lineRule="auto"/>
              <w:jc w:val="left"/>
              <w:rPr>
                <w:rFonts w:hint="eastAsia" w:ascii="宋体" w:hAnsi="宋体"/>
                <w:color w:val="auto"/>
                <w:sz w:val="24"/>
                <w:highlight w:val="none"/>
              </w:rPr>
            </w:pPr>
            <w:r>
              <w:rPr>
                <w:rFonts w:hint="eastAsia" w:ascii="宋体" w:hAnsi="宋体"/>
                <w:color w:val="auto"/>
                <w:sz w:val="24"/>
                <w:highlight w:val="none"/>
              </w:rPr>
              <w:t>由采购人提供保洁物料、工具、应急物资的</w:t>
            </w:r>
            <w:r>
              <w:rPr>
                <w:rFonts w:hint="eastAsia" w:ascii="宋体" w:hAnsi="宋体" w:cs="宋体"/>
                <w:color w:val="auto"/>
                <w:sz w:val="24"/>
                <w:highlight w:val="none"/>
              </w:rPr>
              <w:t>库房、保洁专用布草洗涤房</w:t>
            </w:r>
            <w:r>
              <w:rPr>
                <w:rFonts w:hint="eastAsia" w:ascii="宋体" w:hAnsi="宋体"/>
                <w:color w:val="auto"/>
                <w:sz w:val="24"/>
                <w:highlight w:val="none"/>
              </w:rPr>
              <w:t xml:space="preserve">                                                  </w:t>
            </w:r>
          </w:p>
        </w:tc>
      </w:tr>
      <w:tr w14:paraId="55F90792">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9FB3922">
            <w:pPr>
              <w:widowControl/>
              <w:spacing w:line="360" w:lineRule="auto"/>
              <w:jc w:val="left"/>
              <w:rPr>
                <w:rFonts w:ascii="宋体" w:hAnsi="宋体"/>
                <w:color w:val="auto"/>
                <w:sz w:val="24"/>
                <w:highlight w:val="none"/>
              </w:rPr>
            </w:pPr>
            <w:r>
              <w:rPr>
                <w:rFonts w:hint="eastAsia" w:ascii="宋体" w:hAnsi="宋体"/>
                <w:color w:val="auto"/>
                <w:sz w:val="24"/>
                <w:highlight w:val="none"/>
              </w:rPr>
              <w:t>4</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6B1B8AE9">
            <w:pPr>
              <w:spacing w:line="360" w:lineRule="auto"/>
              <w:rPr>
                <w:rFonts w:ascii="宋体" w:hAnsi="宋体"/>
                <w:color w:val="auto"/>
                <w:sz w:val="24"/>
                <w:highlight w:val="none"/>
              </w:rPr>
            </w:pPr>
            <w:r>
              <w:rPr>
                <w:rFonts w:hint="eastAsia" w:ascii="宋体" w:hAnsi="宋体"/>
                <w:color w:val="auto"/>
                <w:sz w:val="24"/>
                <w:highlight w:val="none"/>
              </w:rPr>
              <w:t>服务涉及相关证书或认证</w:t>
            </w:r>
          </w:p>
        </w:tc>
        <w:tc>
          <w:tcPr>
            <w:tcW w:w="6555" w:type="dxa"/>
            <w:tcBorders>
              <w:top w:val="single" w:color="auto" w:sz="4" w:space="0"/>
              <w:left w:val="nil"/>
              <w:bottom w:val="single" w:color="auto" w:sz="4" w:space="0"/>
              <w:right w:val="single" w:color="auto" w:sz="4" w:space="0"/>
            </w:tcBorders>
            <w:noWrap w:val="0"/>
            <w:vAlign w:val="center"/>
          </w:tcPr>
          <w:p w14:paraId="26C06F01">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质量管理体系认证证书、 </w:t>
            </w:r>
          </w:p>
          <w:p w14:paraId="293D0845">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环境管理体系认证证书、 </w:t>
            </w:r>
          </w:p>
          <w:p w14:paraId="459156D5">
            <w:pPr>
              <w:spacing w:line="360" w:lineRule="auto"/>
              <w:jc w:val="left"/>
              <w:rPr>
                <w:rFonts w:hint="eastAsia" w:ascii="宋体" w:hAnsi="宋体"/>
                <w:color w:val="auto"/>
                <w:sz w:val="24"/>
                <w:highlight w:val="none"/>
              </w:rPr>
            </w:pPr>
            <w:r>
              <w:rPr>
                <w:rFonts w:hint="eastAsia" w:ascii="宋体" w:hAnsi="宋体" w:cs="宋体"/>
                <w:color w:val="auto"/>
                <w:kern w:val="0"/>
                <w:sz w:val="24"/>
                <w:highlight w:val="none"/>
              </w:rPr>
              <w:t>职业健康安全管理体系认证证书</w:t>
            </w:r>
            <w:r>
              <w:rPr>
                <w:rFonts w:hint="eastAsia" w:ascii="宋体" w:hAnsi="宋体"/>
                <w:color w:val="auto"/>
                <w:sz w:val="24"/>
                <w:highlight w:val="none"/>
              </w:rPr>
              <w:t xml:space="preserve">。                                                   </w:t>
            </w:r>
          </w:p>
        </w:tc>
      </w:tr>
      <w:tr w14:paraId="106585E1">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BFFEF15">
            <w:pPr>
              <w:spacing w:line="360" w:lineRule="auto"/>
              <w:rPr>
                <w:rFonts w:hint="eastAsia" w:ascii="宋体" w:hAnsi="宋体"/>
                <w:b/>
                <w:bCs/>
                <w:color w:val="auto"/>
                <w:sz w:val="24"/>
                <w:highlight w:val="none"/>
              </w:rPr>
            </w:pPr>
            <w:r>
              <w:rPr>
                <w:rFonts w:hint="eastAsia" w:ascii="宋体" w:hAnsi="宋体"/>
                <w:b/>
                <w:bCs/>
                <w:color w:val="auto"/>
                <w:sz w:val="24"/>
                <w:highlight w:val="none"/>
              </w:rPr>
              <w:t>四.</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E206AEB">
            <w:pPr>
              <w:spacing w:line="360" w:lineRule="auto"/>
              <w:rPr>
                <w:rFonts w:ascii="宋体" w:hAnsi="宋体"/>
                <w:b/>
                <w:bCs/>
                <w:color w:val="auto"/>
                <w:sz w:val="24"/>
                <w:highlight w:val="none"/>
              </w:rPr>
            </w:pPr>
            <w:r>
              <w:rPr>
                <w:rFonts w:hint="eastAsia" w:ascii="宋体" w:hAnsi="宋体"/>
                <w:b/>
                <w:bCs/>
                <w:color w:val="auto"/>
                <w:sz w:val="24"/>
                <w:highlight w:val="none"/>
              </w:rPr>
              <w:t>人员配置</w:t>
            </w:r>
          </w:p>
        </w:tc>
        <w:tc>
          <w:tcPr>
            <w:tcW w:w="6555" w:type="dxa"/>
            <w:tcBorders>
              <w:top w:val="single" w:color="auto" w:sz="4" w:space="0"/>
              <w:left w:val="nil"/>
              <w:bottom w:val="single" w:color="auto" w:sz="4" w:space="0"/>
              <w:right w:val="single" w:color="auto" w:sz="4" w:space="0"/>
            </w:tcBorders>
            <w:noWrap w:val="0"/>
            <w:vAlign w:val="center"/>
          </w:tcPr>
          <w:p w14:paraId="120F5CBD">
            <w:pPr>
              <w:spacing w:line="360" w:lineRule="auto"/>
              <w:rPr>
                <w:rFonts w:hint="eastAsia" w:ascii="宋体" w:hAnsi="宋体"/>
                <w:color w:val="auto"/>
                <w:sz w:val="24"/>
                <w:highlight w:val="none"/>
              </w:rPr>
            </w:pPr>
            <w:r>
              <w:rPr>
                <w:rFonts w:hint="eastAsia" w:ascii="宋体" w:hAnsi="宋体" w:cs="宋体"/>
                <w:color w:val="auto"/>
                <w:sz w:val="24"/>
                <w:highlight w:val="none"/>
              </w:rPr>
              <w:t>共需求 18</w:t>
            </w:r>
            <w:r>
              <w:rPr>
                <w:rFonts w:ascii="宋体" w:hAnsi="宋体" w:cs="宋体"/>
                <w:color w:val="auto"/>
                <w:sz w:val="24"/>
                <w:highlight w:val="none"/>
              </w:rPr>
              <w:t>1</w:t>
            </w:r>
            <w:r>
              <w:rPr>
                <w:rFonts w:hint="eastAsia" w:ascii="宋体" w:hAnsi="宋体" w:cs="宋体"/>
                <w:color w:val="auto"/>
                <w:sz w:val="24"/>
                <w:highlight w:val="none"/>
              </w:rPr>
              <w:t>岗：其中项目负责人1岗，保洁主管5岗 ，日常保洁</w:t>
            </w:r>
            <w:r>
              <w:rPr>
                <w:rFonts w:ascii="宋体" w:hAnsi="宋体" w:cs="宋体"/>
                <w:color w:val="auto"/>
                <w:sz w:val="24"/>
                <w:highlight w:val="none"/>
              </w:rPr>
              <w:t>148</w:t>
            </w:r>
            <w:r>
              <w:rPr>
                <w:rFonts w:hint="eastAsia" w:ascii="宋体" w:hAnsi="宋体" w:cs="宋体"/>
                <w:color w:val="auto"/>
                <w:sz w:val="24"/>
                <w:highlight w:val="none"/>
              </w:rPr>
              <w:t xml:space="preserve">岗，其他 </w:t>
            </w:r>
            <w:r>
              <w:rPr>
                <w:rFonts w:ascii="宋体" w:hAnsi="宋体" w:cs="宋体"/>
                <w:color w:val="auto"/>
                <w:sz w:val="24"/>
                <w:highlight w:val="none"/>
              </w:rPr>
              <w:t>27</w:t>
            </w:r>
            <w:r>
              <w:rPr>
                <w:rFonts w:hint="eastAsia" w:ascii="宋体" w:hAnsi="宋体" w:cs="宋体"/>
                <w:color w:val="auto"/>
                <w:sz w:val="24"/>
                <w:highlight w:val="none"/>
              </w:rPr>
              <w:t xml:space="preserve"> 岗（含专项、保洁专用布草洗涤房、库管、夜班巡视保洁）。</w:t>
            </w:r>
          </w:p>
        </w:tc>
      </w:tr>
      <w:tr w14:paraId="2C168D17">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A830C0A">
            <w:pPr>
              <w:spacing w:line="360" w:lineRule="auto"/>
              <w:rPr>
                <w:rFonts w:hint="eastAsia" w:ascii="宋体" w:hAnsi="宋体"/>
                <w:color w:val="auto"/>
                <w:sz w:val="24"/>
                <w:highlight w:val="none"/>
              </w:rPr>
            </w:pPr>
            <w:r>
              <w:rPr>
                <w:rFonts w:hint="eastAsia" w:ascii="宋体" w:hAnsi="宋体"/>
                <w:color w:val="auto"/>
                <w:sz w:val="24"/>
                <w:highlight w:val="none"/>
              </w:rPr>
              <w:t>1</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5DDD8E9A">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提供服务岗位数</w:t>
            </w:r>
          </w:p>
        </w:tc>
        <w:tc>
          <w:tcPr>
            <w:tcW w:w="6555" w:type="dxa"/>
            <w:tcBorders>
              <w:top w:val="single" w:color="auto" w:sz="4" w:space="0"/>
              <w:left w:val="nil"/>
              <w:bottom w:val="single" w:color="auto" w:sz="4" w:space="0"/>
              <w:right w:val="single" w:color="auto" w:sz="4" w:space="0"/>
            </w:tcBorders>
            <w:noWrap w:val="0"/>
            <w:vAlign w:val="center"/>
          </w:tcPr>
          <w:p w14:paraId="7E081384">
            <w:pPr>
              <w:spacing w:line="360" w:lineRule="auto"/>
              <w:rPr>
                <w:rFonts w:hint="eastAsia"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岗</w:t>
            </w:r>
          </w:p>
        </w:tc>
      </w:tr>
      <w:tr w14:paraId="336D36FB">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A5FA754">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2</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24142B10">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提供服务人员资质</w:t>
            </w:r>
          </w:p>
        </w:tc>
        <w:tc>
          <w:tcPr>
            <w:tcW w:w="6555" w:type="dxa"/>
            <w:tcBorders>
              <w:top w:val="single" w:color="auto" w:sz="4" w:space="0"/>
              <w:left w:val="nil"/>
              <w:bottom w:val="single" w:color="auto" w:sz="4" w:space="0"/>
              <w:right w:val="single" w:color="auto" w:sz="4" w:space="0"/>
            </w:tcBorders>
            <w:noWrap w:val="0"/>
            <w:vAlign w:val="center"/>
          </w:tcPr>
          <w:p w14:paraId="10DFA752">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投标人项目负责人</w:t>
            </w:r>
            <w:r>
              <w:rPr>
                <w:rFonts w:hint="eastAsia" w:ascii="宋体" w:hAnsi="宋体" w:cs="宋体"/>
                <w:color w:val="auto"/>
                <w:sz w:val="24"/>
                <w:highlight w:val="none"/>
              </w:rPr>
              <w:t>需大学本科及以上学历；具有一年（含）以上医院类保洁服务管理经验，出具项目负责人和保洁主管的聘用合同。（加盖公章）</w:t>
            </w:r>
          </w:p>
        </w:tc>
      </w:tr>
      <w:tr w14:paraId="3F2F449B">
        <w:tblPrEx>
          <w:tblCellMar>
            <w:top w:w="0" w:type="dxa"/>
            <w:left w:w="108" w:type="dxa"/>
            <w:bottom w:w="0" w:type="dxa"/>
            <w:right w:w="108" w:type="dxa"/>
          </w:tblCellMar>
        </w:tblPrEx>
        <w:trPr>
          <w:trHeight w:val="70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1464AEF">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3</w:t>
            </w:r>
          </w:p>
        </w:tc>
        <w:tc>
          <w:tcPr>
            <w:tcW w:w="2390" w:type="dxa"/>
            <w:tcBorders>
              <w:top w:val="single" w:color="auto" w:sz="4" w:space="0"/>
              <w:left w:val="single" w:color="auto" w:sz="4" w:space="0"/>
              <w:bottom w:val="single" w:color="auto" w:sz="4" w:space="0"/>
              <w:right w:val="single" w:color="auto" w:sz="4" w:space="0"/>
            </w:tcBorders>
            <w:noWrap w:val="0"/>
            <w:vAlign w:val="center"/>
          </w:tcPr>
          <w:p w14:paraId="434AECF9">
            <w:pPr>
              <w:widowControl/>
              <w:spacing w:line="360" w:lineRule="auto"/>
              <w:jc w:val="left"/>
              <w:rPr>
                <w:rFonts w:ascii="宋体" w:hAnsi="宋体"/>
                <w:color w:val="auto"/>
                <w:kern w:val="0"/>
                <w:sz w:val="24"/>
                <w:highlight w:val="none"/>
              </w:rPr>
            </w:pPr>
            <w:r>
              <w:rPr>
                <w:rFonts w:hint="eastAsia" w:ascii="宋体" w:hAnsi="宋体"/>
                <w:color w:val="auto"/>
                <w:kern w:val="0"/>
                <w:sz w:val="24"/>
                <w:highlight w:val="none"/>
              </w:rPr>
              <w:t>人员管理制度和配置方案</w:t>
            </w:r>
          </w:p>
        </w:tc>
        <w:tc>
          <w:tcPr>
            <w:tcW w:w="6555" w:type="dxa"/>
            <w:tcBorders>
              <w:top w:val="single" w:color="auto" w:sz="4" w:space="0"/>
              <w:left w:val="nil"/>
              <w:bottom w:val="single" w:color="auto" w:sz="4" w:space="0"/>
              <w:right w:val="single" w:color="auto" w:sz="4" w:space="0"/>
            </w:tcBorders>
            <w:noWrap w:val="0"/>
            <w:vAlign w:val="center"/>
          </w:tcPr>
          <w:p w14:paraId="4064F8D2">
            <w:pPr>
              <w:spacing w:line="360" w:lineRule="auto"/>
              <w:jc w:val="left"/>
              <w:rPr>
                <w:rFonts w:hint="eastAsia" w:ascii="宋体" w:hAnsi="宋体"/>
                <w:color w:val="auto"/>
                <w:sz w:val="24"/>
                <w:highlight w:val="none"/>
              </w:rPr>
            </w:pPr>
            <w:r>
              <w:rPr>
                <w:rFonts w:hint="eastAsia" w:ascii="宋体" w:hAnsi="宋体"/>
                <w:color w:val="auto"/>
                <w:sz w:val="24"/>
                <w:highlight w:val="none"/>
              </w:rPr>
              <w:t>1、人员配备方案包括但不限于考勤制度方案、培训制度方案、人员管理制度方案等。</w:t>
            </w:r>
          </w:p>
          <w:p w14:paraId="33F66460">
            <w:pPr>
              <w:spacing w:line="360" w:lineRule="auto"/>
              <w:jc w:val="left"/>
              <w:rPr>
                <w:rFonts w:hint="eastAsia" w:ascii="宋体" w:hAnsi="宋体"/>
                <w:color w:val="auto"/>
                <w:sz w:val="24"/>
                <w:highlight w:val="none"/>
              </w:rPr>
            </w:pPr>
            <w:r>
              <w:rPr>
                <w:rFonts w:hint="eastAsia" w:ascii="宋体" w:hAnsi="宋体"/>
                <w:color w:val="auto"/>
                <w:sz w:val="24"/>
                <w:highlight w:val="none"/>
              </w:rPr>
              <w:t>2、岗位需求明细：</w:t>
            </w:r>
          </w:p>
          <w:p w14:paraId="10629FA2">
            <w:pPr>
              <w:spacing w:line="360" w:lineRule="auto"/>
              <w:jc w:val="left"/>
              <w:rPr>
                <w:rFonts w:hint="eastAsia" w:ascii="宋体" w:hAnsi="宋体"/>
                <w:color w:val="auto"/>
                <w:sz w:val="24"/>
                <w:highlight w:val="none"/>
              </w:rPr>
            </w:pPr>
            <w:r>
              <w:rPr>
                <w:rFonts w:hint="eastAsia" w:ascii="宋体" w:hAnsi="宋体"/>
                <w:color w:val="auto"/>
                <w:sz w:val="24"/>
                <w:highlight w:val="none"/>
              </w:rPr>
              <w:t>本院区保洁服务人员：168岗；</w:t>
            </w:r>
          </w:p>
          <w:p w14:paraId="2D5D7445">
            <w:pPr>
              <w:spacing w:line="360" w:lineRule="auto"/>
              <w:jc w:val="left"/>
              <w:rPr>
                <w:rFonts w:hint="eastAsia" w:ascii="宋体" w:hAnsi="宋体"/>
                <w:color w:val="auto"/>
                <w:sz w:val="24"/>
                <w:highlight w:val="none"/>
              </w:rPr>
            </w:pPr>
            <w:r>
              <w:rPr>
                <w:rFonts w:hint="eastAsia" w:ascii="宋体" w:hAnsi="宋体"/>
                <w:color w:val="auto"/>
                <w:sz w:val="24"/>
                <w:highlight w:val="none"/>
              </w:rPr>
              <w:t>CRC保洁服务人员：2岗；</w:t>
            </w:r>
          </w:p>
          <w:p w14:paraId="647A91C2">
            <w:pPr>
              <w:spacing w:line="360" w:lineRule="auto"/>
              <w:jc w:val="left"/>
              <w:rPr>
                <w:rFonts w:hint="eastAsia" w:ascii="宋体" w:hAnsi="宋体"/>
                <w:color w:val="auto"/>
                <w:sz w:val="24"/>
                <w:highlight w:val="none"/>
              </w:rPr>
            </w:pPr>
            <w:r>
              <w:rPr>
                <w:rFonts w:hint="eastAsia" w:ascii="宋体" w:hAnsi="宋体"/>
                <w:color w:val="auto"/>
                <w:sz w:val="24"/>
                <w:highlight w:val="none"/>
              </w:rPr>
              <w:t>北院区保洁服务人员：1</w:t>
            </w:r>
            <w:r>
              <w:rPr>
                <w:rFonts w:ascii="宋体" w:hAnsi="宋体"/>
                <w:color w:val="auto"/>
                <w:sz w:val="24"/>
                <w:highlight w:val="none"/>
              </w:rPr>
              <w:t>1</w:t>
            </w:r>
            <w:r>
              <w:rPr>
                <w:rFonts w:hint="eastAsia" w:ascii="宋体" w:hAnsi="宋体"/>
                <w:color w:val="auto"/>
                <w:sz w:val="24"/>
                <w:highlight w:val="none"/>
              </w:rPr>
              <w:t>岗；</w:t>
            </w:r>
          </w:p>
          <w:p w14:paraId="2D808B2E">
            <w:pPr>
              <w:spacing w:line="360" w:lineRule="auto"/>
              <w:jc w:val="left"/>
              <w:rPr>
                <w:rFonts w:hint="eastAsia" w:ascii="宋体" w:hAnsi="宋体"/>
                <w:color w:val="auto"/>
                <w:sz w:val="24"/>
                <w:highlight w:val="none"/>
              </w:rPr>
            </w:pPr>
            <w:r>
              <w:rPr>
                <w:rFonts w:hint="eastAsia" w:ascii="宋体" w:hAnsi="宋体"/>
                <w:color w:val="auto"/>
                <w:sz w:val="24"/>
                <w:highlight w:val="none"/>
              </w:rPr>
              <w:t>接受采购人岗位安排。</w:t>
            </w:r>
          </w:p>
        </w:tc>
      </w:tr>
    </w:tbl>
    <w:p w14:paraId="7CD10E54">
      <w:pPr>
        <w:spacing w:line="360" w:lineRule="auto"/>
        <w:contextualSpacing/>
        <w:rPr>
          <w:rFonts w:hint="eastAsia"/>
          <w:color w:val="auto"/>
          <w:sz w:val="24"/>
          <w:highlight w:val="none"/>
        </w:rPr>
      </w:pPr>
    </w:p>
    <w:p w14:paraId="78EFD2C2">
      <w:pPr>
        <w:spacing w:line="440" w:lineRule="exact"/>
        <w:rPr>
          <w:b/>
          <w:color w:val="auto"/>
          <w:highlight w:val="none"/>
        </w:rPr>
      </w:pPr>
    </w:p>
    <w:p w14:paraId="4AF50012">
      <w:pPr>
        <w:autoSpaceDE w:val="0"/>
        <w:autoSpaceDN w:val="0"/>
        <w:rPr>
          <w:bCs/>
          <w:color w:val="auto"/>
          <w:highlight w:val="none"/>
        </w:rPr>
      </w:pPr>
    </w:p>
    <w:p w14:paraId="61AA9B92">
      <w:pPr>
        <w:rPr>
          <w:color w:val="auto"/>
          <w:highlight w:val="none"/>
        </w:rPr>
      </w:pPr>
    </w:p>
    <w:p w14:paraId="6C013CF8">
      <w:pPr>
        <w:spacing w:line="360" w:lineRule="auto"/>
        <w:jc w:val="center"/>
        <w:outlineLvl w:val="0"/>
        <w:rPr>
          <w:b/>
          <w:color w:val="auto"/>
          <w:sz w:val="36"/>
          <w:szCs w:val="36"/>
          <w:highlight w:val="none"/>
        </w:rPr>
      </w:pPr>
      <w:r>
        <w:rPr>
          <w:b/>
          <w:color w:val="auto"/>
          <w:sz w:val="36"/>
          <w:szCs w:val="36"/>
          <w:highlight w:val="none"/>
        </w:rPr>
        <w:br w:type="page"/>
      </w:r>
      <w:bookmarkStart w:id="851" w:name="_Toc99301425"/>
      <w:bookmarkStart w:id="852" w:name="_Toc30531"/>
      <w:r>
        <w:rPr>
          <w:b/>
          <w:color w:val="auto"/>
          <w:sz w:val="36"/>
          <w:szCs w:val="36"/>
          <w:highlight w:val="none"/>
        </w:rPr>
        <w:t>第六章   拟签订的合同文本</w:t>
      </w:r>
      <w:bookmarkEnd w:id="851"/>
      <w:bookmarkEnd w:id="852"/>
    </w:p>
    <w:p w14:paraId="29A06AA5">
      <w:pPr>
        <w:tabs>
          <w:tab w:val="left" w:pos="900"/>
          <w:tab w:val="left" w:pos="1080"/>
        </w:tabs>
        <w:snapToGrid w:val="0"/>
        <w:spacing w:line="360" w:lineRule="auto"/>
        <w:rPr>
          <w:color w:val="auto"/>
          <w:kern w:val="0"/>
          <w:sz w:val="18"/>
          <w:szCs w:val="18"/>
          <w:highlight w:val="none"/>
        </w:rPr>
      </w:pPr>
    </w:p>
    <w:p w14:paraId="34FD6359">
      <w:pPr>
        <w:adjustRightInd w:val="0"/>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物业服务合同</w:t>
      </w:r>
    </w:p>
    <w:p w14:paraId="73CA77B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甲方：北京肿瘤医院</w:t>
      </w:r>
    </w:p>
    <w:p w14:paraId="0CD4CD1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住所地：北京市海淀区阜成路52号</w:t>
      </w:r>
    </w:p>
    <w:p w14:paraId="17666706">
      <w:pPr>
        <w:adjustRightInd w:val="0"/>
        <w:snapToGrid w:val="0"/>
        <w:spacing w:line="360" w:lineRule="auto"/>
        <w:rPr>
          <w:rFonts w:ascii="宋体" w:hAnsi="宋体" w:cs="宋体"/>
          <w:color w:val="auto"/>
          <w:szCs w:val="21"/>
          <w:highlight w:val="none"/>
        </w:rPr>
      </w:pPr>
    </w:p>
    <w:p w14:paraId="2233BBB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 </w:t>
      </w:r>
    </w:p>
    <w:p w14:paraId="4946E83B">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住所地：</w:t>
      </w:r>
    </w:p>
    <w:p w14:paraId="6BE5B9F0">
      <w:pPr>
        <w:adjustRightInd w:val="0"/>
        <w:snapToGrid w:val="0"/>
        <w:spacing w:line="360" w:lineRule="auto"/>
        <w:rPr>
          <w:rFonts w:ascii="宋体" w:hAnsi="宋体" w:cs="宋体"/>
          <w:color w:val="auto"/>
          <w:szCs w:val="21"/>
          <w:highlight w:val="none"/>
        </w:rPr>
      </w:pPr>
    </w:p>
    <w:p w14:paraId="1D975A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就乙方向甲方提供物业服务（保洁）之相关事宜，依照《中华人民共和国民法典》等法律法规，遵循平等、自愿、公平和诚实信用的原则，经友好协商，本着平等互利、双方自愿的原则签订本合同，以便共同遵守。</w:t>
      </w:r>
    </w:p>
    <w:p w14:paraId="2789EDC2">
      <w:pPr>
        <w:adjustRightInd w:val="0"/>
        <w:snapToGrid w:val="0"/>
        <w:spacing w:line="360" w:lineRule="auto"/>
        <w:rPr>
          <w:rFonts w:ascii="宋体" w:hAnsi="宋体" w:cs="宋体"/>
          <w:b/>
          <w:color w:val="auto"/>
          <w:szCs w:val="21"/>
          <w:highlight w:val="none"/>
        </w:rPr>
      </w:pPr>
    </w:p>
    <w:p w14:paraId="61290082">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第一条　服务项目</w:t>
      </w:r>
    </w:p>
    <w:p w14:paraId="5054844C">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1、服务内容：北京肿瘤医院物业服务（保洁）</w:t>
      </w:r>
    </w:p>
    <w:p w14:paraId="61D8BB4E">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2、服务区域：负责我院内科楼、外科楼、门诊楼、地下车库及放射用房、西侧楼、科研楼、CRC办公区、北院1-5层办公及门诊区域、手术室、外保洁服务范围、生活及医疗垃圾清运。</w:t>
      </w:r>
    </w:p>
    <w:p w14:paraId="007955F6">
      <w:pPr>
        <w:adjustRightInd w:val="0"/>
        <w:snapToGrid w:val="0"/>
        <w:spacing w:line="360" w:lineRule="auto"/>
        <w:ind w:left="480"/>
        <w:rPr>
          <w:rFonts w:ascii="宋体" w:hAnsi="宋体" w:cs="宋体"/>
          <w:color w:val="auto"/>
          <w:szCs w:val="21"/>
          <w:highlight w:val="none"/>
        </w:rPr>
      </w:pPr>
      <w:r>
        <w:rPr>
          <w:rFonts w:hint="eastAsia" w:ascii="宋体" w:hAnsi="宋体" w:cs="宋体"/>
          <w:color w:val="auto"/>
          <w:szCs w:val="21"/>
          <w:highlight w:val="none"/>
        </w:rPr>
        <w:t>3、服务期限：2年，自20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608B0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4、下列文件构成本合同的组成部分，应该认为是一个整体，彼此相互解释，相互补充。为便于解释，组成本合同的多个文件的优先支配地位的次序如下：</w:t>
      </w:r>
    </w:p>
    <w:p w14:paraId="7F986A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（1）本合同及附件</w:t>
      </w:r>
    </w:p>
    <w:p w14:paraId="6C2EB4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14:paraId="47B140C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 (含招标文件补充通知)</w:t>
      </w:r>
    </w:p>
    <w:p w14:paraId="7AECED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 (含澄清文件)</w:t>
      </w:r>
    </w:p>
    <w:p w14:paraId="0296F4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5、服务要求</w:t>
      </w:r>
    </w:p>
    <w:p w14:paraId="594598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（1）乙方应认真完成作业项目，达到标准，确保工作质量，确保甲方对乙方的服务满意。乙方应每月征求甲方临床工作人员对乙方服务工作的意见，并将结果向甲方汇报。</w:t>
      </w:r>
    </w:p>
    <w:p w14:paraId="71A995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（2）乙方在承担的工作范围内，需力保达到服务标准并不断提高服务质量。甲方有权每月进行满意度调查，满意度调查结果不得低于85%。调查对象为甲方的全部工作人员。</w:t>
      </w:r>
    </w:p>
    <w:p w14:paraId="501AC832">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（3）甲方不向乙方提供办公场所及宿舍。</w:t>
      </w:r>
    </w:p>
    <w:p w14:paraId="44021392">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6、保洁服务标准</w:t>
      </w:r>
    </w:p>
    <w:p w14:paraId="162A207D">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乙方应根据DB11/T 1863—2021《医疗机构保洁服务规范》、WS/T 512—2016《医疗机构环境表面清洁与消毒管理规范》、环发〔2003〕206号《医疗废物集中处置技术规范》中的有关规定，制定符合本项目的服务方案并向甲方提交。</w:t>
      </w:r>
    </w:p>
    <w:p w14:paraId="0E2225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向甲方提供的服务方案，内容包括但不限于：安全管理制度、人员管理制度、考勤制度、清洁服务方案、垃圾处理方案、预防交叉感染控制方案、信息化管理方案、人员稳定性及培训方案、清洁设备配备方案（包含清洁机械配备方案、清洁耗材配备方案）。</w:t>
      </w:r>
    </w:p>
    <w:p w14:paraId="7F91B7D0">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乙方还应向甲方提供应急预案，内容包括但不限于防汛、消防、医疗垃圾遗撒、针刺伤、特殊公共卫生应急预案。</w:t>
      </w:r>
    </w:p>
    <w:p w14:paraId="1CD7C7C8">
      <w:pPr>
        <w:adjustRightInd w:val="0"/>
        <w:snapToGrid w:val="0"/>
        <w:spacing w:line="360" w:lineRule="auto"/>
        <w:rPr>
          <w:rFonts w:ascii="宋体" w:hAnsi="宋体" w:cs="宋体"/>
          <w:b/>
          <w:color w:val="auto"/>
          <w:szCs w:val="21"/>
          <w:highlight w:val="none"/>
        </w:rPr>
      </w:pPr>
    </w:p>
    <w:p w14:paraId="74C6F7E1">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第二条　服务费用</w:t>
      </w:r>
    </w:p>
    <w:p w14:paraId="0136A81B">
      <w:pPr>
        <w:tabs>
          <w:tab w:val="left" w:pos="900"/>
          <w:tab w:val="left" w:pos="108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1、本合同的合计物业服务费金额为人民币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）。具体支付金额如下：</w:t>
      </w:r>
    </w:p>
    <w:p w14:paraId="75209F1F">
      <w:pPr>
        <w:tabs>
          <w:tab w:val="left" w:pos="900"/>
          <w:tab w:val="left" w:pos="108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日期间，共个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月，甲方每月向乙方支付本院区物业服务费为人民币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11DA7D6">
      <w:pPr>
        <w:tabs>
          <w:tab w:val="left" w:pos="900"/>
          <w:tab w:val="left" w:pos="108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乙方设置的服务总岗位为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岗，平均单价为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元/岗/月。</w:t>
      </w:r>
    </w:p>
    <w:p w14:paraId="374DD619">
      <w:pPr>
        <w:tabs>
          <w:tab w:val="left" w:pos="900"/>
          <w:tab w:val="left" w:pos="108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2、在本合同履行过程中，如需追加甲方与合同标的相同的服务岗位，</w:t>
      </w:r>
      <w:r>
        <w:rPr>
          <w:rFonts w:hint="eastAsia"/>
          <w:color w:val="auto"/>
          <w:highlight w:val="none"/>
        </w:rPr>
        <w:t>在不改变合同其他条款的前提下，与乙方协商签订补充合同，但所有补充合同的采购金额不得超过原合同采购金额的百分之十。</w:t>
      </w:r>
    </w:p>
    <w:p w14:paraId="0179B72F">
      <w:pPr>
        <w:pStyle w:val="15"/>
        <w:spacing w:line="360" w:lineRule="auto"/>
        <w:rPr>
          <w:rFonts w:hint="eastAsia"/>
          <w:color w:val="auto"/>
          <w:highlight w:val="none"/>
        </w:rPr>
      </w:pPr>
      <w:r>
        <w:rPr>
          <w:rFonts w:hint="eastAsia" w:ascii="宋体" w:hAnsi="宋体" w:cs="宋体"/>
          <w:color w:val="auto"/>
          <w:szCs w:val="21"/>
          <w:highlight w:val="none"/>
        </w:rPr>
        <w:t>3、为保证服务质量，合同期内</w:t>
      </w:r>
      <w:r>
        <w:rPr>
          <w:rFonts w:hint="eastAsia"/>
          <w:color w:val="auto"/>
          <w:highlight w:val="none"/>
        </w:rPr>
        <w:t>继续履行将损害国家利益和社会公共利益的，甲乙双方应当变更、中止或者终止合同。有过错的一方应当承担赔偿责任，双方都有过错的，各自承担相应的责任。</w:t>
      </w:r>
    </w:p>
    <w:p w14:paraId="52E42D6F">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4、在本合同履行过程中，乙方应按照本合同约定的岗位数量安排工作，不接受任何程度的缺岗。</w:t>
      </w:r>
    </w:p>
    <w:p w14:paraId="60D144C5">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第三条　甲乙双方的责任</w:t>
      </w:r>
    </w:p>
    <w:p w14:paraId="1E3B9D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（一）甲方责任</w:t>
      </w:r>
    </w:p>
    <w:p w14:paraId="255C797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1、按本合同约定向乙方支付服务费用。</w:t>
      </w:r>
    </w:p>
    <w:p w14:paraId="536D9F4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2、无偿为乙方提供履行本合同所需的用水、电等能源。</w:t>
      </w:r>
    </w:p>
    <w:p w14:paraId="5262A0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3、对乙方服务质量应及时监督检查，发现质量问题及时要求乙方返工，直至达到质量标准。</w:t>
      </w:r>
    </w:p>
    <w:p w14:paraId="604A44A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4、为乙方提供保洁物料、工具、应急物资的库房、保洁专用布草洗涤房，不提供办公场所及宿舍。</w:t>
      </w:r>
    </w:p>
    <w:p w14:paraId="406891C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5、甲方应提前七天以书面形式通知乙方进驻现场。</w:t>
      </w:r>
    </w:p>
    <w:p w14:paraId="7B4D3D7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6、积极采纳乙方在卫生保洁方面的合理化建设，协助乙方处理有关投诉。</w:t>
      </w:r>
    </w:p>
    <w:p w14:paraId="0501E2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（二）乙方责任</w:t>
      </w:r>
    </w:p>
    <w:p w14:paraId="3AAB07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1、乙方收到甲方进驻员现场书面通知后，要积极做好准备，准时进驻现场。</w:t>
      </w:r>
    </w:p>
    <w:p w14:paraId="572688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2、乙方如在甲方设立办公场所。办公场所在业务上受乙方和甲方双重监督、领导。</w:t>
      </w:r>
    </w:p>
    <w:p w14:paraId="27DDA6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3、认真完成本合同规定的各项标准，确保卫生质量，达到甲方满意。</w:t>
      </w:r>
    </w:p>
    <w:p w14:paraId="352E334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4、乙方自20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日期间，投入的服务总岗位为＿岗，乙方应根据现场需要合理安排人员岗位，保证各项工作质量。</w:t>
      </w:r>
    </w:p>
    <w:p w14:paraId="2742D6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5、乙方人员要统一着装，衣帽整洁，配戴本公司名牌，进入工作现场的出入证由甲方配发，遵守甲方各项内部规章制度，乙方不得在甲方服务区域内未经甲方同意擅自承揽业务。</w:t>
      </w:r>
    </w:p>
    <w:p w14:paraId="1F4C29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6、乙方员工在工作期间不得随意离开工作岗位，若乙方主管负责人不在作业现场，乙方临时负责人应接受甲方主管负责人的监督指导，并按甲方的工作标准进行检查。</w:t>
      </w:r>
    </w:p>
    <w:p w14:paraId="299B2FF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7、乙方应与乙方员工签订劳动协议，并办理各种用工手续，</w:t>
      </w:r>
      <w:bookmarkStart w:id="853" w:name="_Hlk519576961"/>
      <w:r>
        <w:rPr>
          <w:rFonts w:hint="eastAsia" w:ascii="宋体" w:hAnsi="宋体" w:cs="宋体"/>
          <w:color w:val="auto"/>
          <w:szCs w:val="21"/>
          <w:highlight w:val="none"/>
        </w:rPr>
        <w:t>乙方人员均应为乙方的正式职员，乙方人员发生的一切劳动纠纷由乙方自行负责解决，</w:t>
      </w:r>
      <w:bookmarkEnd w:id="853"/>
      <w:r>
        <w:rPr>
          <w:rFonts w:hint="eastAsia" w:ascii="宋体" w:hAnsi="宋体" w:cs="宋体"/>
          <w:color w:val="auto"/>
          <w:szCs w:val="21"/>
          <w:highlight w:val="none"/>
        </w:rPr>
        <w:t>如因用工不当，给甲方造成损失由乙方承担。</w:t>
      </w:r>
    </w:p>
    <w:p w14:paraId="43A65F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8、乙方应教育员工爱护甲方内建筑物及室内各种设施。注意节水节电。</w:t>
      </w:r>
    </w:p>
    <w:p w14:paraId="4FB7C5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9、乙方作业人员须经专业培训和具有专业知识人员担任，加强对于员工的岗前培训和提高服务意识，加强管理人员的培训，不断提高服务意识。</w:t>
      </w:r>
    </w:p>
    <w:p w14:paraId="39C6400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10、乙方作业应遵守甲方规定的时间要求，如有变更，双方协商解决。</w:t>
      </w:r>
    </w:p>
    <w:p w14:paraId="66C390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11、乙方服务人员须符合体检健康合格标准。</w:t>
      </w:r>
    </w:p>
    <w:p w14:paraId="586F5BF2">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为履行本合同，乙方应配置181岗，其中管理人员6岗，日常保洁148岗，其他27岗（含专项、保洁专用布草洗涤房、库管、夜班巡视保洁）。其中，本院区保洁服务人员为168岗；CRC保洁服务人员：2岗；北院区保洁服务人员：11岗。</w:t>
      </w:r>
    </w:p>
    <w:p w14:paraId="0322EEFB">
      <w:pPr>
        <w:pStyle w:val="15"/>
        <w:adjustRightInd/>
        <w:snapToGrid/>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13、乙方的项目经理需大学本科及以上学历；具有一年（含）以上医院类保洁服务管理经验。</w:t>
      </w:r>
    </w:p>
    <w:p w14:paraId="1427363C">
      <w:pPr>
        <w:pStyle w:val="15"/>
        <w:adjustRightInd w:val="0"/>
        <w:snapToGrid w:val="0"/>
        <w:spacing w:line="360" w:lineRule="auto"/>
        <w:ind w:firstLine="420" w:firstLineChars="200"/>
        <w:rPr>
          <w:rFonts w:ascii="宋体" w:hAnsi="宋体" w:cs="宋体"/>
          <w:color w:val="auto"/>
          <w:szCs w:val="21"/>
          <w:highlight w:val="none"/>
        </w:rPr>
      </w:pPr>
    </w:p>
    <w:p w14:paraId="2AF8AFF6">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第四条　验收要求及付款方式</w:t>
      </w:r>
    </w:p>
    <w:p w14:paraId="262A39D4">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1、服务验收要求：（1）甲方每月对乙方进行满意度测评，乙方达到85分以上为合格；（2）服务期间未出现安全事件。</w:t>
      </w:r>
    </w:p>
    <w:p w14:paraId="724D92E1">
      <w:pPr>
        <w:pStyle w:val="15"/>
        <w:numPr>
          <w:ilvl w:val="0"/>
          <w:numId w:val="30"/>
        </w:num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付款要求：</w:t>
      </w:r>
    </w:p>
    <w:p w14:paraId="3A48743C">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每月的服务结束后，甲乙双方依据满意度调查问卷结果，按照乙方的实际岗位数量，结算上个月的服务费。</w:t>
      </w:r>
    </w:p>
    <w:p w14:paraId="171AAEDB">
      <w:pPr>
        <w:pStyle w:val="24"/>
        <w:adjustRightInd w:val="0"/>
        <w:snapToGrid w:val="0"/>
        <w:spacing w:line="360" w:lineRule="auto"/>
        <w:ind w:firstLine="420" w:firstLineChars="200"/>
        <w:rPr>
          <w:rFonts w:hAnsi="宋体" w:cs="宋体"/>
          <w:color w:val="auto"/>
          <w:szCs w:val="21"/>
          <w:highlight w:val="none"/>
        </w:rPr>
      </w:pPr>
      <w:r>
        <w:rPr>
          <w:rFonts w:hAnsi="宋体" w:cs="宋体"/>
          <w:color w:val="auto"/>
          <w:szCs w:val="21"/>
          <w:highlight w:val="none"/>
        </w:rPr>
        <w:t>3、付款方式：</w:t>
      </w:r>
    </w:p>
    <w:p w14:paraId="2D905C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在每月10日前，向甲方提供经甲方确认的上月服务费金额的增值税发票。甲方确认发票内容及金额无误后，在收到乙方发票之日起20个工作日内，向乙方支付款项。乙方未提供发票，或者提供发票的内容或金额有误的，甲方有权拒绝支付相应款项且无需承担任何违约责任。</w:t>
      </w:r>
    </w:p>
    <w:p w14:paraId="685600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（2）本合同履行完毕，甲方应在合同终止后30天内向乙方支付所有未结清的服务费。</w:t>
      </w:r>
    </w:p>
    <w:p w14:paraId="14C86C9E">
      <w:pPr>
        <w:adjustRightInd w:val="0"/>
        <w:snapToGrid w:val="0"/>
        <w:spacing w:line="360" w:lineRule="auto"/>
        <w:ind w:firstLine="420" w:firstLineChars="200"/>
        <w:rPr>
          <w:rFonts w:ascii="宋体" w:hAnsi="宋体" w:cs="宋体"/>
          <w:color w:val="auto"/>
          <w:szCs w:val="21"/>
          <w:highlight w:val="none"/>
        </w:rPr>
      </w:pPr>
      <w:bookmarkStart w:id="854" w:name="_Hlk519577246"/>
      <w:r>
        <w:rPr>
          <w:rFonts w:hint="eastAsia" w:ascii="宋体" w:hAnsi="宋体" w:cs="宋体"/>
          <w:color w:val="auto"/>
          <w:szCs w:val="21"/>
          <w:highlight w:val="none"/>
        </w:rPr>
        <w:t>4、乙方的银行账号信息如下：</w:t>
      </w:r>
    </w:p>
    <w:bookmarkEnd w:id="854"/>
    <w:p w14:paraId="1914E52C">
      <w:pPr>
        <w:adjustRightInd w:val="0"/>
        <w:snapToGrid w:val="0"/>
        <w:spacing w:line="360" w:lineRule="auto"/>
        <w:ind w:firstLine="465"/>
        <w:rPr>
          <w:rFonts w:ascii="宋体" w:hAnsi="宋体" w:cs="宋体"/>
          <w:color w:val="auto"/>
          <w:szCs w:val="21"/>
          <w:highlight w:val="none"/>
        </w:rPr>
      </w:pPr>
      <w:r>
        <w:rPr>
          <w:rFonts w:hint="eastAsia" w:ascii="宋体" w:hAnsi="宋体" w:cs="宋体"/>
          <w:color w:val="auto"/>
          <w:szCs w:val="21"/>
          <w:highlight w:val="none"/>
        </w:rPr>
        <w:t>单位名称：</w:t>
      </w:r>
    </w:p>
    <w:p w14:paraId="5B6B89DC">
      <w:pPr>
        <w:adjustRightInd w:val="0"/>
        <w:snapToGrid w:val="0"/>
        <w:spacing w:line="360" w:lineRule="auto"/>
        <w:ind w:firstLine="465"/>
        <w:rPr>
          <w:rFonts w:ascii="宋体" w:hAnsi="宋体" w:cs="宋体"/>
          <w:color w:val="auto"/>
          <w:szCs w:val="21"/>
          <w:highlight w:val="none"/>
        </w:rPr>
      </w:pPr>
      <w:r>
        <w:rPr>
          <w:rFonts w:hint="eastAsia" w:ascii="宋体" w:hAnsi="宋体" w:cs="宋体"/>
          <w:color w:val="auto"/>
          <w:szCs w:val="21"/>
          <w:highlight w:val="none"/>
        </w:rPr>
        <w:t>开户行：</w:t>
      </w:r>
    </w:p>
    <w:p w14:paraId="73DA3DF3">
      <w:pPr>
        <w:adjustRightInd w:val="0"/>
        <w:snapToGrid w:val="0"/>
        <w:spacing w:line="360" w:lineRule="auto"/>
        <w:ind w:firstLine="465"/>
        <w:rPr>
          <w:rFonts w:ascii="宋体" w:hAnsi="宋体" w:cs="宋体"/>
          <w:color w:val="auto"/>
          <w:szCs w:val="21"/>
          <w:highlight w:val="none"/>
        </w:rPr>
      </w:pPr>
      <w:r>
        <w:rPr>
          <w:rFonts w:hint="eastAsia" w:ascii="宋体" w:hAnsi="宋体" w:cs="宋体"/>
          <w:color w:val="auto"/>
          <w:szCs w:val="21"/>
          <w:highlight w:val="none"/>
        </w:rPr>
        <w:t>账号：</w:t>
      </w:r>
    </w:p>
    <w:p w14:paraId="41C59966">
      <w:pPr>
        <w:adjustRightInd w:val="0"/>
        <w:snapToGrid w:val="0"/>
        <w:spacing w:line="360" w:lineRule="auto"/>
        <w:rPr>
          <w:rFonts w:ascii="宋体" w:hAnsi="宋体" w:cs="宋体"/>
          <w:b/>
          <w:color w:val="auto"/>
          <w:szCs w:val="21"/>
          <w:highlight w:val="none"/>
        </w:rPr>
      </w:pPr>
    </w:p>
    <w:p w14:paraId="733C7DC1">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第五条　服务范围及工作标准</w:t>
      </w:r>
    </w:p>
    <w:p w14:paraId="3102314A">
      <w:pPr>
        <w:pStyle w:val="24"/>
        <w:adjustRightInd w:val="0"/>
        <w:snapToGrid w:val="0"/>
        <w:spacing w:line="360" w:lineRule="auto"/>
        <w:ind w:firstLine="422" w:firstLineChars="200"/>
        <w:rPr>
          <w:rFonts w:hAnsi="宋体" w:cs="宋体"/>
          <w:b/>
          <w:bCs/>
          <w:color w:val="auto"/>
          <w:szCs w:val="21"/>
          <w:highlight w:val="none"/>
        </w:rPr>
      </w:pPr>
      <w:r>
        <w:rPr>
          <w:rFonts w:hAnsi="宋体" w:cs="宋体"/>
          <w:b/>
          <w:bCs/>
          <w:color w:val="auto"/>
          <w:szCs w:val="21"/>
          <w:highlight w:val="none"/>
        </w:rPr>
        <w:t>内科楼服务范围、日常保洁要求及服务标准</w:t>
      </w:r>
    </w:p>
    <w:p w14:paraId="462400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一、服务范围</w:t>
      </w:r>
    </w:p>
    <w:p w14:paraId="759DD7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1、12层、11层信息部、设备间、公共区域及卫生间清洁。</w:t>
      </w:r>
    </w:p>
    <w:p w14:paraId="437C5AA7">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2、每日对两侧消防楼梯及主楼梯（12-B2）进行清洁，清扫杂物、烟头、小广告等。</w:t>
      </w:r>
    </w:p>
    <w:p w14:paraId="0EB32E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3、各病区(1-10)：完成各病区医办室、护士站、换药室、休息室、公共卫生间、通道、各病房内清洁，严格按照保洁流程完成工作任务。患者出院后，按要求进行终末消毒。</w:t>
      </w:r>
    </w:p>
    <w:p w14:paraId="57F0072C">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4、各楼层电梯厅、垃圾间卫生,清理小广告，劝阻吸烟人员。</w:t>
      </w:r>
    </w:p>
    <w:p w14:paraId="7571094B">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5、重点科室：移植病区，严格按照管理规定执行，符合感控要求。</w:t>
      </w:r>
    </w:p>
    <w:p w14:paraId="6C65F755">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6、按要求，收集转运生活垃圾、医疗垃圾及涉疫医疗垃圾，收集完成后对垃圾暂存区域进行消毒。</w:t>
      </w:r>
    </w:p>
    <w:p w14:paraId="4A036C85">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7、机动（终末消毒）人员负责科室患者出院人数相对集中，人数较多时，协助科室保洁员完成科室终末消毒保洁工作，做好值班期间科室保洁巡视工作，确保科室保洁质量。</w:t>
      </w:r>
    </w:p>
    <w:p w14:paraId="603F6D8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二、常规保洁要求及标准</w:t>
      </w:r>
    </w:p>
    <w:p w14:paraId="371F32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5E73C069">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保洁员进入病房应尽量集中作业，避免在患者休息时或进餐时清洁，工作时按照流程要求执行。按规定分类收集垃圾，清拖地面，保持清洁，擦抹病床、治疗带/氧气带，床头柜等。维护病房内病床、床头柜、壁柜、治疗带的清洁，患者出院或死亡要及时做好床位的消毒处理。</w:t>
      </w:r>
    </w:p>
    <w:p w14:paraId="132A108D">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3、护士站、治疗室、换药室的保洁工作听从医护人员的指导，及时做好清理工作，确保清洁卫生。清洁内容如下：</w:t>
      </w:r>
    </w:p>
    <w:p w14:paraId="4FB0707F">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（1）桌面、文件柜等洁净。</w:t>
      </w:r>
    </w:p>
    <w:p w14:paraId="2FDA3FDD">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（2）椅子、椅子腿干净，摆放整齐</w:t>
      </w:r>
    </w:p>
    <w:p w14:paraId="0A30A1AF">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（3）垃圾桶整洁；垃圾及时清倒；垃圾袋及时更换。</w:t>
      </w:r>
    </w:p>
    <w:p w14:paraId="77BB1D74">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（4）清洁墙面、踢脚线等。</w:t>
      </w:r>
    </w:p>
    <w:p w14:paraId="5255D1DB">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（5）按程序清洁文件柜、展示柜、书架、各打印、复印设备。</w:t>
      </w:r>
    </w:p>
    <w:p w14:paraId="42C63119">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（6）玻璃、窗框洁净。</w:t>
      </w:r>
    </w:p>
    <w:p w14:paraId="114AE6BF">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办公区域按规定分类收集垃圾，清拖地面，保持清洁，擦抹门窗、办公室家具。特殊情况下应先敲门再进入，使用文明用语。工作时应保持安静，不得大声喧哗，工作性交谈小声进行，不得干扰医护人员休息。医院办公室、休息室内保持干净，桌椅摆放整齐。</w:t>
      </w:r>
    </w:p>
    <w:p w14:paraId="19BE543C">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5、通道、楼梯保洁：经常巡视通道或楼梯，自下而上清扫垃圾、尘土，将果皮纸屑烟头清理后倒入垃圾桶，用托布擦地面台阶，清洗数次；用抹布自下而上擦拭扶手和栏杆。雨雪天要及时放置地毯等防止水渍带入通道。</w:t>
      </w:r>
    </w:p>
    <w:p w14:paraId="2EE9CE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污物间：保持物品、工具摆放整齐，室内无乱摆乱放现象。水池及时清理，无垃圾堵塞。医疗垃圾放置规定位置，收集整理好，做好相应登记，等待运送。医疗废弃物做到按照医院有关垃圾分类的流程，按时做好医疗垃圾封口、贴好标识，收集并送到指定地点集中转送。做好相关收集登记交接转运手续。</w:t>
      </w:r>
    </w:p>
    <w:p w14:paraId="19E0260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7、卫生间：清洁标准（按照三级甲等医院的规定卫生间清洁要求做到“专人专间专工具”管理）</w:t>
      </w:r>
    </w:p>
    <w:p w14:paraId="1250F9C6">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（1）每天重点清理洗手间，进入洗手间前将清洁指示牌放置门前，打开门窗通风。</w:t>
      </w:r>
    </w:p>
    <w:p w14:paraId="7A4CCA8C">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（2）擦拭面盆表面包括台面、墙面、门窗标牌、镜面等，用干布擦抹干净，必要时随时擦拭镜面保持明净。</w:t>
      </w:r>
    </w:p>
    <w:p w14:paraId="56F54A96">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（3）擦拭洗手盆、水龙头、皂液盒，无污物、无水渍、无杂物，保持清洁，经常巡回擦拭台面。</w:t>
      </w:r>
    </w:p>
    <w:p w14:paraId="41BCED5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（4）擦拭洗手间瓷砖墙面、隔断板、隔断门，用湿、干拖布擦地，维持干净。</w:t>
      </w:r>
    </w:p>
    <w:p w14:paraId="4CAC09A2">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（5）擦拭洁具表面包括水箱、水管、盖板两面基座周围，注意卫生死角。厕位后侧面墙面、小便池上下内外要求保持干净。刷洗大小便器，反复刷洗至干净。</w:t>
      </w:r>
    </w:p>
    <w:p w14:paraId="1FA3B04D">
      <w:pPr>
        <w:adjustRightInd w:val="0"/>
        <w:snapToGrid w:val="0"/>
        <w:spacing w:line="360" w:lineRule="auto"/>
        <w:ind w:left="400"/>
        <w:rPr>
          <w:rFonts w:ascii="宋体" w:hAnsi="宋体" w:cs="宋体"/>
          <w:color w:val="auto"/>
          <w:szCs w:val="21"/>
          <w:highlight w:val="none"/>
        </w:rPr>
      </w:pPr>
      <w:r>
        <w:rPr>
          <w:rFonts w:hint="eastAsia" w:ascii="宋体" w:hAnsi="宋体" w:cs="宋体"/>
          <w:color w:val="auto"/>
          <w:szCs w:val="21"/>
          <w:highlight w:val="none"/>
        </w:rPr>
        <w:t>（6）金属器具压水杆及不锈钢扶手、电镀件保持洁净。</w:t>
      </w:r>
    </w:p>
    <w:p w14:paraId="348FDF30">
      <w:pPr>
        <w:adjustRightInd w:val="0"/>
        <w:snapToGrid w:val="0"/>
        <w:spacing w:line="360" w:lineRule="auto"/>
        <w:ind w:left="400"/>
        <w:rPr>
          <w:rFonts w:ascii="宋体" w:hAnsi="宋体" w:cs="宋体"/>
          <w:color w:val="auto"/>
          <w:szCs w:val="21"/>
          <w:highlight w:val="none"/>
        </w:rPr>
      </w:pPr>
      <w:r>
        <w:rPr>
          <w:rFonts w:hint="eastAsia" w:ascii="宋体" w:hAnsi="宋体" w:cs="宋体"/>
          <w:color w:val="auto"/>
          <w:szCs w:val="21"/>
          <w:highlight w:val="none"/>
        </w:rPr>
        <w:t>（7）要经常干湿拖地面，及时清理边角烟头纸屑杂物、积水等。</w:t>
      </w:r>
    </w:p>
    <w:p w14:paraId="17372486">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（8）清扫地面垃圾夹出烟头杂物冲洗洁具。及时清倒垃圾桶，垃圾袋及时更换，垃圾桶内壁及桶后墙面要及时清洁。</w:t>
      </w:r>
    </w:p>
    <w:p w14:paraId="1EB5210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（9）定期清洁天花板、排风口、灯具灯罩。</w:t>
      </w:r>
    </w:p>
    <w:p w14:paraId="51BA0AE0">
      <w:pPr>
        <w:adjustRightInd w:val="0"/>
        <w:snapToGrid w:val="0"/>
        <w:spacing w:line="360" w:lineRule="auto"/>
        <w:ind w:left="400"/>
        <w:rPr>
          <w:rFonts w:ascii="宋体" w:hAnsi="宋体" w:cs="宋体"/>
          <w:color w:val="auto"/>
          <w:szCs w:val="21"/>
          <w:highlight w:val="none"/>
        </w:rPr>
      </w:pPr>
      <w:r>
        <w:rPr>
          <w:rFonts w:hint="eastAsia" w:ascii="宋体" w:hAnsi="宋体" w:cs="宋体"/>
          <w:color w:val="auto"/>
          <w:szCs w:val="21"/>
          <w:highlight w:val="none"/>
        </w:rPr>
        <w:t>（10）经常巡视冲洗厕位。</w:t>
      </w:r>
    </w:p>
    <w:p w14:paraId="361F2E9C">
      <w:pPr>
        <w:adjustRightInd w:val="0"/>
        <w:snapToGrid w:val="0"/>
        <w:spacing w:line="360" w:lineRule="auto"/>
        <w:ind w:left="400"/>
        <w:rPr>
          <w:rFonts w:ascii="宋体" w:hAnsi="宋体" w:cs="宋体"/>
          <w:color w:val="auto"/>
          <w:szCs w:val="21"/>
          <w:highlight w:val="none"/>
        </w:rPr>
      </w:pPr>
      <w:r>
        <w:rPr>
          <w:rFonts w:hint="eastAsia" w:ascii="宋体" w:hAnsi="宋体" w:cs="宋体"/>
          <w:color w:val="auto"/>
          <w:szCs w:val="21"/>
          <w:highlight w:val="none"/>
        </w:rPr>
        <w:t>（11）及时添加补充大盘纸及洗手液。</w:t>
      </w:r>
    </w:p>
    <w:p w14:paraId="468B3BC1">
      <w:pPr>
        <w:adjustRightInd w:val="0"/>
        <w:snapToGrid w:val="0"/>
        <w:spacing w:line="360" w:lineRule="auto"/>
        <w:ind w:left="400"/>
        <w:rPr>
          <w:rFonts w:ascii="宋体" w:hAnsi="宋体" w:cs="宋体"/>
          <w:color w:val="auto"/>
          <w:szCs w:val="21"/>
          <w:highlight w:val="none"/>
        </w:rPr>
      </w:pPr>
      <w:r>
        <w:rPr>
          <w:rFonts w:hint="eastAsia" w:ascii="宋体" w:hAnsi="宋体" w:cs="宋体"/>
          <w:color w:val="auto"/>
          <w:szCs w:val="21"/>
          <w:highlight w:val="none"/>
        </w:rPr>
        <w:t>（12）检查卫生间内各种设备，发现损坏及时报修。</w:t>
      </w:r>
    </w:p>
    <w:p w14:paraId="2A6CF1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8、垃圾处理：包括生活垃圾处理和医疗垃圾处理。</w:t>
      </w:r>
    </w:p>
    <w:p w14:paraId="38F0EF4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院各区域产生的生活垃圾有保洁公司统一收集清运，封口扎紧，放置各科室规定位置有垃圾清运工统一回收。医疗垃圾处理：要求按照北京市医用垃圾处理的有关规定严格执行，并服从医院院感科及后勤处的管理。</w:t>
      </w:r>
    </w:p>
    <w:p w14:paraId="260965D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9、机动人员工作要求：</w:t>
      </w:r>
    </w:p>
    <w:p w14:paraId="4ADA5D3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（1）患者出院人数相对集中，人数较多时（上午8:00-11：00），协助科室保洁员完成科室终末消毒保洁工作，保持电话畅通，接到通知后10分钟内到达科室，确保工作质量；</w:t>
      </w:r>
    </w:p>
    <w:p w14:paraId="7AEEEE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（2）值班时间段保洁巡视工作（遇保洁事件保证10分钟到位）确保工作质量：</w:t>
      </w:r>
    </w:p>
    <w:p w14:paraId="19F5582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（3）中午11:30-13:30 每个病房保洁巡视，包含但不少于：垃圾倾倒、卫生间清洁以及病房临时性保洁工作安排；</w:t>
      </w:r>
    </w:p>
    <w:p w14:paraId="7C05C34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（4）小夜班16:30-21:00每个病房保洁巡视，包含但不少于：垃圾倾倒、卫生间清洁以及病房临时性保洁工作安排；</w:t>
      </w:r>
    </w:p>
    <w:p w14:paraId="3B4E777B">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（5）大夜21:00-6:30 协助完成全院临时性保洁工作安排（接听电话至到岗不超过10分钟）；</w:t>
      </w:r>
    </w:p>
    <w:p w14:paraId="0BBF2258">
      <w:pPr>
        <w:pStyle w:val="24"/>
        <w:adjustRightInd w:val="0"/>
        <w:snapToGrid w:val="0"/>
        <w:spacing w:line="360" w:lineRule="auto"/>
        <w:ind w:firstLine="422" w:firstLineChars="200"/>
        <w:rPr>
          <w:rFonts w:hAnsi="宋体" w:cs="宋体"/>
          <w:b/>
          <w:color w:val="auto"/>
          <w:szCs w:val="21"/>
          <w:highlight w:val="none"/>
        </w:rPr>
      </w:pPr>
      <w:r>
        <w:rPr>
          <w:rFonts w:hAnsi="宋体" w:cs="宋体"/>
          <w:b/>
          <w:color w:val="auto"/>
          <w:szCs w:val="21"/>
          <w:highlight w:val="none"/>
        </w:rPr>
        <w:t>门诊楼、地下车库及放射用房服务范围、日常保洁要求及服务标准</w:t>
      </w:r>
    </w:p>
    <w:p w14:paraId="1C385D97">
      <w:pPr>
        <w:pStyle w:val="24"/>
        <w:adjustRightInd w:val="0"/>
        <w:snapToGrid w:val="0"/>
        <w:spacing w:line="360" w:lineRule="auto"/>
        <w:ind w:firstLine="420" w:firstLineChars="200"/>
        <w:rPr>
          <w:rFonts w:hAnsi="宋体" w:cs="宋体"/>
          <w:color w:val="auto"/>
          <w:szCs w:val="21"/>
          <w:highlight w:val="none"/>
        </w:rPr>
      </w:pPr>
      <w:r>
        <w:rPr>
          <w:rFonts w:hAnsi="宋体" w:cs="宋体"/>
          <w:color w:val="auto"/>
          <w:szCs w:val="21"/>
          <w:highlight w:val="none"/>
        </w:rPr>
        <w:t>一、服务范围</w:t>
      </w:r>
    </w:p>
    <w:p w14:paraId="750B7B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1、服务区域：B3-4层：挂号处、收费处、检查室、药房药库、挂号服务大厅、诊室、临床科室、第三采血室、医技科室、门诊手术室、介入手术室、内镜手术室、地下车库等清洁、按感控高要求擦拭消毒。</w:t>
      </w:r>
    </w:p>
    <w:p w14:paraId="606E8D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2、楼梯：步行梯清洁卫生清理烟头杂物、小广告。</w:t>
      </w:r>
    </w:p>
    <w:p w14:paraId="575C85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3、公共卫生间：进行清洁、巡视、消毒、祛除异味、垃圾处理，定期大清。</w:t>
      </w:r>
    </w:p>
    <w:p w14:paraId="7E26EC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4、屋顶花园：每天巡视、清洁卫生，清理垃圾和烟头杂物。</w:t>
      </w:r>
    </w:p>
    <w:p w14:paraId="662F73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5、门诊四层药房、通道连廊、电梯厅的卫生清洁。</w:t>
      </w:r>
    </w:p>
    <w:p w14:paraId="78DACE6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6、各入口卫生：门诊大厅、西门、北门(包括避风阁、雨棚要定期清洁，冬季刷洗门帘)。</w:t>
      </w:r>
    </w:p>
    <w:p w14:paraId="363850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7、天井：西门至门诊露天通道清扫卫生，墙面（三米以下区域）擦拭清洁。</w:t>
      </w:r>
    </w:p>
    <w:p w14:paraId="47D91B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8、各区域内侧玻璃顶棚要定期清洁尘土和污渍，并在外墙清洁时，配合清洁内侧玻璃。</w:t>
      </w:r>
    </w:p>
    <w:p w14:paraId="350F5D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9、远程医疗中心清洁卫生，每周定期吸尘清洗。</w:t>
      </w:r>
    </w:p>
    <w:p w14:paraId="1471272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二、常规保洁要求及标准</w:t>
      </w:r>
    </w:p>
    <w:p w14:paraId="3ED1975E">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1、大厅的清洁</w:t>
      </w:r>
    </w:p>
    <w:p w14:paraId="204B6FA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（1）每天分两次重点清理大厅，实行流动保洁。</w:t>
      </w:r>
    </w:p>
    <w:p w14:paraId="14AF7F5E">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（2）清扫大厅地面垃圾，出掉各种污渍和口香糖，及时倾倒垃圾筒。</w:t>
      </w:r>
    </w:p>
    <w:p w14:paraId="20B9EC0C">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（3）用尘拖或拖把清洁大厅地面尘土和污迹后，倾倒将垃圾桶并收集后运至室外。地面及边角干净。</w:t>
      </w:r>
    </w:p>
    <w:p w14:paraId="0B26BE5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（4）用干毛巾轻抹大厅内各种制品，如门柱、镶字、宣传栏等，用湿毛巾拧干后擦拭大厅内窗框、防火门、消防栓，指示牌、内墙面、台面等。</w:t>
      </w:r>
    </w:p>
    <w:p w14:paraId="1E9927BA">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（5）天花板、灯罩、排风口及龙骨架干净。墙面及踢脚板、玻璃门及窗体玻璃维持干净。</w:t>
      </w:r>
    </w:p>
    <w:p w14:paraId="47FFC5DE">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（6）前台办公桌面、台面干净。文件柜、书报架摆放整齐，目视无尘土。</w:t>
      </w:r>
    </w:p>
    <w:p w14:paraId="45F31B42">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（7）大厅内摆放的绿植等盆体周围干净，两侧楼梯要清洁后用拖把擦拭。</w:t>
      </w:r>
    </w:p>
    <w:p w14:paraId="3A10E5D4">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（8）雨雪天要及时放置地毯等防止水渍带入大厅。</w:t>
      </w:r>
    </w:p>
    <w:p w14:paraId="73664C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办公区域按规定分类收集垃圾，清拖地面，保持清洁，擦抹门窗、办公室家具。特殊情况下应先敲门再进入，使用文明用语。工作时应保持安静，不得大声喧哗，工作性交谈小声进行，不得干扰医护人员休息。医院办公室、休息室内保持干净，桌椅摆放整齐。</w:t>
      </w:r>
    </w:p>
    <w:p w14:paraId="4A822681">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通道、楼梯保洁：经常巡视通道或楼梯，自下而上清扫垃圾、尘土，将果皮纸屑烟头清理后倒入垃圾桶，用托布擦地面台阶，清洗数次；用抹布自下而上擦拭扶手和栏杆。雨雪天要及时放置地毯等防止水渍带入通道。</w:t>
      </w:r>
    </w:p>
    <w:p w14:paraId="0F717E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3、卫生间：清洁标准（作为三级甲等医院的规定卫生间清洁要求做到“专人专间专工具”管理）</w:t>
      </w:r>
    </w:p>
    <w:p w14:paraId="3694D4F3">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（1）每天重点清理洗手间，进入洗手间前将清洁指示牌放置门前，打开门窗通风。</w:t>
      </w:r>
    </w:p>
    <w:p w14:paraId="1B1EE03E">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（2）擦拭面盆表面包括台面、墙面、门窗标牌、镜面等，用干布擦抹干净，必要时随时擦拭镜面保持明净。</w:t>
      </w:r>
    </w:p>
    <w:p w14:paraId="1F76A1F8">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（3）擦拭洗手盆、水龙头、皂液盒，无污物、无水渍、无杂物，保持清洁，经常巡回擦拭台面。</w:t>
      </w:r>
    </w:p>
    <w:p w14:paraId="34E3418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（4）擦拭洗手间瓷砖墙面、隔断板、隔断门，用湿、干拖布擦地，维持干净。</w:t>
      </w:r>
    </w:p>
    <w:p w14:paraId="0EF7C247">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（5）擦拭洁具表面包括水箱、水管、盖板两面基座周围，注意卫生死角。厕位后侧面墙面、小便池上下内外要求保持干净。刷洗大小便器，反复刷洗至干净。</w:t>
      </w:r>
    </w:p>
    <w:p w14:paraId="213C978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（6）金属器具压水杆及不锈钢扶手、电镀件保持洁净。</w:t>
      </w:r>
    </w:p>
    <w:p w14:paraId="49DE65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（7）要经常干湿拖地面，及时清理边角烟头纸屑杂物、积水等。</w:t>
      </w:r>
    </w:p>
    <w:p w14:paraId="1EBA2AF3">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（8）清扫地面垃圾夹出烟头杂物冲洗洁具。及时清倒垃圾桶，垃圾袋及时更换，垃圾桶内壁及桶后墙面要及时清洁。</w:t>
      </w:r>
    </w:p>
    <w:p w14:paraId="27FA8B7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（9）定期清洁天花板、排风口、灯具灯罩。</w:t>
      </w:r>
    </w:p>
    <w:p w14:paraId="4CB484F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（10）经常巡视冲洗厕位。</w:t>
      </w:r>
    </w:p>
    <w:p w14:paraId="5D9853E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（11）及时添加补充大盘纸及洗手液。</w:t>
      </w:r>
    </w:p>
    <w:p w14:paraId="281D5DA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（12）检查卫生间内各种设备，发现损坏及时报修。</w:t>
      </w:r>
    </w:p>
    <w:p w14:paraId="3CC9B1C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垃圾处理：包括生活垃圾处理和医疗垃圾处理：医院各区域产生的生活垃圾有保洁公司统一收集清运，封口扎紧，放置各科室规定位置回收。医疗垃圾处理：要求按照北京市医用垃圾处理的有关规定严格执行，并服从医院院感科及后勤处的管理。</w:t>
      </w:r>
    </w:p>
    <w:p w14:paraId="45273A5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5、机动人员工作要求：值班时间段保洁巡视工作（遇紧急保洁事件10分钟到达科室）确保工作质量：</w:t>
      </w:r>
    </w:p>
    <w:p w14:paraId="439213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（1）中午11:30-13:30 门诊楼保洁巡视，包含但不少于：垃圾倾倒、卫生间清洁以及临时性保洁工作安排；</w:t>
      </w:r>
    </w:p>
    <w:p w14:paraId="613E77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（2）小夜班16:30-21:00门诊楼保洁巡视，包含但不少于：垃圾倾倒、卫生间清洁以及临时性保洁工作安排；</w:t>
      </w:r>
    </w:p>
    <w:p w14:paraId="04E9FE40">
      <w:pPr>
        <w:pStyle w:val="24"/>
        <w:adjustRightInd w:val="0"/>
        <w:snapToGrid w:val="0"/>
        <w:spacing w:line="360" w:lineRule="auto"/>
        <w:ind w:firstLine="420" w:firstLineChars="200"/>
        <w:rPr>
          <w:rFonts w:hAnsi="宋体" w:cs="宋体"/>
          <w:color w:val="auto"/>
          <w:szCs w:val="21"/>
          <w:highlight w:val="none"/>
        </w:rPr>
      </w:pPr>
      <w:r>
        <w:rPr>
          <w:rFonts w:hAnsi="宋体" w:cs="宋体"/>
          <w:color w:val="auto"/>
          <w:szCs w:val="21"/>
          <w:highlight w:val="none"/>
        </w:rPr>
        <w:t>（3）大夜21:00-6:30 协助完成全院临时性保洁工作安排（接听电话至到岗不超过10分钟）；</w:t>
      </w:r>
    </w:p>
    <w:p w14:paraId="195AA3A1">
      <w:pPr>
        <w:pStyle w:val="24"/>
        <w:adjustRightInd w:val="0"/>
        <w:snapToGrid w:val="0"/>
        <w:spacing w:line="360" w:lineRule="auto"/>
        <w:ind w:firstLine="422" w:firstLineChars="200"/>
        <w:rPr>
          <w:rFonts w:hAnsi="宋体" w:cs="宋体"/>
          <w:b/>
          <w:color w:val="auto"/>
          <w:szCs w:val="21"/>
          <w:highlight w:val="none"/>
        </w:rPr>
      </w:pPr>
      <w:r>
        <w:rPr>
          <w:rFonts w:hAnsi="宋体" w:cs="宋体"/>
          <w:b/>
          <w:color w:val="auto"/>
          <w:szCs w:val="21"/>
          <w:highlight w:val="none"/>
        </w:rPr>
        <w:t>外科楼服务范围、日常保洁要求及服务标准</w:t>
      </w:r>
    </w:p>
    <w:p w14:paraId="0064D785">
      <w:pPr>
        <w:pStyle w:val="24"/>
        <w:adjustRightInd w:val="0"/>
        <w:snapToGrid w:val="0"/>
        <w:spacing w:line="360" w:lineRule="auto"/>
        <w:ind w:firstLine="420" w:firstLineChars="200"/>
        <w:rPr>
          <w:rFonts w:hAnsi="宋体" w:cs="宋体"/>
          <w:color w:val="auto"/>
          <w:szCs w:val="21"/>
          <w:highlight w:val="none"/>
        </w:rPr>
      </w:pPr>
      <w:r>
        <w:rPr>
          <w:rFonts w:hAnsi="宋体" w:cs="宋体"/>
          <w:color w:val="auto"/>
          <w:szCs w:val="21"/>
          <w:highlight w:val="none"/>
        </w:rPr>
        <w:t>一、服务范围</w:t>
      </w:r>
    </w:p>
    <w:p w14:paraId="62BA8CA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1、一层大厅：公共卫生间 、挂号室、康复科、出住院处、接诊室、医保处、精密仪器科室、生物样本库进行清洁消毒、清扫杂物、烟头、小广告等。</w:t>
      </w:r>
    </w:p>
    <w:p w14:paraId="262EEE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2、报告厅：定期清洁地毯,吸尘,每次会议后清理杂物,收集垃圾。每天清洁报告厅通道和文化墙，定期清理玻璃顶。</w:t>
      </w:r>
    </w:p>
    <w:p w14:paraId="0B63BD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3、二层至八层病区：清洁各病区医办室、护士站、换药室、休息室、医用及患者用卫生间、通道、各病房内清洁，严格按照保洁流程完成工作。患者出院后，按要求进行终末消毒操作。</w:t>
      </w:r>
    </w:p>
    <w:p w14:paraId="1B0A9FE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4、重点科室--手术室、麻醉科(9-10层)严格按照手术室规定执行，符合感控要求。</w:t>
      </w:r>
    </w:p>
    <w:p w14:paraId="5939CF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5、ICU监护室严格按照管理规定执行，符合感控要求。</w:t>
      </w:r>
    </w:p>
    <w:p w14:paraId="5559CB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6、两侧楼梯(10层至地下2层)及电梯厅：专人巡视进行清洁，清扫杂物、烟头、小广告等。</w:t>
      </w:r>
    </w:p>
    <w:p w14:paraId="23ABE5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7、机动（终末消毒）人员负责科室患者出院人数相对集中，人数较多时，协助科室保洁员完成科室终末消毒保洁工作，做好值班期间科室保洁巡视工作，确保科室保洁质量。</w:t>
      </w:r>
    </w:p>
    <w:p w14:paraId="3C6C07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二、常规保洁要求及标准</w:t>
      </w:r>
    </w:p>
    <w:p w14:paraId="2A6646E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6019C6DA">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保洁员进入病房应尽量集中作业，避免在患者休息时或进餐时清洁，工作时按照流程要求执行。按规定分类收集垃圾，清拖地面，保持清洁，擦抹病床、治疗带/氧气带，床头柜等。维护病房内病床、床头柜、壁柜、治疗带的清洁，患者出院或死亡要及时做好床位的消毒处理。</w:t>
      </w:r>
    </w:p>
    <w:p w14:paraId="67634046">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3、护士站、治疗室、换药室的保洁工作听从医护人员的指导，及时做好清理工作，确保清洁卫生。清洁内容如下：</w:t>
      </w:r>
    </w:p>
    <w:p w14:paraId="2D5ED391">
      <w:pPr>
        <w:pStyle w:val="161"/>
        <w:tabs>
          <w:tab w:val="left" w:pos="426"/>
        </w:tabs>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（1）桌面、文件柜等洁净。</w:t>
      </w:r>
    </w:p>
    <w:p w14:paraId="48ED5971">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（2）椅子、椅子腿干净，摆放整齐</w:t>
      </w:r>
    </w:p>
    <w:p w14:paraId="26C6902F">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（3）垃圾桶整洁；垃圾及时清倒；垃圾袋及时更换。</w:t>
      </w:r>
    </w:p>
    <w:p w14:paraId="39EE834C">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（4）清洁墙面、踢脚线等。</w:t>
      </w:r>
    </w:p>
    <w:p w14:paraId="15ABA037">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（5）按程序清洁文件柜、展示柜、书架、各打印、复印设备。</w:t>
      </w:r>
    </w:p>
    <w:p w14:paraId="0945438A">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（6）玻璃、窗框洁净。</w:t>
      </w:r>
    </w:p>
    <w:p w14:paraId="1123B3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办公区域按规定分类收集垃圾，清拖地面，保持清洁，擦抹门窗、办公室家具。特殊情况下应先敲门再进入，使用文明用语。工作时应保持安静，不得大声喧哗，工作性交谈小声进行，不得干扰医护人员休息。医院办公室、休息室内保持干净，桌椅摆放整齐。</w:t>
      </w:r>
    </w:p>
    <w:p w14:paraId="40D827E2">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通道、楼梯保洁：经常巡视通道或楼梯，自下而上清扫垃圾、尘土，将果皮纸屑烟头清理后倒入垃圾桶，用托布擦地面台阶，清洗数次；用抹布自下而上擦拭扶手和栏杆。雨雪天要及时放置地毯等防止水渍带入通道。</w:t>
      </w:r>
    </w:p>
    <w:p w14:paraId="60A1C5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污物间：保持物品、工具摆放整齐，室内无乱摆乱放现象。水池及时清理，无垃圾堵塞。医疗垃圾放置规定位置，收集整理好，做好相应登记，等待运送。医疗废弃物做到按照医院有关垃圾分类的流程，按时做好医疗垃圾封口、贴好标识，收集并送到指定地点集中转送。做好相关收集登记交接转运手续。</w:t>
      </w:r>
    </w:p>
    <w:p w14:paraId="20DC22D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7、卫生间：清洁标准（按照三级甲等医院的规定卫生间清洁要求做到“专人专间专工具”管理）</w:t>
      </w:r>
    </w:p>
    <w:p w14:paraId="49FB8385">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（1）每天重点清理洗手间，进入洗手间前将清洁指示牌放置门前，打开门窗通风。</w:t>
      </w:r>
    </w:p>
    <w:p w14:paraId="65EE8BE2">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（2）擦拭面盆表面包括台面、墙面、门窗标牌、镜面等，用干布擦抹干净，必要时随时擦拭镜面保持明净。</w:t>
      </w:r>
    </w:p>
    <w:p w14:paraId="71417822">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（3）擦拭洗手盆、水龙头、皂液盒，无污物、无水渍、无杂物，保持清洁，经常巡回擦拭台面。</w:t>
      </w:r>
    </w:p>
    <w:p w14:paraId="624AF1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（4）擦拭洗手间瓷砖墙面、隔断板、隔断门，用湿、干拖布擦地，维持干净。</w:t>
      </w:r>
    </w:p>
    <w:p w14:paraId="4E77D293">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（5）擦拭洁具表面包括水箱、水管、盖板两面基座周围，注意卫生死角。厕位后侧面墙面、小便池上下内外要求保持干净。刷洗大小便器，反复刷洗至干净。</w:t>
      </w:r>
    </w:p>
    <w:p w14:paraId="35CF15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（6）金属器具压水杆及不锈钢扶手、电镀件保持洁净。</w:t>
      </w:r>
    </w:p>
    <w:p w14:paraId="63CD3B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（7）要经常干湿拖地面，及时清理边角烟头纸屑杂物、积水等。</w:t>
      </w:r>
    </w:p>
    <w:p w14:paraId="10AD723C">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（8）清扫地面垃圾夹出烟头杂物冲洗洁具。及时清倒垃圾桶，垃圾袋及时更换，垃圾桶内壁及桶后墙面要及时清洁。</w:t>
      </w:r>
    </w:p>
    <w:p w14:paraId="70843D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（9）定期清洁天花板、排风口、灯具灯罩。</w:t>
      </w:r>
    </w:p>
    <w:p w14:paraId="0A171A7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（10）经常巡视冲洗厕位。</w:t>
      </w:r>
    </w:p>
    <w:p w14:paraId="74BF91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（11）及时添加补充大盘纸及洗手液。</w:t>
      </w:r>
    </w:p>
    <w:p w14:paraId="59696B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（12）检查卫生间内各种设备，发现损坏及时报修。</w:t>
      </w:r>
    </w:p>
    <w:p w14:paraId="7E7B47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8、垃圾处理：包括生活垃圾处理和医疗垃圾处理。</w:t>
      </w:r>
    </w:p>
    <w:p w14:paraId="71DAA6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院各区域产生的生活垃圾有保洁公司统一收集清运，封口扎紧，放置各科室规定位置有垃圾清运工统一回收。医疗垃圾处理：要求按照北京市医用垃圾处理的有关规定严格执行，并服从医院院感科及后勤处的管理。</w:t>
      </w:r>
    </w:p>
    <w:p w14:paraId="32174F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9、机动人员工作要求：</w:t>
      </w:r>
    </w:p>
    <w:p w14:paraId="61D81C1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（1）患者出院人数相对集中，人数较多时（上午8:00-11：00），协助科室保洁员完成科室终末消毒保洁工作，保持电话畅通，接到通知后10分钟内到达科室，确保工作质量；</w:t>
      </w:r>
    </w:p>
    <w:p w14:paraId="0FCEF60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（2）值班时间段保洁巡视工作（遇保洁事件保证10分钟到位）确保工作质量：</w:t>
      </w:r>
    </w:p>
    <w:p w14:paraId="5CC1CC1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（3）中午11:30-13:30 每个病房保洁巡视，包含但不少于：垃圾倾倒、卫生间清洁以及病房临时性保洁工作安排；</w:t>
      </w:r>
    </w:p>
    <w:p w14:paraId="14AF40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（4）小夜班16:30-21:00每个病房保洁巡视，包含但不少于：垃圾倾倒、卫生间清洁以及病房临时性保洁工作安排；</w:t>
      </w:r>
    </w:p>
    <w:p w14:paraId="258873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（5）大夜21:00-6:30 协助完成全院临时性保洁工作安排（接听电话至到岗不超过10分钟）；</w:t>
      </w:r>
    </w:p>
    <w:p w14:paraId="79F3E32B">
      <w:pPr>
        <w:pStyle w:val="24"/>
        <w:adjustRightInd w:val="0"/>
        <w:snapToGrid w:val="0"/>
        <w:spacing w:line="360" w:lineRule="auto"/>
        <w:ind w:firstLine="422" w:firstLineChars="200"/>
        <w:rPr>
          <w:rFonts w:hAnsi="宋体" w:cs="宋体"/>
          <w:b/>
          <w:color w:val="auto"/>
          <w:szCs w:val="21"/>
          <w:highlight w:val="none"/>
        </w:rPr>
      </w:pPr>
      <w:r>
        <w:rPr>
          <w:rFonts w:hAnsi="宋体" w:cs="宋体"/>
          <w:b/>
          <w:color w:val="auto"/>
          <w:szCs w:val="21"/>
          <w:highlight w:val="none"/>
        </w:rPr>
        <w:t>科研楼服务范围、常规保洁要求及服务标准</w:t>
      </w:r>
    </w:p>
    <w:p w14:paraId="36B046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一、服务范围</w:t>
      </w:r>
    </w:p>
    <w:p w14:paraId="7BBCCC3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1、一层小厅，中药房，洗衣房进行清洁。</w:t>
      </w:r>
    </w:p>
    <w:p w14:paraId="46FF643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2、西门保卫处和门卫室，司机班进行清洁，清扫杂物、烟头、小广告等。</w:t>
      </w:r>
    </w:p>
    <w:p w14:paraId="0D14192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3、二层至四层，各行政办公室清洁，会议室定期吸尘清洗（3层4层）。</w:t>
      </w:r>
    </w:p>
    <w:p w14:paraId="33E2EC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4、五层至七层实验室，动物室进行清洁消毒，会议室定期吸尘清洗（7层）。</w:t>
      </w:r>
    </w:p>
    <w:p w14:paraId="16EDA71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5、各层公共卫生间进行清洁、巡视、消毒，定期大清。</w:t>
      </w:r>
    </w:p>
    <w:p w14:paraId="0E42C3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6、两侧步行梯及消防梯（7层至B1层）清洁，清理烟头杂物。</w:t>
      </w:r>
    </w:p>
    <w:p w14:paraId="6F6F1B8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7、科研楼东段：工会（3层）各办公室、小厅、公共卫生间清洁，营养科（2层）办公室清洁。两侧步行楼梯（3层至地下2层/1层食堂入口通道）地下设备库清洁。</w:t>
      </w:r>
    </w:p>
    <w:p w14:paraId="0120E2B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二、常规保洁要求及标准</w:t>
      </w:r>
    </w:p>
    <w:p w14:paraId="41FBFCC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楼道、楼梯、电梯间、大厅干净整洁、玻璃门窗明亮无明显污迹；地面无污垢、痰迹、纸屑、烟头；天花板、天棚目视无灰尘、无蜘蛛网；窗台无灰尘，窗帘挂放整齐；大理石墙面用纸巾擦拭无灰尘，喷涂墙无污迹；  </w:t>
      </w:r>
    </w:p>
    <w:p w14:paraId="732674A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2、开水间、卫生间每日彻底打扫三次以上。保持无异味、厕坑、镜面无污点；洗手台面无水渍；纸篓超过2/3时需清理；有异味及时处理。</w:t>
      </w:r>
    </w:p>
    <w:p w14:paraId="3E141E3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3、垃圾桶每天更换及擦拭二次，每两周消毒一次；</w:t>
      </w:r>
    </w:p>
    <w:p w14:paraId="1B6E72D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4、保洁工具、保洁用品及个人物品要统一放在指定地点，保证楼道、房间、大厅、开水间、卫生间整洁；</w:t>
      </w:r>
    </w:p>
    <w:p w14:paraId="0EDE64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5、捡拾物品及时上交值班员做失物招领，不许私自处理。</w:t>
      </w:r>
    </w:p>
    <w:p w14:paraId="112CBE5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6、公共设施设备损坏需及时报修，如有跑冒滴漏情况，需及时处理，防止伤害到过往人员。</w:t>
      </w:r>
    </w:p>
    <w:p w14:paraId="5F5FFCC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7、配合院办临时调配、临时房间清理使用时的卫生打扫工作；</w:t>
      </w:r>
    </w:p>
    <w:p w14:paraId="719217B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具体保洁内容（包括但不限于）：科研楼一层大厅、走廊地面、门、窗（内侧）、标牌、不锈钢装饰风口、墙面及地上附属物（包括沙发、家具、垃圾桶等）清洁；楼道：楼梯通道地面、墙面和楼梯扶手的日常清洁；卫生间：公共卫生间地面、门、标牌、墙面、台面、镜子、隔板、灯具及卫生洁具的清洁和消毒，以及大盘纸、洗手液日常消耗品的填充。</w:t>
      </w:r>
    </w:p>
    <w:p w14:paraId="2415A1A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9、垃圾处理：包括生活垃圾处理和医疗垃圾处理。</w:t>
      </w:r>
    </w:p>
    <w:p w14:paraId="5242FD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医院各区域产生的生活垃圾有保洁公司统一收集清运，封口扎紧，放置各科室规定位置回收。医疗垃圾处理：要求按照北京市医用垃圾处理的有关规定严格执行，并服从医院院感科及后勤处的管理。</w:t>
      </w:r>
    </w:p>
    <w:p w14:paraId="5C87A8C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10、机动人员工作要求：</w:t>
      </w:r>
    </w:p>
    <w:p w14:paraId="15BD897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（1）值班时间段保洁巡视工作（遇紧急保洁事件10分钟到达科室）确保工作质量：</w:t>
      </w:r>
    </w:p>
    <w:p w14:paraId="305E799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（2）中午11:30-13:30 科研楼保洁巡视，包含但不少于：垃圾倾倒、卫生间清洁以及临时性保洁工作安排；</w:t>
      </w:r>
    </w:p>
    <w:p w14:paraId="4A0050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（3）小夜班16:30-19:00科研楼保洁巡视，包含但不少于：垃圾倾倒、卫生间清洁以及临时性保洁工作安排；</w:t>
      </w:r>
    </w:p>
    <w:p w14:paraId="48272B06">
      <w:pPr>
        <w:pStyle w:val="15"/>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（4）大夜21:00-6:30 协助完成全院临时性保洁工作安排（接听电话至到岗不超过10分钟）；</w:t>
      </w:r>
    </w:p>
    <w:p w14:paraId="650051EB">
      <w:pPr>
        <w:pStyle w:val="24"/>
        <w:adjustRightInd w:val="0"/>
        <w:snapToGrid w:val="0"/>
        <w:spacing w:line="360" w:lineRule="auto"/>
        <w:ind w:firstLine="422" w:firstLineChars="200"/>
        <w:rPr>
          <w:rFonts w:hAnsi="宋体" w:cs="宋体"/>
          <w:b/>
          <w:color w:val="auto"/>
          <w:szCs w:val="21"/>
          <w:highlight w:val="none"/>
        </w:rPr>
      </w:pPr>
      <w:r>
        <w:rPr>
          <w:rFonts w:hAnsi="宋体" w:cs="宋体"/>
          <w:b/>
          <w:color w:val="auto"/>
          <w:szCs w:val="21"/>
          <w:highlight w:val="none"/>
        </w:rPr>
        <w:t>西侧楼服务范围、日常保洁要求及服务标准</w:t>
      </w:r>
    </w:p>
    <w:p w14:paraId="70E450C6">
      <w:pPr>
        <w:pStyle w:val="24"/>
        <w:adjustRightInd w:val="0"/>
        <w:snapToGrid w:val="0"/>
        <w:spacing w:line="360" w:lineRule="auto"/>
        <w:ind w:firstLine="420" w:firstLineChars="200"/>
        <w:rPr>
          <w:rFonts w:hAnsi="宋体" w:cs="宋体"/>
          <w:color w:val="auto"/>
          <w:szCs w:val="21"/>
          <w:highlight w:val="none"/>
        </w:rPr>
      </w:pPr>
      <w:r>
        <w:rPr>
          <w:rFonts w:hAnsi="宋体" w:cs="宋体"/>
          <w:color w:val="auto"/>
          <w:szCs w:val="21"/>
          <w:highlight w:val="none"/>
        </w:rPr>
        <w:t>一、服务范围</w:t>
      </w:r>
    </w:p>
    <w:p w14:paraId="5D2767F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1、一层大厅、二层、三层办公室等区域，每日进行清洁。所有卫生间清洁消毒、祛除异味、垃圾处理、定期大清。</w:t>
      </w:r>
    </w:p>
    <w:p w14:paraId="5DA239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2、四层消毒供应室严格按照管理规定执行，符合感控要求。</w:t>
      </w:r>
    </w:p>
    <w:p w14:paraId="68F1DDF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3、重点科室--手术室、麻醉科严格按照手术室规定执行，符合感控要求。</w:t>
      </w:r>
    </w:p>
    <w:p w14:paraId="24B20E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4、ICU监护室严格按照管理规定执行，符合感控要求。</w:t>
      </w:r>
    </w:p>
    <w:p w14:paraId="7123E73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5、11层至15层病区：清洁各病区医办室、护士站、换药室、休息室、卫生间、通道、各病房内清洁，严格按照保洁流程完成工作。患者出院后，按要求进行终末消毒。</w:t>
      </w:r>
    </w:p>
    <w:p w14:paraId="5F326CC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6、两侧步行梯： 15至B3清洁，巡视清理烟头、小广告、清洁污渍。</w:t>
      </w:r>
    </w:p>
    <w:p w14:paraId="14AB9A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7、机动（终末消毒）人员负责科室患者出院人数相对集中，人数较多时，协助科室保洁员完成科室终末消毒保洁工作，做好值班期间科室保洁巡视工作，确保科室保洁质量。</w:t>
      </w:r>
    </w:p>
    <w:p w14:paraId="181CD9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二、常规保洁要求及标准</w:t>
      </w:r>
    </w:p>
    <w:p w14:paraId="7D24D61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地面每天至少清洁两次，其它时间进行维持性保洁，保持地面清洁。治疗室、配剂室、护士站、走廊通道每天使用清水或清洁剂湿式清扫至少两次，夜间有人巡扫。如被血液、呕吐物污染即时清理，用2000mg/L含氯消毒剂拖地。</w:t>
      </w:r>
    </w:p>
    <w:p w14:paraId="45BC0D26">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保洁员进入病房应尽量集中作业，避免在患者休息时或进餐时清洁，工作时按照流程要求执行。按规定分类收集垃圾，清拖地面，保持清洁，擦抹病床、治疗带/氧气带，床头柜等。维护病房内病床、床头柜、壁柜、治疗带的清洁，患者出院或死亡要及时做好床位的消毒处理。</w:t>
      </w:r>
    </w:p>
    <w:p w14:paraId="2CF82A7C">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3、护士站、治疗室、换药室的保洁工作听从医护人员的指导，及时做好清理工作，确保清洁卫生。清洁内容如下：</w:t>
      </w:r>
    </w:p>
    <w:p w14:paraId="12BCF565">
      <w:pPr>
        <w:pStyle w:val="161"/>
        <w:tabs>
          <w:tab w:val="left" w:pos="426"/>
        </w:tabs>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（1）桌面、文件柜等洁净。</w:t>
      </w:r>
    </w:p>
    <w:p w14:paraId="4F67A0E8">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（2）椅子、椅子腿干净，摆放整齐</w:t>
      </w:r>
    </w:p>
    <w:p w14:paraId="2EB158FC">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（3）垃圾桶整洁；垃圾及时清倒；垃圾袋及时更换。</w:t>
      </w:r>
    </w:p>
    <w:p w14:paraId="4EE5B7F5">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（4）清洁墙面、踢脚线等。</w:t>
      </w:r>
    </w:p>
    <w:p w14:paraId="1B47B262">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（5）按程序清洁文件柜、展示柜、书架、各打印、复印设备。</w:t>
      </w:r>
    </w:p>
    <w:p w14:paraId="5D54859E">
      <w:pPr>
        <w:pStyle w:val="161"/>
        <w:adjustRightInd w:val="0"/>
        <w:snapToGrid w:val="0"/>
        <w:spacing w:line="360" w:lineRule="auto"/>
        <w:ind w:left="420" w:leftChars="200" w:firstLine="0" w:firstLineChars="0"/>
        <w:contextualSpacing/>
        <w:rPr>
          <w:rFonts w:ascii="宋体" w:hAnsi="宋体" w:cs="宋体"/>
          <w:color w:val="auto"/>
          <w:szCs w:val="21"/>
          <w:highlight w:val="none"/>
        </w:rPr>
      </w:pPr>
      <w:r>
        <w:rPr>
          <w:rFonts w:hint="eastAsia" w:ascii="宋体" w:hAnsi="宋体" w:cs="宋体"/>
          <w:color w:val="auto"/>
          <w:szCs w:val="21"/>
          <w:highlight w:val="none"/>
        </w:rPr>
        <w:t>（6）玻璃、窗框洁净。</w:t>
      </w:r>
    </w:p>
    <w:p w14:paraId="5FACACC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办公区域按规定分类收集垃圾，清拖地面，保持清洁，擦抹门窗、办公室家具。特殊情况下应先敲门再进入，使用文明用语。工作时应保持安静，不得大声喧哗，工作性交谈小声进行，不得干扰医护人员休息。医院办公室、休息室内保持干净，桌椅摆放整齐。</w:t>
      </w:r>
    </w:p>
    <w:p w14:paraId="080BEFC1">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通道、楼梯保洁：经常巡视通道或楼梯，自下而上清扫垃圾、尘土，将果皮纸屑烟头清理后倒入垃圾桶，用托布擦地面台阶，清洗数次；用抹布自下而上擦拭扶手和栏杆。雨雪天要及时放置地毯等防止水渍带入通道。</w:t>
      </w:r>
    </w:p>
    <w:p w14:paraId="658F01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污物间：保持物品、工具摆放整齐，室内无乱摆乱放现象。水池及时清理，无垃圾堵塞。医疗垃圾放置规定位置，收集整理好，做好相应登记，等待运送。医疗废弃物做到按照医院有关垃圾分类的流程，按时做好医疗垃圾封口、贴好标识，收集并送到指定地点集中转送。做好相关收集登记交接转运手续。</w:t>
      </w:r>
    </w:p>
    <w:p w14:paraId="0808050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7、卫生间：清洁标准（作为三级甲等医院的规定卫生间清洁要求做到“专人专间专工具”管理）</w:t>
      </w:r>
    </w:p>
    <w:p w14:paraId="3A9DFD7B">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（1）每天重点清理洗手间，进入洗手间前将清洁指示牌放置门前，打开门窗通风。</w:t>
      </w:r>
    </w:p>
    <w:p w14:paraId="2DC96793">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（2）擦拭面盆表面包括台面、墙面、门窗标牌、镜面等，用干布擦抹干净，必要时随时擦拭镜面保持明净。</w:t>
      </w:r>
    </w:p>
    <w:p w14:paraId="6EDBBD59">
      <w:pPr>
        <w:pStyle w:val="161"/>
        <w:adjustRightInd w:val="0"/>
        <w:snapToGrid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（3）擦拭洗手盆、水龙头、皂液盒，无污物、无水渍、无杂物，保持清洁，经常巡回擦拭台面。</w:t>
      </w:r>
    </w:p>
    <w:p w14:paraId="52C08C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（4）擦拭洗手间瓷砖墙面、隔断板、隔断门，用湿、干拖布擦地，维持干净。</w:t>
      </w:r>
    </w:p>
    <w:p w14:paraId="7BEDBD3C">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（5）擦拭洁具表面包括水箱、水管、盖板两面基座周围，注意卫生死角。厕位后侧面墙面、小便池上下内外要求保持干净。刷洗大小便器，反复刷洗至干净。</w:t>
      </w:r>
    </w:p>
    <w:p w14:paraId="50E4406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（6）金属器具压水杆及不锈钢扶手、电镀件保持洁净。</w:t>
      </w:r>
    </w:p>
    <w:p w14:paraId="6C652D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（7）要经常干湿拖地面，及时清理边角烟头纸屑杂物、积水等。</w:t>
      </w:r>
    </w:p>
    <w:p w14:paraId="36071197">
      <w:pPr>
        <w:pStyle w:val="161"/>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（8）清扫地面垃圾夹出烟头杂物冲洗洁具。及时清倒垃圾桶，垃圾袋及时更换，垃圾桶内壁及桶后墙面要及时清洁。</w:t>
      </w:r>
    </w:p>
    <w:p w14:paraId="012767C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（9）定期清洁天花板、排风口、灯具灯罩。</w:t>
      </w:r>
    </w:p>
    <w:p w14:paraId="7491F8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（10）经常巡视冲洗厕位。</w:t>
      </w:r>
    </w:p>
    <w:p w14:paraId="6017C98F">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（11）及时添加补充大盘纸及洗手液。</w:t>
      </w:r>
    </w:p>
    <w:p w14:paraId="4C359ACD">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（12）检查卫生间内各种设备，发现损坏及时报修。</w:t>
      </w:r>
    </w:p>
    <w:p w14:paraId="7E349C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8、垃圾处理：包括生活垃圾处理和医疗垃圾处理。</w:t>
      </w:r>
    </w:p>
    <w:p w14:paraId="3AEE95A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院各区域产生的生活垃圾有保洁公司统一收集清运，封口扎紧，放置各科室规定位置有垃圾清运工统一回收。医疗垃圾处理：要求按照北京市医用垃圾处理的有关规定严格执行，并服从医院院感科及后勤处的管理。</w:t>
      </w:r>
    </w:p>
    <w:p w14:paraId="5022A41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9、机动人员工作要求：</w:t>
      </w:r>
    </w:p>
    <w:p w14:paraId="7071D2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（1）患者出院人数相对集中，人数较多时（上午8:00-11：00），协助科室保洁员完成科室终末消毒保洁工作，保持电话畅通，接到通知后10分钟内到达科室，确保工作质量；</w:t>
      </w:r>
    </w:p>
    <w:p w14:paraId="7953D15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（2）值班时间段保洁巡视工作（遇保洁事件保证10分钟到位）确保工作质量：</w:t>
      </w:r>
    </w:p>
    <w:p w14:paraId="5B7F98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（3）中午11:30-13:30 每个病房保洁巡视，包含但不少于：垃圾倾倒、卫生间清洁以及病房临时性保洁工作安排；</w:t>
      </w:r>
    </w:p>
    <w:p w14:paraId="6DC5662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（4）小夜班16:30-21:00每个病房保洁巡视，包含但不少于：垃圾倾倒、卫生间清洁以及病房临时性保洁工作安排；</w:t>
      </w:r>
    </w:p>
    <w:p w14:paraId="4B2CDE1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（5）大夜21:00-6:30 协助完成全院临时性保洁工作安排（接听电话至到岗不超过10分钟）；</w:t>
      </w:r>
    </w:p>
    <w:p w14:paraId="36C6516E">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手术室常规保洁要求及标准</w:t>
      </w:r>
    </w:p>
    <w:p w14:paraId="22C01D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1、手术前30分钟开启净化空调系统，连续运行，直至手术间清洁消毒工作完成后关闭。</w:t>
      </w:r>
    </w:p>
    <w:p w14:paraId="11241F4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2、每星期一早上用清水擦拭所有手术间物品表面，用500mg/L含氯消毒液擦净所有地面，擦拭水池子、门把手、灯具开关、栏杆等。</w:t>
      </w:r>
    </w:p>
    <w:p w14:paraId="4A572A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3、手术间物品（手术床、车、墙面、地面、各类家具及仪器表面）均用消毒液擦拭，被血或分泌物污染处用消毒液擦拭后，再用清水擦拭。电脑、灯具、玻璃使用消毒纸巾。</w:t>
      </w:r>
    </w:p>
    <w:p w14:paraId="6AB0EE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4、所有外来的仪器设备应在缓冲间仔细擦拭后，方可进入手术间。</w:t>
      </w:r>
    </w:p>
    <w:p w14:paraId="36C6F28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5、擦拭手术间物体表面的每一块抹布，使用后统用500mg/L的含氯消毒液清洗。</w:t>
      </w:r>
    </w:p>
    <w:p w14:paraId="4B85736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6、设置专用墩布，感染手术和非感染手术墩布分别放置，集中送洗。</w:t>
      </w:r>
    </w:p>
    <w:p w14:paraId="5D275E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7、扫把和簸箕每日消毒一次（取500mg/片的含氯消毒片1片配500m1水)。保洁物品分开放置，清洁区，污染区分别使用。</w:t>
      </w:r>
    </w:p>
    <w:p w14:paraId="2005B78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8、内走廊地面每日拖3次，污物间、清洁间、污物传送梯随时保持整洁、无异味、无蚊蝇、无蟑螂。</w:t>
      </w:r>
    </w:p>
    <w:p w14:paraId="0C9781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9、推车要每日清洁消毒。</w:t>
      </w:r>
    </w:p>
    <w:p w14:paraId="11172C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台手术完毕后，采用术后湿式打扫，保证无灰尘。所有敷料均用手术衣包裹或布袋打包好。更换负压引流袋并安装好，放入黄色垃圾袋贴上标识，3/4满时进行有效的封口，辅料和垃圾袋放置于科室指定的暂时储存点，由专人负责统-回收处理。</w:t>
      </w:r>
    </w:p>
    <w:p w14:paraId="7A375F4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11、胸科两切口或三切口手术的所用敷料及垃圾，贴上专用标识，放在一个固定的地方，等这台手术全部完毕后再进行统一处理。</w:t>
      </w:r>
    </w:p>
    <w:p w14:paraId="195D1B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12、感染及急诊手术患者产生的医疗废物和排泄物按感染手术处理，用2000mg/L含氯消毒液擦拭物体表面，医疗废物要用双层黄色垃圾袋收纳。</w:t>
      </w:r>
    </w:p>
    <w:p w14:paraId="3D9520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13、利器盒、吻合器放入外面有标识的黄色垃圾袋内，放置于科室指定暂时储存点由专人统一回收处理。</w:t>
      </w:r>
    </w:p>
    <w:p w14:paraId="3C2136D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14、科室设立医疗废物运送登记本，手术间保洁员和医疗废物人员双方签字。</w:t>
      </w:r>
    </w:p>
    <w:p w14:paraId="4FC1B3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15、每次收完污染间的医疗废物后及时清扫擦拭污物间。</w:t>
      </w:r>
    </w:p>
    <w:p w14:paraId="62D8A8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16、十层通往外楼道的门要严格执行随手关门，设置一件外出衣和一双拖鞋。</w:t>
      </w:r>
    </w:p>
    <w:p w14:paraId="069125B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17、每星期五彻底打扫手术间卫生，用500mg/L含氯消毒液擦拭手术间内物品表面，地面，墙壁，门窗，体位垫、橱柜等。</w:t>
      </w:r>
    </w:p>
    <w:p w14:paraId="77284DF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备注：所有在手术间地面上的盒子问清楚后再行处理。</w:t>
      </w:r>
    </w:p>
    <w:p w14:paraId="30DBF90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18、卫生间：清洁标准（作为三级甲等医院的规定卫生间清洁要求做到“专人专间专工具”管理）</w:t>
      </w:r>
    </w:p>
    <w:p w14:paraId="4980D0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（1）每天重点清理洗手间，进入洗手间前将清洁指示牌放置门前，打开门窗通风。</w:t>
      </w:r>
    </w:p>
    <w:p w14:paraId="6C92F3D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（2）擦拭面盆表面包括台面、墙面、门窗标牌、镜面等，用干布擦抹干净，必要时随时擦拭镜面保持明净。</w:t>
      </w:r>
    </w:p>
    <w:p w14:paraId="56C8581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（3）擦拭洗手盆、水龙头、皂液盒，无污物、无水渍、无杂物，保持清洁，经常巡回擦拭台面。</w:t>
      </w:r>
    </w:p>
    <w:p w14:paraId="06574D7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（4）擦拭洗手间瓷砖墙面、隔断板、隔断门，用湿、干拖布擦地，维持干净。</w:t>
      </w:r>
    </w:p>
    <w:p w14:paraId="35AA3F56">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（5）擦拭洁具表面包括水箱、水管、盖板两面基座周围，注意卫生死角。厕位后侧面墙面、小便池上下内外要求保持干净。刷洗大小便器，反复刷洗至干净。</w:t>
      </w:r>
    </w:p>
    <w:p w14:paraId="2080F3C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（6）金属器具压水杆及不锈钢扶手、电镀件保持洁净。</w:t>
      </w:r>
    </w:p>
    <w:p w14:paraId="30F497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（7）要经常干湿拖地面，及时清理边角烟头纸屑杂物、积水等。</w:t>
      </w:r>
    </w:p>
    <w:p w14:paraId="0F46EB6D">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（8）清扫地面垃圾夹出烟头杂物冲洗洁具。及时清倒垃圾桶，垃圾袋及时更换，垃圾桶内壁及桶后墙面要及时清洁。</w:t>
      </w:r>
    </w:p>
    <w:p w14:paraId="0112FC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（9）定期清洁天花板、排风口、灯具灯罩。</w:t>
      </w:r>
    </w:p>
    <w:p w14:paraId="14A7E29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（10）经常巡视冲洗厕位。</w:t>
      </w:r>
    </w:p>
    <w:p w14:paraId="0347153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（11）及时添加补充大盘纸及洗手液。</w:t>
      </w:r>
    </w:p>
    <w:p w14:paraId="1275FCA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（12）检查卫生间内各种设备，发现损坏及时报修。</w:t>
      </w:r>
    </w:p>
    <w:p w14:paraId="796351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19、垃圾处理：包括生活垃圾处理和医疗垃圾处理。</w:t>
      </w:r>
    </w:p>
    <w:p w14:paraId="41C0DB0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医院各区域产生的生活垃圾有保洁公司统一收集清运，封口扎紧，放置各科室规定位置回收。医疗垃圾处理：要求按照北京市医用垃圾处理的有关规定严格执行，并服从医院院感科及后勤处的管理。</w:t>
      </w:r>
    </w:p>
    <w:p w14:paraId="52822C71">
      <w:pPr>
        <w:pStyle w:val="24"/>
        <w:adjustRightInd w:val="0"/>
        <w:snapToGrid w:val="0"/>
        <w:spacing w:line="360" w:lineRule="auto"/>
        <w:ind w:firstLine="422" w:firstLineChars="200"/>
        <w:rPr>
          <w:rFonts w:hAnsi="宋体" w:cs="宋体"/>
          <w:b/>
          <w:color w:val="auto"/>
          <w:szCs w:val="21"/>
          <w:highlight w:val="none"/>
        </w:rPr>
      </w:pPr>
      <w:r>
        <w:rPr>
          <w:rFonts w:hAnsi="宋体" w:cs="宋体"/>
          <w:b/>
          <w:color w:val="auto"/>
          <w:szCs w:val="21"/>
          <w:highlight w:val="none"/>
        </w:rPr>
        <w:t>北院区（1-5层门诊及办公区域）服务范围、日常保洁要求及服务标准</w:t>
      </w:r>
    </w:p>
    <w:p w14:paraId="2598A5F8">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1、服务区域：1-5层门诊及办公区域：挂号处、收费处、检查室、药房药库、诊室、采血室、检验科、超声科、内镜科、公共区域、办公区域及会议室按感控高要求擦拭消毒。</w:t>
      </w:r>
    </w:p>
    <w:p w14:paraId="0DEF2989">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2、楼梯：1-4层步行梯清洁卫生清理烟头杂物、小广告。</w:t>
      </w:r>
    </w:p>
    <w:p w14:paraId="69FF0534">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3、公共卫生间：进行清洁、巡视、消毒、祛除异味、垃圾处理，结合院方实际情况定期大清，（乙方自行制定大清频率及方案，频率和方案需经甲方确认）包括但不少于：墙面、隔板、便池内、洗手池等。</w:t>
      </w:r>
    </w:p>
    <w:p w14:paraId="5A429DC6">
      <w:pPr>
        <w:pStyle w:val="164"/>
        <w:adjustRightInd w:val="0"/>
        <w:snapToGrid w:val="0"/>
        <w:spacing w:line="360" w:lineRule="auto"/>
        <w:ind w:firstLine="480" w:firstLineChars="0"/>
        <w:rPr>
          <w:rFonts w:ascii="宋体" w:hAnsi="宋体" w:cs="宋体"/>
          <w:color w:val="auto"/>
          <w:szCs w:val="21"/>
          <w:highlight w:val="none"/>
        </w:rPr>
      </w:pPr>
      <w:r>
        <w:rPr>
          <w:rFonts w:hint="eastAsia" w:ascii="宋体" w:hAnsi="宋体" w:cs="宋体"/>
          <w:color w:val="auto"/>
          <w:szCs w:val="21"/>
          <w:highlight w:val="none"/>
        </w:rPr>
        <w:t>4、各入口卫生：门诊大厅、西门、南门及北门（服务标准同主院区门诊楼）</w:t>
      </w:r>
    </w:p>
    <w:p w14:paraId="26F30E3B">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5、办公用房：进行清洁</w:t>
      </w:r>
    </w:p>
    <w:p w14:paraId="2FF0E27D">
      <w:pPr>
        <w:pStyle w:val="15"/>
        <w:adjustRightInd w:val="0"/>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CRC办公区服务范围、日常保洁要求及服务标准</w:t>
      </w:r>
    </w:p>
    <w:p w14:paraId="76BF826C">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1、地面推尘，墙体设备开关，门体的擦拭，确保地面、开关、门体干净、整洁、无污渍、无水渍；</w:t>
      </w:r>
    </w:p>
    <w:p w14:paraId="2CD8130D">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2、公共卫生间进行清洁、巡视、消毒，结合院方实际情况定期大清，（乙方自行制定大清频率及方案，频率和方案需经甲方确认）包括但不少于：墙面、隔板、便池内、洗手池等。</w:t>
      </w:r>
    </w:p>
    <w:p w14:paraId="4301C264">
      <w:pPr>
        <w:pStyle w:val="164"/>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3、办公室、公共区域内侧，外侧3米以内的玻璃进行清洁，无尘土、无水印、无污迹；</w:t>
      </w:r>
    </w:p>
    <w:p w14:paraId="083EC34F">
      <w:pPr>
        <w:pStyle w:val="164"/>
        <w:adjustRightInd w:val="0"/>
        <w:snapToGrid w:val="0"/>
        <w:spacing w:line="360" w:lineRule="auto"/>
        <w:ind w:firstLine="480" w:firstLineChars="0"/>
        <w:rPr>
          <w:rFonts w:ascii="宋体" w:hAnsi="宋体" w:cs="宋体"/>
          <w:color w:val="auto"/>
          <w:szCs w:val="21"/>
          <w:highlight w:val="none"/>
        </w:rPr>
      </w:pPr>
      <w:r>
        <w:rPr>
          <w:rFonts w:hint="eastAsia" w:ascii="宋体" w:hAnsi="宋体" w:cs="宋体"/>
          <w:color w:val="auto"/>
          <w:szCs w:val="21"/>
          <w:highlight w:val="none"/>
        </w:rPr>
        <w:t>4、办公室南侧门平台及南北两侧门前三包任务（服务标准同科研楼办公区域要求）。</w:t>
      </w:r>
    </w:p>
    <w:p w14:paraId="464CA6AD">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专项保洁服务要求</w:t>
      </w:r>
    </w:p>
    <w:p w14:paraId="2645B79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1、对医院楼区内各种材质地面（石材地面、PVC地面）进行相应的清洁、维护、保养</w:t>
      </w:r>
    </w:p>
    <w:p w14:paraId="4AB81D2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2、对医院内所有房间、公共区域内侧，外侧3米以内的玻璃进行清洁，无尘土、无水印、无污迹。</w:t>
      </w:r>
    </w:p>
    <w:p w14:paraId="36383DA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3、对科研楼、门诊区域地毯进行结合甲方实际情况定期清洁，（乙方自行制定频率及方案，频率和方案需经甲方确认）保证：无水印、无污迹。</w:t>
      </w:r>
    </w:p>
    <w:p w14:paraId="6EF263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4、完成各区域排风口、灯具、换气扇等高处设备设施的清洁。</w:t>
      </w:r>
    </w:p>
    <w:p w14:paraId="3AED838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5、完成临时性重点清洁、开荒保洁服务工作,不包含</w:t>
      </w:r>
      <w:r>
        <w:rPr>
          <w:rFonts w:ascii="宋体" w:hAnsi="宋体" w:cs="宋体"/>
          <w:color w:val="auto"/>
          <w:szCs w:val="21"/>
          <w:highlight w:val="none"/>
        </w:rPr>
        <w:t>北院区未使用区域施工改造后的开荒保洁工作。</w:t>
      </w:r>
    </w:p>
    <w:p w14:paraId="0842443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6、对于地面护理和服务所使用的各类清洁剂、蜡、光亮剂等质量均应符合国家有关卫生及环保标准，不得使用任何有害人体健康的清洗用品及原料。</w:t>
      </w:r>
    </w:p>
    <w:p w14:paraId="3C484B09">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外保洁服务范围及要求</w:t>
      </w:r>
    </w:p>
    <w:p w14:paraId="20DB55E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1、甲方院落内主路、天井、平台、甲方门前三包任务、清理小广告，北门小广场及通道。非医疗废弃物和废品收集。甲方院落中的标识牌擦拭。</w:t>
      </w:r>
    </w:p>
    <w:p w14:paraId="2D17A5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2、协助配合相关部门进行公共区域劝烟工作，及时清理地面烟头。</w:t>
      </w:r>
    </w:p>
    <w:p w14:paraId="6E7EB5FF">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其他服务</w:t>
      </w:r>
    </w:p>
    <w:p w14:paraId="08CEB01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1、生活垃圾、医疗垃圾、涉疫医疗垃圾、输液瓶袋由专人收集转运，严格按照医院院感科要求和管理制度执行。并根据北京市生活垃圾分类有关要求，对生活垃圾进行分类、转运。</w:t>
      </w:r>
    </w:p>
    <w:p w14:paraId="73A8AD4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2、乙方需具备可回收生活废弃物转运的再生资源回收业务范围，或乙方与营业范围内有“再生资源回收”的第三方签订可回收转运协议（合同在有效期内），负责收集、清运、处置甲方院内可回收生活废弃物。</w:t>
      </w:r>
    </w:p>
    <w:p w14:paraId="32588A4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卫生间喷香机</w:t>
      </w:r>
    </w:p>
    <w:p w14:paraId="0EB74643">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乙方为甲方公共区域卫生间免费提供不少于48个电子喷香机及所有包括但不限于喷香罐、耗材垃圾袋、清洁药剂、清洁工具等，并由乙方提供相应保洁工具。</w:t>
      </w:r>
    </w:p>
    <w:p w14:paraId="6530DA0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（注：所有乙方提供的消毒品需接受甲方审核监督，满足甲方要求，并完成院感备案、主管科室备案）。</w:t>
      </w:r>
    </w:p>
    <w:p w14:paraId="0FFFE3F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其他要求</w:t>
      </w:r>
    </w:p>
    <w:p w14:paraId="0CC46B4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1、负责甲方医院内废弃纸箱的收集及整理后放置在指定地点，乙方员工不得私自买卖。</w:t>
      </w:r>
    </w:p>
    <w:p w14:paraId="2250DE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2、负责甲方院内保洁专用布草洗涤工作。</w:t>
      </w:r>
    </w:p>
    <w:p w14:paraId="7F0AE35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3、甲方不为乙方提供办公场所及宿舍。</w:t>
      </w:r>
    </w:p>
    <w:p w14:paraId="6E5C1A0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4.乙方组织相关岗位每半年至少开展一次专项应急预案演练。</w:t>
      </w:r>
    </w:p>
    <w:p w14:paraId="6FFD48BE">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其他重点服务</w:t>
      </w:r>
    </w:p>
    <w:p w14:paraId="6C0590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1.、对院区内所有公共设备，如挂号机、取片机、报告机、门把手等设备设施，每日不少于三次的清洁、消毒，并好做有关记录。</w:t>
      </w:r>
    </w:p>
    <w:p w14:paraId="61F93A97">
      <w:pPr>
        <w:adjustRightInd w:val="0"/>
        <w:snapToGrid w:val="0"/>
        <w:spacing w:line="360" w:lineRule="auto"/>
        <w:rPr>
          <w:rFonts w:ascii="宋体" w:hAnsi="宋体" w:cs="宋体"/>
          <w:b/>
          <w:color w:val="auto"/>
          <w:szCs w:val="21"/>
          <w:highlight w:val="none"/>
        </w:rPr>
      </w:pPr>
    </w:p>
    <w:p w14:paraId="6A3F806D">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第六条　工作总结与计划</w:t>
      </w:r>
    </w:p>
    <w:p w14:paraId="33976BCC">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乙方应派出一名主管负责人负责工作质量检查和工作过程中紧急情况的处理，并于每月月底之前将当月的工作总结和下月的工计划以书面形式报告甲方。</w:t>
      </w:r>
    </w:p>
    <w:p w14:paraId="11C6CAD6">
      <w:pPr>
        <w:adjustRightInd w:val="0"/>
        <w:snapToGrid w:val="0"/>
        <w:spacing w:line="360" w:lineRule="auto"/>
        <w:rPr>
          <w:rFonts w:ascii="宋体" w:hAnsi="宋体" w:cs="宋体"/>
          <w:b/>
          <w:color w:val="auto"/>
          <w:szCs w:val="21"/>
          <w:highlight w:val="none"/>
        </w:rPr>
      </w:pPr>
    </w:p>
    <w:p w14:paraId="2AC4CE47">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第七条　质量承诺</w:t>
      </w:r>
    </w:p>
    <w:p w14:paraId="5E399B1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1、乙方保证认真完成本合同及附件中所规定的作业项目和标准，确保工作质量，</w:t>
      </w:r>
      <w:bookmarkStart w:id="855" w:name="_Hlk519577377"/>
      <w:r>
        <w:rPr>
          <w:rFonts w:hint="eastAsia" w:ascii="宋体" w:hAnsi="宋体" w:cs="宋体"/>
          <w:color w:val="auto"/>
          <w:szCs w:val="21"/>
          <w:highlight w:val="none"/>
        </w:rPr>
        <w:t>确保甲方及甲方客户对乙方的服务</w:t>
      </w:r>
      <w:bookmarkEnd w:id="855"/>
      <w:r>
        <w:rPr>
          <w:rFonts w:hint="eastAsia" w:ascii="宋体" w:hAnsi="宋体" w:cs="宋体"/>
          <w:color w:val="auto"/>
          <w:szCs w:val="21"/>
          <w:highlight w:val="none"/>
        </w:rPr>
        <w:t>满意，并每月征求临床工作人员对服务工作的意见，并将结果向甲方积极汇报。</w:t>
      </w:r>
    </w:p>
    <w:p w14:paraId="50AA01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2、乙方在承担的工作范围内，需力保达到服务标准并不断提高服务质量，甲方每月进行满意度调查，满意度调查结果不得低于85%。调查对象为甲方全体工作人员。</w:t>
      </w:r>
    </w:p>
    <w:p w14:paraId="5623FB54">
      <w:pPr>
        <w:adjustRightInd w:val="0"/>
        <w:snapToGrid w:val="0"/>
        <w:spacing w:line="360" w:lineRule="auto"/>
        <w:rPr>
          <w:rFonts w:ascii="宋体" w:hAnsi="宋体" w:cs="宋体"/>
          <w:b/>
          <w:color w:val="auto"/>
          <w:szCs w:val="21"/>
          <w:highlight w:val="none"/>
        </w:rPr>
      </w:pPr>
    </w:p>
    <w:p w14:paraId="3FD0082C">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第八条　原料与设备</w:t>
      </w:r>
    </w:p>
    <w:p w14:paraId="6E6C50E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1、乙方提供设备、绿色环保用品、用具（品牌），作业用品应及时更新保证安全。</w:t>
      </w:r>
    </w:p>
    <w:p w14:paraId="281631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2、乙方提供日常保洁所需的设备、工具、服装、物料等。</w:t>
      </w:r>
    </w:p>
    <w:p w14:paraId="197CD5C0">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3、乙方为保证工作质量，须根据不同材质，采用相适应的原料和操作方法。</w:t>
      </w:r>
    </w:p>
    <w:p w14:paraId="2C098679">
      <w:pPr>
        <w:adjustRightInd w:val="0"/>
        <w:snapToGrid w:val="0"/>
        <w:spacing w:line="360" w:lineRule="auto"/>
        <w:rPr>
          <w:rFonts w:ascii="宋体" w:hAnsi="宋体" w:cs="宋体"/>
          <w:b/>
          <w:color w:val="auto"/>
          <w:szCs w:val="21"/>
          <w:highlight w:val="none"/>
        </w:rPr>
      </w:pPr>
    </w:p>
    <w:p w14:paraId="54FF0E17">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第九条　监督检查</w:t>
      </w:r>
    </w:p>
    <w:p w14:paraId="19C2636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1、甲方对乙方提供的服务享有监督权和检查权，有权对乙方服务提出意见和建议的权利。</w:t>
      </w:r>
    </w:p>
    <w:p w14:paraId="5DAB848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2、乙方应当保证其服务质量的，作业完毕应主动邀请甲方进行检查；对不合格部分，乙方应进行重新处理，直到甲方满意为止。</w:t>
      </w:r>
    </w:p>
    <w:p w14:paraId="6589B91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3、甲方对乙方的服务及质量不满意时有权提出异议，并要求乙方立即返工。</w:t>
      </w:r>
    </w:p>
    <w:p w14:paraId="7D955FC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4、乙方应积极采纳甲方在管理方面的合理化建议，协助甲方处理有关投诉。</w:t>
      </w:r>
    </w:p>
    <w:p w14:paraId="38212872">
      <w:pPr>
        <w:adjustRightInd w:val="0"/>
        <w:snapToGrid w:val="0"/>
        <w:spacing w:line="360" w:lineRule="auto"/>
        <w:rPr>
          <w:rFonts w:ascii="宋体" w:hAnsi="宋体" w:cs="宋体"/>
          <w:b/>
          <w:color w:val="auto"/>
          <w:szCs w:val="21"/>
          <w:highlight w:val="none"/>
        </w:rPr>
      </w:pPr>
    </w:p>
    <w:p w14:paraId="5F11AA9C">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第十条　损害赔偿</w:t>
      </w:r>
    </w:p>
    <w:p w14:paraId="4832A9F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1、乙方在作业中应严格要求工作人员，做好各种防护措施，不得擅自挪用甲方的物品</w:t>
      </w:r>
      <w:bookmarkStart w:id="856" w:name="_Hlk519577423"/>
      <w:r>
        <w:rPr>
          <w:rFonts w:hint="eastAsia" w:ascii="宋体" w:hAnsi="宋体" w:cs="宋体"/>
          <w:color w:val="auto"/>
          <w:szCs w:val="21"/>
          <w:highlight w:val="none"/>
        </w:rPr>
        <w:t>，做到</w:t>
      </w:r>
      <w:bookmarkEnd w:id="856"/>
      <w:r>
        <w:rPr>
          <w:rFonts w:hint="eastAsia" w:ascii="宋体" w:hAnsi="宋体" w:cs="宋体"/>
          <w:color w:val="auto"/>
          <w:szCs w:val="21"/>
          <w:highlight w:val="none"/>
        </w:rPr>
        <w:t>加强管理，安全生产。</w:t>
      </w:r>
    </w:p>
    <w:p w14:paraId="6642EC8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工作进行中，如发现甲方物体材质有破损迹象，应及时保护现场，立即向甲方通报。由于乙方在日常工作中不慎给甲方设施、材料及甲方工作人员或就医患者造成人身损害或财产损失的，乙方应承担全部赔偿责任。</w:t>
      </w:r>
      <w:bookmarkStart w:id="857" w:name="_Hlk519577447"/>
      <w:r>
        <w:rPr>
          <w:rFonts w:hint="eastAsia" w:ascii="宋体" w:hAnsi="宋体" w:cs="宋体"/>
          <w:color w:val="auto"/>
          <w:szCs w:val="21"/>
          <w:highlight w:val="none"/>
        </w:rPr>
        <w:t>如甲方基于相关法律法规进行赔偿（不限于司法认定的赔偿）的，甲方可以向乙方求偿包括因前述事项而承担的赔偿金额及因此发生的合理费用（包括但不限于诉讼费用、律师代理费用等），乙方应予以赔偿。</w:t>
      </w:r>
      <w:bookmarkEnd w:id="857"/>
    </w:p>
    <w:p w14:paraId="68BA9EEF">
      <w:pPr>
        <w:adjustRightInd w:val="0"/>
        <w:snapToGrid w:val="0"/>
        <w:spacing w:line="360" w:lineRule="auto"/>
        <w:rPr>
          <w:rFonts w:ascii="宋体" w:hAnsi="宋体" w:cs="宋体"/>
          <w:b/>
          <w:color w:val="auto"/>
          <w:szCs w:val="21"/>
          <w:highlight w:val="none"/>
        </w:rPr>
      </w:pPr>
    </w:p>
    <w:p w14:paraId="3E214BEB">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第十一条　安全防护</w:t>
      </w:r>
    </w:p>
    <w:p w14:paraId="497E9B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1、乙方有权按照自己的服务方案（主要是涉及安全方面的工作）进行服务的权利，乙方人员应当遵守国家法律法规以及甲方的规章制度。</w:t>
      </w:r>
    </w:p>
    <w:p w14:paraId="7743185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2、乙方应为员工提供工作所必须的防护用品，确保员工作业安全。</w:t>
      </w:r>
    </w:p>
    <w:p w14:paraId="436122A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858" w:name="_Hlk519577502"/>
      <w:r>
        <w:rPr>
          <w:rFonts w:hint="eastAsia" w:ascii="宋体" w:hAnsi="宋体" w:cs="宋体"/>
          <w:color w:val="auto"/>
          <w:szCs w:val="21"/>
          <w:highlight w:val="none"/>
        </w:rPr>
        <w:t>乙方应确保其工作人员的工作安全。</w:t>
      </w:r>
      <w:bookmarkEnd w:id="858"/>
      <w:r>
        <w:rPr>
          <w:rFonts w:hint="eastAsia" w:ascii="宋体" w:hAnsi="宋体" w:cs="宋体"/>
          <w:color w:val="auto"/>
          <w:szCs w:val="21"/>
          <w:highlight w:val="none"/>
        </w:rPr>
        <w:t>乙方应为其员工缴纳意外伤害保险，如</w:t>
      </w:r>
      <w:bookmarkStart w:id="859" w:name="_Hlk519577517"/>
      <w:r>
        <w:rPr>
          <w:rFonts w:hint="eastAsia" w:ascii="宋体" w:hAnsi="宋体" w:cs="宋体"/>
          <w:color w:val="auto"/>
          <w:szCs w:val="21"/>
          <w:highlight w:val="none"/>
        </w:rPr>
        <w:t>因乙方</w:t>
      </w:r>
      <w:bookmarkEnd w:id="859"/>
      <w:r>
        <w:rPr>
          <w:rFonts w:hint="eastAsia" w:ascii="宋体" w:hAnsi="宋体" w:cs="宋体"/>
          <w:color w:val="auto"/>
          <w:szCs w:val="21"/>
          <w:highlight w:val="none"/>
        </w:rPr>
        <w:t>员工工作不当</w:t>
      </w:r>
      <w:bookmarkStart w:id="860" w:name="_Hlk519577530"/>
      <w:r>
        <w:rPr>
          <w:rFonts w:hint="eastAsia" w:ascii="宋体" w:hAnsi="宋体" w:cs="宋体"/>
          <w:color w:val="auto"/>
          <w:szCs w:val="21"/>
          <w:highlight w:val="none"/>
        </w:rPr>
        <w:t>等归责于乙方员工的原因</w:t>
      </w:r>
      <w:bookmarkEnd w:id="860"/>
      <w:r>
        <w:rPr>
          <w:rFonts w:hint="eastAsia" w:ascii="宋体" w:hAnsi="宋体" w:cs="宋体"/>
          <w:color w:val="auto"/>
          <w:szCs w:val="21"/>
          <w:highlight w:val="none"/>
        </w:rPr>
        <w:t>，出现意外伤害情况的，由乙方</w:t>
      </w:r>
      <w:bookmarkStart w:id="861" w:name="_Hlk519577553"/>
      <w:r>
        <w:rPr>
          <w:rFonts w:hint="eastAsia" w:ascii="宋体" w:hAnsi="宋体" w:cs="宋体"/>
          <w:color w:val="auto"/>
          <w:szCs w:val="21"/>
          <w:highlight w:val="none"/>
        </w:rPr>
        <w:t>自行承担全部责任，与甲方无关</w:t>
      </w:r>
      <w:bookmarkEnd w:id="861"/>
      <w:r>
        <w:rPr>
          <w:rFonts w:hint="eastAsia" w:ascii="宋体" w:hAnsi="宋体" w:cs="宋体"/>
          <w:color w:val="auto"/>
          <w:szCs w:val="21"/>
          <w:highlight w:val="none"/>
        </w:rPr>
        <w:t>。</w:t>
      </w:r>
    </w:p>
    <w:p w14:paraId="2FC73E02">
      <w:pPr>
        <w:adjustRightInd w:val="0"/>
        <w:snapToGrid w:val="0"/>
        <w:spacing w:line="360" w:lineRule="auto"/>
        <w:ind w:firstLine="465"/>
        <w:rPr>
          <w:rFonts w:ascii="宋体" w:hAnsi="宋体" w:cs="宋体"/>
          <w:b/>
          <w:color w:val="auto"/>
          <w:szCs w:val="21"/>
          <w:highlight w:val="none"/>
        </w:rPr>
      </w:pPr>
      <w:r>
        <w:rPr>
          <w:rFonts w:hint="eastAsia" w:ascii="宋体" w:hAnsi="宋体" w:cs="宋体"/>
          <w:color w:val="auto"/>
          <w:szCs w:val="21"/>
          <w:highlight w:val="none"/>
        </w:rPr>
        <w:t>4、乙方应对所辖区域缴纳公共责任保险，在乙方所辖区域内出现的滑倒、摔伤由乙方</w:t>
      </w:r>
      <w:bookmarkStart w:id="862" w:name="_Hlk519577569"/>
      <w:r>
        <w:rPr>
          <w:rFonts w:hint="eastAsia" w:ascii="宋体" w:hAnsi="宋体" w:cs="宋体"/>
          <w:color w:val="auto"/>
          <w:szCs w:val="21"/>
          <w:highlight w:val="none"/>
        </w:rPr>
        <w:t>自行承担全部责任，与甲方无关</w:t>
      </w:r>
      <w:bookmarkEnd w:id="862"/>
      <w:r>
        <w:rPr>
          <w:rFonts w:hint="eastAsia" w:ascii="宋体" w:hAnsi="宋体" w:cs="宋体"/>
          <w:color w:val="auto"/>
          <w:szCs w:val="21"/>
          <w:highlight w:val="none"/>
        </w:rPr>
        <w:t>。</w:t>
      </w:r>
    </w:p>
    <w:p w14:paraId="5EC6A3E8">
      <w:pPr>
        <w:adjustRightInd w:val="0"/>
        <w:snapToGrid w:val="0"/>
        <w:spacing w:line="360" w:lineRule="auto"/>
        <w:rPr>
          <w:rFonts w:ascii="宋体" w:hAnsi="宋体" w:cs="宋体"/>
          <w:b/>
          <w:color w:val="auto"/>
          <w:szCs w:val="21"/>
          <w:highlight w:val="none"/>
        </w:rPr>
      </w:pPr>
    </w:p>
    <w:p w14:paraId="19A10EF0">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第十二条　违约责任</w:t>
      </w:r>
    </w:p>
    <w:p w14:paraId="6E309C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863" w:name="_Hlk519577606"/>
      <w:r>
        <w:rPr>
          <w:rFonts w:hint="eastAsia" w:ascii="宋体" w:hAnsi="宋体" w:cs="宋体"/>
          <w:color w:val="auto"/>
          <w:szCs w:val="21"/>
          <w:highlight w:val="none"/>
        </w:rPr>
        <w:t>甲方未按本合同约定付款达15个工作日的，乙方可书面催告甲方付款。甲方收到乙方的书面催告后15个工作日内仍未付款的，每延迟一日，需支付应付未付款项的0.3%作为违约金，每次违约金总金额不超过甲方应付未付款项的20%。延迟付款达15日的，乙方有权单方解除本合同。</w:t>
      </w:r>
    </w:p>
    <w:p w14:paraId="1C1284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2、乙方每季度的满意度调查结果低于85%的，甲方有权每次要求乙方支付人民币5000元作为违约金。</w:t>
      </w:r>
    </w:p>
    <w:p w14:paraId="5B56DBB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3、乙方每月出现3次以上（含3次）的违约行为时，或者乙方连续两个季度的满意度调查结果均低于85%的，甲方有权单方解除本合同，并要求乙方支付相当于本合同总价款20%的违约金。</w:t>
      </w:r>
    </w:p>
    <w:p w14:paraId="18A3446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4、违约金不足以弥补甲方因此遭受的损失的，乙方还需就不足部分承担赔偿责任。</w:t>
      </w:r>
    </w:p>
    <w:p w14:paraId="1388335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5、甲方有权从剩余应向乙方支付的款项中优先扣减乙方应向甲方支付的款项（包括但不限于违约金、赔偿金等）。</w:t>
      </w:r>
      <w:bookmarkEnd w:id="863"/>
    </w:p>
    <w:p w14:paraId="12999644">
      <w:pPr>
        <w:adjustRightInd w:val="0"/>
        <w:snapToGrid w:val="0"/>
        <w:spacing w:line="360" w:lineRule="auto"/>
        <w:rPr>
          <w:rFonts w:ascii="宋体" w:hAnsi="宋体" w:cs="宋体"/>
          <w:b/>
          <w:color w:val="auto"/>
          <w:szCs w:val="21"/>
          <w:highlight w:val="none"/>
        </w:rPr>
      </w:pPr>
    </w:p>
    <w:p w14:paraId="79B02471">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第十三条  奖励与惩罚</w:t>
      </w:r>
    </w:p>
    <w:p w14:paraId="174A23ED">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1、甲方每月定期对乙方进行监督检查，对发现的问题要求乙方在限期内进行整改，如乙方未进行整改或未在整改期内完成整改，甲方第一次进行口头警告。第二次</w:t>
      </w:r>
      <w:bookmarkStart w:id="864" w:name="_Hlk519577744"/>
      <w:r>
        <w:rPr>
          <w:rFonts w:hint="eastAsia" w:ascii="宋体" w:hAnsi="宋体" w:cs="宋体"/>
          <w:color w:val="auto"/>
          <w:szCs w:val="21"/>
          <w:highlight w:val="none"/>
        </w:rPr>
        <w:t>发现同样问题时，</w:t>
      </w:r>
      <w:bookmarkEnd w:id="864"/>
      <w:r>
        <w:rPr>
          <w:rFonts w:hint="eastAsia" w:ascii="宋体" w:hAnsi="宋体" w:cs="宋体"/>
          <w:color w:val="auto"/>
          <w:szCs w:val="21"/>
          <w:highlight w:val="none"/>
        </w:rPr>
        <w:t>甲方可约谈乙方负责人，要求乙方做出书面整改报告，并落实整改。如第三次仍</w:t>
      </w:r>
      <w:bookmarkStart w:id="865" w:name="_Hlk519577780"/>
      <w:r>
        <w:rPr>
          <w:rFonts w:hint="eastAsia" w:ascii="宋体" w:hAnsi="宋体" w:cs="宋体"/>
          <w:color w:val="auto"/>
          <w:szCs w:val="21"/>
          <w:highlight w:val="none"/>
        </w:rPr>
        <w:t>发生同样问题的，</w:t>
      </w:r>
      <w:bookmarkEnd w:id="865"/>
      <w:r>
        <w:rPr>
          <w:rFonts w:hint="eastAsia" w:ascii="宋体" w:hAnsi="宋体" w:cs="宋体"/>
          <w:color w:val="auto"/>
          <w:szCs w:val="21"/>
          <w:highlight w:val="none"/>
        </w:rPr>
        <w:t>甲方有权给予乙方100元以上2000元以下的罚款。</w:t>
      </w:r>
    </w:p>
    <w:p w14:paraId="4CE4B867">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2、如</w:t>
      </w:r>
      <w:bookmarkStart w:id="866" w:name="_Hlk519577795"/>
      <w:r>
        <w:rPr>
          <w:rFonts w:hint="eastAsia" w:ascii="宋体" w:hAnsi="宋体" w:cs="宋体"/>
          <w:color w:val="auto"/>
          <w:szCs w:val="21"/>
          <w:highlight w:val="none"/>
        </w:rPr>
        <w:t>甲方发现</w:t>
      </w:r>
      <w:bookmarkEnd w:id="866"/>
      <w:r>
        <w:rPr>
          <w:rFonts w:hint="eastAsia" w:ascii="宋体" w:hAnsi="宋体" w:cs="宋体"/>
          <w:color w:val="auto"/>
          <w:szCs w:val="21"/>
          <w:highlight w:val="none"/>
        </w:rPr>
        <w:t>乙方派驻的项目负责人及区域主管未能履行本合同约定工作</w:t>
      </w:r>
      <w:bookmarkStart w:id="867" w:name="_Hlk519577827"/>
      <w:r>
        <w:rPr>
          <w:rFonts w:hint="eastAsia" w:ascii="宋体" w:hAnsi="宋体" w:cs="宋体"/>
          <w:color w:val="auto"/>
          <w:szCs w:val="21"/>
          <w:highlight w:val="none"/>
        </w:rPr>
        <w:t>，或者对乙方派驻的项目负责人及区域主管的工作</w:t>
      </w:r>
      <w:bookmarkEnd w:id="867"/>
      <w:r>
        <w:rPr>
          <w:rFonts w:hint="eastAsia" w:ascii="宋体" w:hAnsi="宋体" w:cs="宋体"/>
          <w:color w:val="auto"/>
          <w:szCs w:val="21"/>
          <w:highlight w:val="none"/>
        </w:rPr>
        <w:t>不满意时，甲方有权提出更换</w:t>
      </w:r>
      <w:bookmarkStart w:id="868" w:name="_Hlk519577854"/>
      <w:r>
        <w:rPr>
          <w:rFonts w:hint="eastAsia" w:ascii="宋体" w:hAnsi="宋体" w:cs="宋体"/>
          <w:color w:val="auto"/>
          <w:szCs w:val="21"/>
          <w:highlight w:val="none"/>
        </w:rPr>
        <w:t>项目负责人及区域主管，乙方应在收到甲方的更换要求后5个工作日内进行更换</w:t>
      </w:r>
      <w:bookmarkEnd w:id="868"/>
      <w:r>
        <w:rPr>
          <w:rFonts w:hint="eastAsia" w:ascii="宋体" w:hAnsi="宋体" w:cs="宋体"/>
          <w:color w:val="auto"/>
          <w:szCs w:val="21"/>
          <w:highlight w:val="none"/>
        </w:rPr>
        <w:t>，直至符合甲方要求。</w:t>
      </w:r>
    </w:p>
    <w:p w14:paraId="7393546F">
      <w:pPr>
        <w:adjustRightInd w:val="0"/>
        <w:snapToGrid w:val="0"/>
        <w:spacing w:line="360" w:lineRule="auto"/>
        <w:rPr>
          <w:rFonts w:ascii="宋体" w:hAnsi="宋体" w:cs="宋体"/>
          <w:b/>
          <w:color w:val="auto"/>
          <w:szCs w:val="21"/>
          <w:highlight w:val="none"/>
        </w:rPr>
      </w:pPr>
    </w:p>
    <w:p w14:paraId="12524256">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第十四条　声明及保证</w:t>
      </w:r>
    </w:p>
    <w:p w14:paraId="2E77C09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1、甲乙双方均有权签署并有能力履行本合同。</w:t>
      </w:r>
    </w:p>
    <w:p w14:paraId="6EB560C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2、甲方和乙方在签署本合同时，任何法院、仲裁机构、行政机关或监管机构均未作出任何足以对该方履行本合同产生重大不利影响的判决、裁定、裁决或具体行政行为。</w:t>
      </w:r>
    </w:p>
    <w:p w14:paraId="1552252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3、甲方和乙方为签署本合同所需的内部授权程序均已完成，本合同的签署人是该方法定代表人或授权代表人。本合同生效后即对合同双方具有法律约束力。</w:t>
      </w:r>
    </w:p>
    <w:p w14:paraId="4DDD2C06">
      <w:pPr>
        <w:adjustRightInd w:val="0"/>
        <w:snapToGrid w:val="0"/>
        <w:spacing w:line="360" w:lineRule="auto"/>
        <w:ind w:firstLine="420" w:firstLineChars="200"/>
        <w:rPr>
          <w:rFonts w:ascii="宋体" w:hAnsi="宋体" w:cs="宋体"/>
          <w:color w:val="auto"/>
          <w:szCs w:val="21"/>
          <w:highlight w:val="none"/>
        </w:rPr>
      </w:pPr>
      <w:bookmarkStart w:id="869" w:name="_Hlk519577970"/>
      <w:r>
        <w:rPr>
          <w:rFonts w:hint="eastAsia" w:ascii="宋体" w:hAnsi="宋体" w:cs="宋体"/>
          <w:color w:val="auto"/>
          <w:szCs w:val="21"/>
          <w:highlight w:val="none"/>
        </w:rPr>
        <w:t>4、本合同履行过程中，未经对方同意，任何一方不得以任何理由招揽对方员工。</w:t>
      </w:r>
    </w:p>
    <w:p w14:paraId="60A5B29B">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5、本合同终止后，未经对方同意，任何一方在合同终止之日起三个月内不得以任何理由招揽对方员工。</w:t>
      </w:r>
      <w:bookmarkEnd w:id="869"/>
    </w:p>
    <w:p w14:paraId="461FE713">
      <w:pPr>
        <w:adjustRightInd w:val="0"/>
        <w:snapToGrid w:val="0"/>
        <w:spacing w:line="360" w:lineRule="auto"/>
        <w:rPr>
          <w:rFonts w:ascii="宋体" w:hAnsi="宋体" w:cs="宋体"/>
          <w:b/>
          <w:color w:val="auto"/>
          <w:szCs w:val="21"/>
          <w:highlight w:val="none"/>
        </w:rPr>
      </w:pPr>
    </w:p>
    <w:p w14:paraId="1EBF1545">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第十五条　保密</w:t>
      </w:r>
    </w:p>
    <w:p w14:paraId="55D147B6">
      <w:pPr>
        <w:adjustRightInd w:val="0"/>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甲乙双方保证对在讨论、签订、执行本合同过程中所获悉的属于对方的且无法自公开渠道获得的文件及资料（包括但不限于商业秘密、公司计划、运营活动、财务信息、技术信息、经营信息及其他商业秘密）予以保密。未经该资料和文件的提供方事先书面同意，另一方不得向任何第三方披露或泄露该商业秘密的全部或部分内容。但法律、法规另有规定或双方另有约定的除外。</w:t>
      </w:r>
    </w:p>
    <w:p w14:paraId="5E8CB935">
      <w:pPr>
        <w:adjustRightInd w:val="0"/>
        <w:snapToGrid w:val="0"/>
        <w:spacing w:line="360" w:lineRule="auto"/>
        <w:rPr>
          <w:rFonts w:ascii="宋体" w:hAnsi="宋体" w:cs="宋体"/>
          <w:b/>
          <w:color w:val="auto"/>
          <w:szCs w:val="21"/>
          <w:highlight w:val="none"/>
        </w:rPr>
      </w:pPr>
    </w:p>
    <w:p w14:paraId="60C85069">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第十六条　通知</w:t>
      </w:r>
    </w:p>
    <w:p w14:paraId="63A991F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1、根据本合同需要一方向另一方发出的全部通知以及双方的文件往来及与本合同有关的通知和要求等，必须用书面形式直接送交或挂号信箱方式传递。</w:t>
      </w:r>
    </w:p>
    <w:p w14:paraId="75AD9BD2">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2、各方通讯地址如下：</w:t>
      </w:r>
    </w:p>
    <w:p w14:paraId="38D2BFC4">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致甲方 请寄至： 北京肿瘤医院</w:t>
      </w:r>
    </w:p>
    <w:p w14:paraId="501FFAA4">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地址：北京市海淀区阜成路52号</w:t>
      </w:r>
    </w:p>
    <w:p w14:paraId="31BE64D0">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联系人：</w:t>
      </w:r>
    </w:p>
    <w:p w14:paraId="223AED7B">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邮编：100142</w:t>
      </w:r>
    </w:p>
    <w:p w14:paraId="6481AC0D">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 xml:space="preserve">致乙方 请寄至：地址： </w:t>
      </w:r>
    </w:p>
    <w:p w14:paraId="59B8DED1">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 xml:space="preserve">联系人： </w:t>
      </w:r>
    </w:p>
    <w:p w14:paraId="34D25B92">
      <w:pPr>
        <w:adjustRightInd w:val="0"/>
        <w:snapToGrid w:val="0"/>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邮编：</w:t>
      </w:r>
    </w:p>
    <w:p w14:paraId="777948C7">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3、一方变更通知或通讯地址，应自变更之日前，以书面形式通知对方；否则，由未通知方承担由此而引起的相关责任。</w:t>
      </w:r>
    </w:p>
    <w:p w14:paraId="51F66283">
      <w:pPr>
        <w:adjustRightInd w:val="0"/>
        <w:snapToGrid w:val="0"/>
        <w:spacing w:line="360" w:lineRule="auto"/>
        <w:rPr>
          <w:rFonts w:ascii="宋体" w:hAnsi="宋体" w:cs="宋体"/>
          <w:b/>
          <w:color w:val="auto"/>
          <w:szCs w:val="21"/>
          <w:highlight w:val="none"/>
        </w:rPr>
      </w:pPr>
    </w:p>
    <w:p w14:paraId="157C41A7">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第十七条　合同</w:t>
      </w:r>
      <w:bookmarkStart w:id="870" w:name="_Hlk519578083"/>
      <w:r>
        <w:rPr>
          <w:rFonts w:hint="eastAsia" w:ascii="宋体" w:hAnsi="宋体" w:cs="宋体"/>
          <w:b/>
          <w:color w:val="auto"/>
          <w:szCs w:val="21"/>
          <w:highlight w:val="none"/>
        </w:rPr>
        <w:t>权利义务</w:t>
      </w:r>
      <w:bookmarkEnd w:id="870"/>
      <w:r>
        <w:rPr>
          <w:rFonts w:hint="eastAsia" w:ascii="宋体" w:hAnsi="宋体" w:cs="宋体"/>
          <w:b/>
          <w:color w:val="auto"/>
          <w:szCs w:val="21"/>
          <w:highlight w:val="none"/>
        </w:rPr>
        <w:t>的转让</w:t>
      </w:r>
    </w:p>
    <w:p w14:paraId="69DC9E73">
      <w:pPr>
        <w:adjustRightInd w:val="0"/>
        <w:snapToGrid w:val="0"/>
        <w:spacing w:line="360" w:lineRule="auto"/>
        <w:ind w:firstLine="420" w:firstLineChars="200"/>
        <w:rPr>
          <w:rFonts w:ascii="宋体" w:hAnsi="宋体" w:cs="宋体"/>
          <w:color w:val="auto"/>
          <w:szCs w:val="21"/>
          <w:highlight w:val="none"/>
        </w:rPr>
      </w:pPr>
      <w:bookmarkStart w:id="871" w:name="_Hlk519578093"/>
      <w:r>
        <w:rPr>
          <w:rFonts w:hint="eastAsia" w:ascii="宋体" w:hAnsi="宋体" w:cs="宋体"/>
          <w:color w:val="auto"/>
          <w:szCs w:val="21"/>
          <w:highlight w:val="none"/>
        </w:rPr>
        <w:t>未经甲方事前书面同意，乙方不得将其基于本合同的权利义务的全部或者部分向第三人转让，也不得用以提供担保。</w:t>
      </w:r>
      <w:bookmarkEnd w:id="871"/>
    </w:p>
    <w:p w14:paraId="471D99D1">
      <w:pPr>
        <w:adjustRightInd w:val="0"/>
        <w:snapToGrid w:val="0"/>
        <w:spacing w:line="360" w:lineRule="auto"/>
        <w:rPr>
          <w:rFonts w:ascii="宋体" w:hAnsi="宋体" w:cs="宋体"/>
          <w:b/>
          <w:color w:val="auto"/>
          <w:szCs w:val="21"/>
          <w:highlight w:val="none"/>
        </w:rPr>
      </w:pPr>
    </w:p>
    <w:p w14:paraId="69227C7E">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第十八条　争议的处理</w:t>
      </w:r>
    </w:p>
    <w:p w14:paraId="5A3C1038">
      <w:pPr>
        <w:adjustRightInd w:val="0"/>
        <w:snapToGrid w:val="0"/>
        <w:spacing w:line="360" w:lineRule="auto"/>
        <w:ind w:firstLine="420" w:firstLineChars="200"/>
        <w:rPr>
          <w:rFonts w:ascii="宋体" w:hAnsi="宋体" w:cs="宋体"/>
          <w:b/>
          <w:color w:val="auto"/>
          <w:szCs w:val="21"/>
          <w:highlight w:val="none"/>
        </w:rPr>
      </w:pPr>
      <w:bookmarkStart w:id="872" w:name="_Hlk519578116"/>
      <w:r>
        <w:rPr>
          <w:rFonts w:hint="eastAsia" w:ascii="宋体" w:hAnsi="宋体" w:cs="宋体"/>
          <w:color w:val="auto"/>
          <w:szCs w:val="21"/>
          <w:highlight w:val="none"/>
        </w:rPr>
        <w:t>因本合同产生的所有争议，甲乙双方应本着诚意友好协商解决。协商无法解决时，任何一方有权向甲方所在地有管辖权的人民法院起诉。</w:t>
      </w:r>
      <w:bookmarkEnd w:id="872"/>
    </w:p>
    <w:p w14:paraId="4C01E3AD">
      <w:pPr>
        <w:adjustRightInd w:val="0"/>
        <w:snapToGrid w:val="0"/>
        <w:spacing w:line="360" w:lineRule="auto"/>
        <w:rPr>
          <w:rFonts w:ascii="宋体" w:hAnsi="宋体" w:cs="宋体"/>
          <w:b/>
          <w:color w:val="auto"/>
          <w:szCs w:val="21"/>
          <w:highlight w:val="none"/>
        </w:rPr>
      </w:pPr>
    </w:p>
    <w:p w14:paraId="16BEC62F">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第十九条　不可抗力</w:t>
      </w:r>
    </w:p>
    <w:p w14:paraId="0B6B79A9">
      <w:pPr>
        <w:adjustRightInd w:val="0"/>
        <w:snapToGrid w:val="0"/>
        <w:spacing w:line="360" w:lineRule="auto"/>
        <w:ind w:firstLine="420" w:firstLineChars="200"/>
        <w:rPr>
          <w:rFonts w:ascii="宋体" w:hAnsi="宋体" w:cs="宋体"/>
          <w:color w:val="auto"/>
          <w:szCs w:val="21"/>
          <w:highlight w:val="none"/>
        </w:rPr>
      </w:pPr>
      <w:bookmarkStart w:id="873" w:name="_Hlk519578147"/>
      <w:r>
        <w:rPr>
          <w:rFonts w:hint="eastAsia" w:ascii="宋体" w:hAnsi="宋体" w:cs="宋体"/>
          <w:color w:val="auto"/>
          <w:szCs w:val="21"/>
          <w:highlight w:val="none"/>
        </w:rPr>
        <w:t>因自然灾害、战争、政府指令、政府主权行为、法律变化等不可预见、不可避免、不可克服的不可抗力事件导致本合同一方当事人无法履行本合同的，受不可抗力事件影响的一方不承担违约责任，但遭受不可抗力一方因延迟履行本合同义务后遭遇的不可抗力事件除外。受到不可抗力事件影响的一方应采取措施将不可抗力事件的负面影响降到最低，否则应对对方当事人的损失扩大部分承担赔偿责任。受到不可抗力事件影响的一方应在不可抗力发生后2日内书面通知对方当事人，并在不可抗力发生后5个工作日内向对方当事人出示不可抗力发生地有权部门出具的不可抗力事件的证明。没有在约定时间内通知对方当事人，给对方当事人造成损失的，负有通知义务的一方应承担相应的赔偿责任。</w:t>
      </w:r>
      <w:bookmarkEnd w:id="873"/>
    </w:p>
    <w:p w14:paraId="54D7130A">
      <w:pPr>
        <w:adjustRightInd w:val="0"/>
        <w:snapToGrid w:val="0"/>
        <w:spacing w:line="360" w:lineRule="auto"/>
        <w:rPr>
          <w:rFonts w:ascii="宋体" w:hAnsi="宋体" w:cs="宋体"/>
          <w:b/>
          <w:color w:val="auto"/>
          <w:szCs w:val="21"/>
          <w:highlight w:val="none"/>
        </w:rPr>
      </w:pPr>
    </w:p>
    <w:p w14:paraId="6234658B">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第二十条　补充与附件</w:t>
      </w:r>
    </w:p>
    <w:p w14:paraId="5206741F">
      <w:pPr>
        <w:adjustRightInd w:val="0"/>
        <w:snapToGrid w:val="0"/>
        <w:spacing w:line="360" w:lineRule="auto"/>
        <w:ind w:right="-239" w:rightChars="-114" w:firstLine="420" w:firstLineChars="200"/>
        <w:rPr>
          <w:rFonts w:ascii="宋体" w:hAnsi="宋体" w:cs="宋体"/>
          <w:color w:val="auto"/>
          <w:szCs w:val="21"/>
          <w:highlight w:val="none"/>
        </w:rPr>
      </w:pPr>
      <w:bookmarkStart w:id="874" w:name="_Hlk519578217"/>
      <w:r>
        <w:rPr>
          <w:rFonts w:hint="eastAsia" w:ascii="宋体" w:hAnsi="宋体" w:cs="宋体"/>
          <w:color w:val="auto"/>
          <w:szCs w:val="21"/>
          <w:highlight w:val="none"/>
        </w:rPr>
        <w:t>1、本合同未尽事宜，甲乙双方协商一致后签订书面补充协议。补充协议作为本合同的一部分，与本合同具有同等法律效力。</w:t>
      </w:r>
      <w:bookmarkEnd w:id="874"/>
    </w:p>
    <w:p w14:paraId="6CE458BA">
      <w:pPr>
        <w:adjustRightInd w:val="0"/>
        <w:snapToGrid w:val="0"/>
        <w:spacing w:line="360" w:lineRule="auto"/>
        <w:ind w:right="-239" w:rightChars="-114" w:firstLine="420" w:firstLineChars="200"/>
        <w:rPr>
          <w:rFonts w:ascii="宋体" w:hAnsi="宋体" w:cs="宋体"/>
          <w:color w:val="auto"/>
          <w:szCs w:val="21"/>
          <w:highlight w:val="none"/>
        </w:rPr>
      </w:pPr>
      <w:r>
        <w:rPr>
          <w:rFonts w:hint="eastAsia" w:ascii="宋体" w:hAnsi="宋体" w:cs="宋体"/>
          <w:color w:val="auto"/>
          <w:szCs w:val="21"/>
          <w:highlight w:val="none"/>
        </w:rPr>
        <w:t>2、本合同的附件和补充协议均为本合同不可分割的组成部分，与本合同具有同等的法律效力。</w:t>
      </w:r>
    </w:p>
    <w:p w14:paraId="1B89458E">
      <w:pPr>
        <w:adjustRightInd w:val="0"/>
        <w:snapToGrid w:val="0"/>
        <w:spacing w:line="360" w:lineRule="auto"/>
        <w:ind w:right="-239" w:rightChars="-114" w:firstLine="420" w:firstLineChars="200"/>
        <w:rPr>
          <w:rFonts w:ascii="宋体" w:hAnsi="宋体" w:cs="宋体"/>
          <w:color w:val="auto"/>
          <w:szCs w:val="21"/>
          <w:highlight w:val="none"/>
        </w:rPr>
      </w:pPr>
      <w:bookmarkStart w:id="875" w:name="_Hlk519578279"/>
      <w:r>
        <w:rPr>
          <w:rFonts w:hint="eastAsia" w:ascii="宋体" w:hAnsi="宋体" w:cs="宋体"/>
          <w:color w:val="auto"/>
          <w:szCs w:val="21"/>
          <w:highlight w:val="none"/>
        </w:rPr>
        <w:t>3、本合同的附件包括：</w:t>
      </w:r>
    </w:p>
    <w:bookmarkEnd w:id="875"/>
    <w:p w14:paraId="560E1B98">
      <w:pPr>
        <w:adjustRightInd w:val="0"/>
        <w:snapToGrid w:val="0"/>
        <w:spacing w:line="360" w:lineRule="auto"/>
        <w:ind w:right="-239" w:rightChars="-114" w:firstLine="420" w:firstLineChars="200"/>
        <w:rPr>
          <w:rFonts w:ascii="宋体" w:hAnsi="宋体" w:cs="宋体"/>
          <w:color w:val="auto"/>
          <w:szCs w:val="21"/>
          <w:highlight w:val="none"/>
        </w:rPr>
      </w:pPr>
    </w:p>
    <w:p w14:paraId="5212600F">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第二十一条　合同的签订</w:t>
      </w:r>
    </w:p>
    <w:p w14:paraId="444416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1、本合同自甲乙双方的法定代表人或其授权代表人签字并加盖单位公章或合同专用章之日起生效。</w:t>
      </w:r>
    </w:p>
    <w:p w14:paraId="6C5859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bookmarkStart w:id="876" w:name="_Hlk519578320"/>
      <w:r>
        <w:rPr>
          <w:rFonts w:hint="eastAsia" w:ascii="宋体" w:hAnsi="宋体" w:cs="宋体"/>
          <w:color w:val="auto"/>
          <w:szCs w:val="21"/>
          <w:highlight w:val="none"/>
        </w:rPr>
        <w:t>，乙方执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w:t>
      </w:r>
      <w:bookmarkEnd w:id="876"/>
      <w:r>
        <w:rPr>
          <w:rFonts w:hint="eastAsia" w:ascii="宋体" w:hAnsi="宋体" w:cs="宋体"/>
          <w:color w:val="auto"/>
          <w:szCs w:val="21"/>
          <w:highlight w:val="none"/>
        </w:rPr>
        <w:t>。</w:t>
      </w:r>
    </w:p>
    <w:p w14:paraId="0593E796">
      <w:pPr>
        <w:adjustRightInd w:val="0"/>
        <w:snapToGrid w:val="0"/>
        <w:spacing w:line="360" w:lineRule="auto"/>
        <w:rPr>
          <w:rFonts w:ascii="宋体" w:hAnsi="宋体" w:cs="宋体"/>
          <w:color w:val="auto"/>
          <w:szCs w:val="21"/>
          <w:highlight w:val="none"/>
        </w:rPr>
      </w:pPr>
    </w:p>
    <w:p w14:paraId="77703F20">
      <w:pPr>
        <w:adjustRightInd w:val="0"/>
        <w:snapToGrid w:val="0"/>
        <w:spacing w:line="360" w:lineRule="auto"/>
        <w:rPr>
          <w:rFonts w:ascii="宋体" w:hAnsi="宋体" w:cs="宋体"/>
          <w:color w:val="auto"/>
          <w:szCs w:val="21"/>
          <w:highlight w:val="none"/>
        </w:rPr>
      </w:pPr>
    </w:p>
    <w:p w14:paraId="3F3F4310">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甲方：北京肿瘤医院       </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乙方：</w:t>
      </w:r>
    </w:p>
    <w:p w14:paraId="15B1E217">
      <w:pPr>
        <w:adjustRightInd w:val="0"/>
        <w:snapToGrid w:val="0"/>
        <w:spacing w:line="360" w:lineRule="auto"/>
        <w:rPr>
          <w:rFonts w:ascii="宋体" w:hAnsi="宋体" w:cs="宋体"/>
          <w:color w:val="auto"/>
          <w:szCs w:val="21"/>
          <w:highlight w:val="none"/>
        </w:rPr>
      </w:pPr>
      <w:bookmarkStart w:id="877" w:name="_Hlk519578371"/>
      <w:r>
        <w:rPr>
          <w:rFonts w:hint="eastAsia" w:ascii="宋体" w:hAnsi="宋体" w:cs="宋体"/>
          <w:color w:val="auto"/>
          <w:szCs w:val="21"/>
          <w:highlight w:val="none"/>
        </w:rPr>
        <w:t>（盖章）</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（盖章）</w:t>
      </w:r>
    </w:p>
    <w:p w14:paraId="315B4D3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w:t>
      </w:r>
    </w:p>
    <w:p w14:paraId="757093B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法定代表人或  </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法定代表人或</w:t>
      </w:r>
    </w:p>
    <w:p w14:paraId="422739EA">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授权代表（签字）：</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授权代表（签字）：</w:t>
      </w:r>
    </w:p>
    <w:bookmarkEnd w:id="877"/>
    <w:p w14:paraId="497D354C">
      <w:pPr>
        <w:adjustRightInd w:val="0"/>
        <w:snapToGrid w:val="0"/>
        <w:spacing w:line="360" w:lineRule="auto"/>
        <w:rPr>
          <w:rFonts w:ascii="宋体" w:hAnsi="宋体" w:cs="宋体"/>
          <w:color w:val="auto"/>
          <w:szCs w:val="21"/>
          <w:highlight w:val="none"/>
        </w:rPr>
      </w:pPr>
    </w:p>
    <w:p w14:paraId="7F915FFB">
      <w:pPr>
        <w:adjustRightInd w:val="0"/>
        <w:snapToGrid w:val="0"/>
        <w:spacing w:line="360" w:lineRule="auto"/>
        <w:rPr>
          <w:rFonts w:ascii="宋体" w:hAnsi="宋体" w:cs="宋体"/>
          <w:color w:val="auto"/>
          <w:szCs w:val="21"/>
          <w:highlight w:val="none"/>
        </w:rPr>
      </w:pPr>
    </w:p>
    <w:p w14:paraId="11FB672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2024年____月____日　　　　　　　   　2024年____月____日</w:t>
      </w:r>
    </w:p>
    <w:p w14:paraId="7340EC38">
      <w:pPr>
        <w:tabs>
          <w:tab w:val="left" w:pos="900"/>
          <w:tab w:val="left" w:pos="1080"/>
        </w:tabs>
        <w:snapToGrid w:val="0"/>
        <w:spacing w:line="360" w:lineRule="auto"/>
        <w:rPr>
          <w:color w:val="auto"/>
          <w:kern w:val="0"/>
          <w:sz w:val="24"/>
          <w:highlight w:val="none"/>
        </w:rPr>
      </w:pPr>
    </w:p>
    <w:p w14:paraId="28EFAA28">
      <w:pPr>
        <w:spacing w:line="600" w:lineRule="auto"/>
        <w:rPr>
          <w:rFonts w:ascii="宋体" w:hAnsi="宋体" w:cs="宋体"/>
          <w:b/>
          <w:bCs/>
          <w:color w:val="auto"/>
          <w:szCs w:val="21"/>
          <w:highlight w:val="none"/>
        </w:rPr>
      </w:pPr>
    </w:p>
    <w:p w14:paraId="567BB22C">
      <w:pPr>
        <w:spacing w:line="360" w:lineRule="auto"/>
        <w:jc w:val="center"/>
        <w:outlineLvl w:val="0"/>
        <w:rPr>
          <w:b/>
          <w:color w:val="auto"/>
          <w:sz w:val="36"/>
          <w:szCs w:val="36"/>
          <w:highlight w:val="none"/>
        </w:rPr>
      </w:pPr>
      <w:r>
        <w:rPr>
          <w:b/>
          <w:color w:val="auto"/>
          <w:sz w:val="36"/>
          <w:szCs w:val="36"/>
          <w:highlight w:val="none"/>
        </w:rPr>
        <w:br w:type="page"/>
      </w:r>
      <w:bookmarkStart w:id="878" w:name="_Toc99301426"/>
      <w:bookmarkStart w:id="879" w:name="_Toc11342"/>
      <w:r>
        <w:rPr>
          <w:b/>
          <w:color w:val="auto"/>
          <w:sz w:val="36"/>
          <w:szCs w:val="36"/>
          <w:highlight w:val="none"/>
        </w:rPr>
        <w:t>第七章   投标文件格式</w:t>
      </w:r>
      <w:bookmarkEnd w:id="878"/>
      <w:bookmarkEnd w:id="879"/>
    </w:p>
    <w:p w14:paraId="1B4EA5D3">
      <w:pPr>
        <w:tabs>
          <w:tab w:val="left" w:pos="900"/>
          <w:tab w:val="left" w:pos="1980"/>
        </w:tabs>
        <w:snapToGrid w:val="0"/>
        <w:spacing w:line="360" w:lineRule="auto"/>
        <w:ind w:left="142"/>
        <w:rPr>
          <w:b/>
          <w:color w:val="auto"/>
          <w:sz w:val="24"/>
          <w:highlight w:val="none"/>
        </w:rPr>
      </w:pPr>
    </w:p>
    <w:p w14:paraId="3AF62DDA">
      <w:pPr>
        <w:tabs>
          <w:tab w:val="left" w:pos="900"/>
          <w:tab w:val="left" w:pos="1980"/>
        </w:tabs>
        <w:snapToGrid w:val="0"/>
        <w:spacing w:line="360" w:lineRule="auto"/>
        <w:ind w:left="142"/>
        <w:rPr>
          <w:b/>
          <w:color w:val="auto"/>
          <w:sz w:val="24"/>
          <w:highlight w:val="none"/>
        </w:rPr>
      </w:pPr>
    </w:p>
    <w:p w14:paraId="2043ECEC">
      <w:pPr>
        <w:tabs>
          <w:tab w:val="left" w:pos="900"/>
          <w:tab w:val="left" w:pos="1980"/>
        </w:tabs>
        <w:snapToGrid w:val="0"/>
        <w:spacing w:line="360" w:lineRule="auto"/>
        <w:ind w:left="142"/>
        <w:rPr>
          <w:color w:val="auto"/>
          <w:sz w:val="24"/>
          <w:highlight w:val="none"/>
        </w:rPr>
      </w:pPr>
      <w:r>
        <w:rPr>
          <w:b/>
          <w:color w:val="auto"/>
          <w:sz w:val="24"/>
          <w:highlight w:val="none"/>
        </w:rPr>
        <w:t>投标人编制文件须知</w:t>
      </w:r>
    </w:p>
    <w:p w14:paraId="1BF71820">
      <w:pPr>
        <w:tabs>
          <w:tab w:val="left" w:pos="900"/>
          <w:tab w:val="left" w:pos="1980"/>
        </w:tabs>
        <w:snapToGrid w:val="0"/>
        <w:spacing w:line="360" w:lineRule="auto"/>
        <w:ind w:left="142"/>
        <w:rPr>
          <w:color w:val="auto"/>
          <w:sz w:val="24"/>
          <w:highlight w:val="none"/>
        </w:rPr>
      </w:pPr>
      <w:r>
        <w:rPr>
          <w:color w:val="auto"/>
          <w:sz w:val="24"/>
          <w:highlight w:val="none"/>
        </w:rPr>
        <w:t>1、投标人按照本部分的顺序编制投标文件（资格证明文件）、投标文件（商务技术文件），编制中涉及格式资料的，应按照本部分提供的内容和格式（所有表格的格式可扩展）填写提交。</w:t>
      </w:r>
    </w:p>
    <w:p w14:paraId="333808B0">
      <w:pPr>
        <w:tabs>
          <w:tab w:val="left" w:pos="900"/>
          <w:tab w:val="left" w:pos="1980"/>
        </w:tabs>
        <w:snapToGrid w:val="0"/>
        <w:spacing w:line="360" w:lineRule="auto"/>
        <w:ind w:left="142"/>
        <w:rPr>
          <w:color w:val="auto"/>
          <w:kern w:val="0"/>
          <w:sz w:val="24"/>
          <w:highlight w:val="none"/>
        </w:rPr>
      </w:pPr>
      <w:r>
        <w:rPr>
          <w:color w:val="auto"/>
          <w:sz w:val="24"/>
          <w:highlight w:val="none"/>
        </w:rPr>
        <w:t>2、</w:t>
      </w:r>
      <w:r>
        <w:rPr>
          <w:color w:val="auto"/>
          <w:kern w:val="0"/>
          <w:sz w:val="24"/>
          <w:highlight w:val="none"/>
        </w:rPr>
        <w:t>对于招标文件中标记了“实质性格式”文件的，</w:t>
      </w:r>
      <w:r>
        <w:rPr>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color w:val="auto"/>
          <w:kern w:val="0"/>
          <w:sz w:val="24"/>
          <w:highlight w:val="none"/>
        </w:rPr>
        <w:t>否则</w:t>
      </w:r>
      <w:r>
        <w:rPr>
          <w:b/>
          <w:color w:val="auto"/>
          <w:kern w:val="0"/>
          <w:sz w:val="24"/>
          <w:highlight w:val="none"/>
        </w:rPr>
        <w:t>投标无效</w:t>
      </w:r>
      <w:r>
        <w:rPr>
          <w:color w:val="auto"/>
          <w:kern w:val="0"/>
          <w:sz w:val="24"/>
          <w:highlight w:val="none"/>
        </w:rPr>
        <w:t>。未标记“实质性格式”的文件和招标文件未提供格式的内容，可由投标人自行编写。</w:t>
      </w:r>
    </w:p>
    <w:p w14:paraId="664B0117">
      <w:pPr>
        <w:tabs>
          <w:tab w:val="left" w:pos="900"/>
          <w:tab w:val="left" w:pos="1980"/>
        </w:tabs>
        <w:snapToGrid w:val="0"/>
        <w:spacing w:line="360" w:lineRule="auto"/>
        <w:ind w:left="142"/>
        <w:rPr>
          <w:color w:val="auto"/>
          <w:sz w:val="24"/>
          <w:highlight w:val="none"/>
        </w:rPr>
      </w:pPr>
      <w:r>
        <w:rPr>
          <w:color w:val="auto"/>
          <w:sz w:val="24"/>
          <w:highlight w:val="none"/>
        </w:rPr>
        <w:t>3、全部声明和问题的回答及所附材料必须是真实的、准确的和完整的。</w:t>
      </w:r>
    </w:p>
    <w:p w14:paraId="74FD9E8C">
      <w:pPr>
        <w:widowControl/>
        <w:jc w:val="left"/>
        <w:rPr>
          <w:color w:val="auto"/>
          <w:sz w:val="24"/>
          <w:highlight w:val="none"/>
        </w:rPr>
      </w:pPr>
      <w:r>
        <w:rPr>
          <w:color w:val="auto"/>
          <w:sz w:val="24"/>
          <w:highlight w:val="none"/>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14:paraId="592D415E">
      <w:pPr>
        <w:keepNext/>
        <w:keepLines/>
        <w:autoSpaceDE w:val="0"/>
        <w:autoSpaceDN w:val="0"/>
        <w:adjustRightInd w:val="0"/>
        <w:spacing w:before="120" w:line="300" w:lineRule="auto"/>
        <w:jc w:val="left"/>
        <w:outlineLvl w:val="1"/>
        <w:rPr>
          <w:b/>
          <w:color w:val="auto"/>
          <w:kern w:val="0"/>
          <w:sz w:val="30"/>
          <w:szCs w:val="20"/>
          <w:highlight w:val="none"/>
        </w:rPr>
      </w:pPr>
      <w:r>
        <w:rPr>
          <w:b/>
          <w:color w:val="auto"/>
          <w:spacing w:val="20"/>
          <w:sz w:val="24"/>
          <w:highlight w:val="none"/>
        </w:rPr>
        <w:t>一、资格证明文件格式</w:t>
      </w:r>
    </w:p>
    <w:p w14:paraId="1D871DB2">
      <w:pPr>
        <w:rPr>
          <w:b/>
          <w:color w:val="auto"/>
          <w:spacing w:val="20"/>
          <w:szCs w:val="21"/>
          <w:highlight w:val="none"/>
        </w:rPr>
      </w:pPr>
    </w:p>
    <w:p w14:paraId="7FF29CF1">
      <w:pPr>
        <w:rPr>
          <w:b/>
          <w:color w:val="auto"/>
          <w:sz w:val="24"/>
          <w:highlight w:val="none"/>
        </w:rPr>
      </w:pPr>
      <w:r>
        <w:rPr>
          <w:b/>
          <w:color w:val="auto"/>
          <w:spacing w:val="20"/>
          <w:sz w:val="24"/>
          <w:highlight w:val="none"/>
        </w:rPr>
        <w:t>投标文件（资格证明文件）</w:t>
      </w:r>
      <w:r>
        <w:rPr>
          <w:b/>
          <w:color w:val="auto"/>
          <w:sz w:val="24"/>
          <w:highlight w:val="none"/>
        </w:rPr>
        <w:t>封面（非实质性格式）</w:t>
      </w:r>
    </w:p>
    <w:p w14:paraId="0618803E">
      <w:pPr>
        <w:jc w:val="center"/>
        <w:rPr>
          <w:color w:val="auto"/>
          <w:szCs w:val="21"/>
          <w:highlight w:val="none"/>
        </w:rPr>
      </w:pPr>
    </w:p>
    <w:p w14:paraId="00B02327">
      <w:pPr>
        <w:jc w:val="center"/>
        <w:rPr>
          <w:b/>
          <w:color w:val="auto"/>
          <w:spacing w:val="60"/>
          <w:sz w:val="84"/>
          <w:szCs w:val="84"/>
          <w:highlight w:val="none"/>
        </w:rPr>
      </w:pPr>
      <w:r>
        <w:rPr>
          <w:b/>
          <w:color w:val="auto"/>
          <w:spacing w:val="60"/>
          <w:sz w:val="84"/>
          <w:szCs w:val="84"/>
          <w:highlight w:val="none"/>
        </w:rPr>
        <w:t>投 标 文 件</w:t>
      </w:r>
    </w:p>
    <w:p w14:paraId="630790B8">
      <w:pPr>
        <w:jc w:val="center"/>
        <w:rPr>
          <w:b/>
          <w:color w:val="auto"/>
          <w:spacing w:val="60"/>
          <w:sz w:val="52"/>
          <w:szCs w:val="52"/>
          <w:highlight w:val="none"/>
        </w:rPr>
      </w:pPr>
      <w:r>
        <w:rPr>
          <w:b/>
          <w:color w:val="auto"/>
          <w:spacing w:val="60"/>
          <w:sz w:val="52"/>
          <w:szCs w:val="52"/>
          <w:highlight w:val="none"/>
        </w:rPr>
        <w:t>（资格证明文件）</w:t>
      </w:r>
    </w:p>
    <w:p w14:paraId="0076FA86">
      <w:pPr>
        <w:ind w:firstLine="542" w:firstLineChars="150"/>
        <w:rPr>
          <w:b/>
          <w:color w:val="auto"/>
          <w:spacing w:val="20"/>
          <w:sz w:val="32"/>
          <w:szCs w:val="32"/>
          <w:highlight w:val="none"/>
        </w:rPr>
      </w:pPr>
    </w:p>
    <w:p w14:paraId="331ED9B4">
      <w:pPr>
        <w:ind w:firstLine="542" w:firstLineChars="150"/>
        <w:rPr>
          <w:b/>
          <w:color w:val="auto"/>
          <w:spacing w:val="20"/>
          <w:sz w:val="32"/>
          <w:szCs w:val="32"/>
          <w:highlight w:val="none"/>
        </w:rPr>
      </w:pPr>
    </w:p>
    <w:p w14:paraId="25B0C4C5">
      <w:pPr>
        <w:ind w:firstLine="542" w:firstLineChars="150"/>
        <w:rPr>
          <w:b/>
          <w:color w:val="auto"/>
          <w:spacing w:val="20"/>
          <w:sz w:val="32"/>
          <w:szCs w:val="32"/>
          <w:highlight w:val="none"/>
        </w:rPr>
      </w:pPr>
      <w:r>
        <w:rPr>
          <w:b/>
          <w:color w:val="auto"/>
          <w:spacing w:val="20"/>
          <w:sz w:val="32"/>
          <w:szCs w:val="32"/>
          <w:highlight w:val="none"/>
        </w:rPr>
        <w:t>项目名称:</w:t>
      </w:r>
    </w:p>
    <w:p w14:paraId="68482A83">
      <w:pPr>
        <w:ind w:firstLine="542" w:firstLineChars="150"/>
        <w:rPr>
          <w:b/>
          <w:color w:val="auto"/>
          <w:spacing w:val="20"/>
          <w:sz w:val="32"/>
          <w:szCs w:val="32"/>
          <w:highlight w:val="none"/>
        </w:rPr>
      </w:pPr>
      <w:r>
        <w:rPr>
          <w:rFonts w:hint="eastAsia"/>
          <w:b/>
          <w:color w:val="auto"/>
          <w:spacing w:val="20"/>
          <w:sz w:val="32"/>
          <w:szCs w:val="32"/>
          <w:highlight w:val="none"/>
        </w:rPr>
        <w:t>采购编号</w:t>
      </w:r>
      <w:r>
        <w:rPr>
          <w:b/>
          <w:color w:val="auto"/>
          <w:spacing w:val="20"/>
          <w:sz w:val="32"/>
          <w:szCs w:val="32"/>
          <w:highlight w:val="none"/>
        </w:rPr>
        <w:t>/包号：</w:t>
      </w:r>
    </w:p>
    <w:p w14:paraId="14083B96">
      <w:pPr>
        <w:ind w:firstLine="542" w:firstLineChars="150"/>
        <w:rPr>
          <w:b/>
          <w:color w:val="auto"/>
          <w:spacing w:val="20"/>
          <w:sz w:val="32"/>
          <w:szCs w:val="32"/>
          <w:highlight w:val="none"/>
        </w:rPr>
      </w:pPr>
    </w:p>
    <w:p w14:paraId="0C73017A">
      <w:pPr>
        <w:ind w:firstLine="542" w:firstLineChars="150"/>
        <w:rPr>
          <w:b/>
          <w:color w:val="auto"/>
          <w:spacing w:val="20"/>
          <w:sz w:val="32"/>
          <w:szCs w:val="32"/>
          <w:highlight w:val="none"/>
        </w:rPr>
      </w:pPr>
    </w:p>
    <w:p w14:paraId="61FB7C4A">
      <w:pPr>
        <w:jc w:val="center"/>
        <w:rPr>
          <w:b/>
          <w:color w:val="auto"/>
          <w:sz w:val="32"/>
          <w:szCs w:val="32"/>
          <w:highlight w:val="none"/>
        </w:rPr>
      </w:pPr>
    </w:p>
    <w:p w14:paraId="2D0DFC31">
      <w:pPr>
        <w:jc w:val="center"/>
        <w:rPr>
          <w:b/>
          <w:color w:val="auto"/>
          <w:sz w:val="32"/>
          <w:szCs w:val="32"/>
          <w:highlight w:val="none"/>
        </w:rPr>
      </w:pPr>
    </w:p>
    <w:p w14:paraId="0ED3E2F1">
      <w:pPr>
        <w:jc w:val="center"/>
        <w:rPr>
          <w:b/>
          <w:color w:val="auto"/>
          <w:sz w:val="32"/>
          <w:szCs w:val="32"/>
          <w:highlight w:val="none"/>
        </w:rPr>
      </w:pPr>
    </w:p>
    <w:p w14:paraId="386F0144">
      <w:pPr>
        <w:jc w:val="center"/>
        <w:rPr>
          <w:b/>
          <w:color w:val="auto"/>
          <w:spacing w:val="20"/>
          <w:sz w:val="32"/>
          <w:szCs w:val="32"/>
          <w:highlight w:val="none"/>
        </w:rPr>
      </w:pPr>
    </w:p>
    <w:p w14:paraId="4B42AA3C">
      <w:pPr>
        <w:jc w:val="center"/>
        <w:rPr>
          <w:b/>
          <w:color w:val="auto"/>
          <w:spacing w:val="20"/>
          <w:sz w:val="32"/>
          <w:szCs w:val="32"/>
          <w:highlight w:val="none"/>
        </w:rPr>
      </w:pPr>
    </w:p>
    <w:p w14:paraId="20F452C0">
      <w:pPr>
        <w:jc w:val="center"/>
        <w:rPr>
          <w:b/>
          <w:color w:val="auto"/>
          <w:spacing w:val="20"/>
          <w:sz w:val="32"/>
          <w:szCs w:val="32"/>
          <w:highlight w:val="none"/>
        </w:rPr>
      </w:pPr>
    </w:p>
    <w:p w14:paraId="63FB7514">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1E65E2CB">
      <w:pPr>
        <w:jc w:val="center"/>
        <w:rPr>
          <w:b/>
          <w:color w:val="auto"/>
          <w:sz w:val="32"/>
          <w:szCs w:val="32"/>
          <w:highlight w:val="none"/>
        </w:rPr>
      </w:pPr>
    </w:p>
    <w:p w14:paraId="06F99D5B">
      <w:pPr>
        <w:rPr>
          <w:b/>
          <w:color w:val="auto"/>
          <w:highlight w:val="none"/>
        </w:rPr>
      </w:pPr>
      <w:r>
        <w:rPr>
          <w:b/>
          <w:color w:val="auto"/>
          <w:spacing w:val="20"/>
          <w:sz w:val="32"/>
          <w:szCs w:val="32"/>
          <w:highlight w:val="none"/>
        </w:rPr>
        <w:br w:type="page"/>
      </w:r>
    </w:p>
    <w:p w14:paraId="68CCC4D4">
      <w:pPr>
        <w:numPr>
          <w:ilvl w:val="0"/>
          <w:numId w:val="31"/>
        </w:numPr>
        <w:tabs>
          <w:tab w:val="left" w:pos="360"/>
        </w:tabs>
        <w:snapToGrid w:val="0"/>
        <w:spacing w:line="360" w:lineRule="auto"/>
        <w:outlineLvl w:val="1"/>
        <w:rPr>
          <w:color w:val="auto"/>
          <w:sz w:val="24"/>
          <w:szCs w:val="20"/>
          <w:highlight w:val="none"/>
        </w:rPr>
      </w:pPr>
      <w:r>
        <w:rPr>
          <w:color w:val="auto"/>
          <w:sz w:val="24"/>
          <w:highlight w:val="none"/>
        </w:rPr>
        <w:t>满足《中华人民共和国政府采购法》第二十二条规定</w:t>
      </w:r>
    </w:p>
    <w:p w14:paraId="268C0BFC">
      <w:pPr>
        <w:spacing w:line="360" w:lineRule="auto"/>
        <w:outlineLvl w:val="2"/>
        <w:rPr>
          <w:color w:val="auto"/>
          <w:sz w:val="24"/>
          <w:szCs w:val="20"/>
          <w:highlight w:val="none"/>
        </w:rPr>
      </w:pPr>
      <w:r>
        <w:rPr>
          <w:color w:val="auto"/>
          <w:sz w:val="24"/>
          <w:szCs w:val="20"/>
          <w:highlight w:val="none"/>
        </w:rPr>
        <w:t>1-1 营业执照等证明文件</w:t>
      </w:r>
    </w:p>
    <w:p w14:paraId="754BF6A3">
      <w:pPr>
        <w:tabs>
          <w:tab w:val="left" w:pos="1080"/>
        </w:tabs>
        <w:snapToGrid w:val="0"/>
        <w:rPr>
          <w:color w:val="auto"/>
          <w:sz w:val="24"/>
          <w:highlight w:val="none"/>
        </w:rPr>
      </w:pPr>
    </w:p>
    <w:p w14:paraId="7BC10CF3">
      <w:pPr>
        <w:widowControl/>
        <w:jc w:val="left"/>
        <w:rPr>
          <w:color w:val="auto"/>
          <w:sz w:val="24"/>
          <w:szCs w:val="20"/>
          <w:highlight w:val="none"/>
        </w:rPr>
      </w:pPr>
      <w:r>
        <w:rPr>
          <w:color w:val="auto"/>
          <w:sz w:val="24"/>
          <w:highlight w:val="none"/>
        </w:rPr>
        <w:br w:type="page"/>
      </w:r>
    </w:p>
    <w:p w14:paraId="00CCAB38">
      <w:pPr>
        <w:pStyle w:val="4"/>
        <w:rPr>
          <w:rFonts w:ascii="Times New Roman"/>
          <w:b w:val="0"/>
          <w:bCs/>
          <w:color w:val="auto"/>
          <w:highlight w:val="none"/>
          <w:u w:val="none"/>
        </w:rPr>
      </w:pPr>
      <w:r>
        <w:rPr>
          <w:rFonts w:ascii="Times New Roman"/>
          <w:b w:val="0"/>
          <w:color w:val="auto"/>
          <w:highlight w:val="none"/>
          <w:u w:val="none"/>
        </w:rPr>
        <w:t>1-2 投标人资格声明书</w:t>
      </w:r>
    </w:p>
    <w:p w14:paraId="65BF737F">
      <w:pPr>
        <w:jc w:val="center"/>
        <w:rPr>
          <w:color w:val="auto"/>
          <w:sz w:val="24"/>
          <w:highlight w:val="none"/>
        </w:rPr>
      </w:pPr>
      <w:r>
        <w:rPr>
          <w:b/>
          <w:color w:val="auto"/>
          <w:sz w:val="36"/>
          <w:szCs w:val="36"/>
          <w:highlight w:val="none"/>
        </w:rPr>
        <w:t>投标人资格声明书</w:t>
      </w:r>
    </w:p>
    <w:p w14:paraId="00796944">
      <w:pPr>
        <w:tabs>
          <w:tab w:val="left" w:pos="5580"/>
        </w:tabs>
        <w:spacing w:line="360" w:lineRule="auto"/>
        <w:rPr>
          <w:color w:val="auto"/>
          <w:sz w:val="24"/>
          <w:highlight w:val="none"/>
        </w:rPr>
      </w:pPr>
      <w:r>
        <w:rPr>
          <w:color w:val="auto"/>
          <w:sz w:val="24"/>
          <w:highlight w:val="none"/>
        </w:rPr>
        <w:t>致：</w:t>
      </w:r>
      <w:r>
        <w:rPr>
          <w:color w:val="auto"/>
          <w:sz w:val="24"/>
          <w:highlight w:val="none"/>
          <w:u w:val="single"/>
        </w:rPr>
        <w:t>采购人</w:t>
      </w:r>
    </w:p>
    <w:p w14:paraId="57A7B7CF">
      <w:pPr>
        <w:spacing w:line="360" w:lineRule="auto"/>
        <w:ind w:firstLine="480" w:firstLineChars="200"/>
        <w:rPr>
          <w:color w:val="auto"/>
          <w:sz w:val="24"/>
          <w:highlight w:val="none"/>
        </w:rPr>
      </w:pPr>
      <w:r>
        <w:rPr>
          <w:color w:val="auto"/>
          <w:sz w:val="24"/>
          <w:highlight w:val="none"/>
        </w:rPr>
        <w:t>在参与本次项目投标中，我单位承诺：</w:t>
      </w:r>
    </w:p>
    <w:p w14:paraId="5466E57E">
      <w:pPr>
        <w:numPr>
          <w:ilvl w:val="0"/>
          <w:numId w:val="32"/>
        </w:numPr>
        <w:spacing w:line="360" w:lineRule="auto"/>
        <w:ind w:left="1134"/>
        <w:rPr>
          <w:color w:val="auto"/>
          <w:sz w:val="24"/>
          <w:szCs w:val="22"/>
          <w:highlight w:val="none"/>
        </w:rPr>
      </w:pPr>
      <w:r>
        <w:rPr>
          <w:color w:val="auto"/>
          <w:sz w:val="24"/>
          <w:szCs w:val="22"/>
          <w:highlight w:val="none"/>
        </w:rPr>
        <w:t>具有良好的商业信誉和健全的财务会计制度；</w:t>
      </w:r>
    </w:p>
    <w:p w14:paraId="783BE4E1">
      <w:pPr>
        <w:numPr>
          <w:ilvl w:val="0"/>
          <w:numId w:val="32"/>
        </w:numPr>
        <w:spacing w:line="360" w:lineRule="auto"/>
        <w:ind w:left="1134"/>
        <w:rPr>
          <w:color w:val="auto"/>
          <w:sz w:val="24"/>
          <w:szCs w:val="22"/>
          <w:highlight w:val="none"/>
        </w:rPr>
      </w:pPr>
      <w:r>
        <w:rPr>
          <w:color w:val="auto"/>
          <w:sz w:val="24"/>
          <w:szCs w:val="22"/>
          <w:highlight w:val="none"/>
        </w:rPr>
        <w:t>具有履行合同所必需的设备和专业技术能力；</w:t>
      </w:r>
    </w:p>
    <w:p w14:paraId="69072D85">
      <w:pPr>
        <w:numPr>
          <w:ilvl w:val="0"/>
          <w:numId w:val="32"/>
        </w:numPr>
        <w:spacing w:line="360" w:lineRule="auto"/>
        <w:ind w:left="1134"/>
        <w:rPr>
          <w:color w:val="auto"/>
          <w:sz w:val="24"/>
          <w:szCs w:val="22"/>
          <w:highlight w:val="none"/>
        </w:rPr>
      </w:pPr>
      <w:r>
        <w:rPr>
          <w:color w:val="auto"/>
          <w:sz w:val="24"/>
          <w:szCs w:val="22"/>
          <w:highlight w:val="none"/>
        </w:rPr>
        <w:t>有依法缴纳税收和社会保障资金的良好记录；</w:t>
      </w:r>
    </w:p>
    <w:p w14:paraId="0CB01579">
      <w:pPr>
        <w:numPr>
          <w:ilvl w:val="0"/>
          <w:numId w:val="32"/>
        </w:numPr>
        <w:spacing w:line="360" w:lineRule="auto"/>
        <w:ind w:left="1134"/>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188AA3F">
      <w:pPr>
        <w:numPr>
          <w:ilvl w:val="0"/>
          <w:numId w:val="32"/>
        </w:numPr>
        <w:spacing w:line="360" w:lineRule="auto"/>
        <w:ind w:left="1134"/>
        <w:rPr>
          <w:color w:val="auto"/>
          <w:sz w:val="24"/>
          <w:szCs w:val="22"/>
          <w:highlight w:val="none"/>
        </w:rPr>
      </w:pPr>
      <w:r>
        <w:rPr>
          <w:color w:val="auto"/>
          <w:sz w:val="24"/>
          <w:szCs w:val="22"/>
          <w:highlight w:val="none"/>
        </w:rPr>
        <w:t>我单位不属于政府采购法律、行政法规规定的公益一类事业单位、或使用事业编制且由财政拨款保障的群团组织（仅适用于政府购买服务项目）；</w:t>
      </w:r>
    </w:p>
    <w:p w14:paraId="7BA2776F">
      <w:pPr>
        <w:numPr>
          <w:ilvl w:val="0"/>
          <w:numId w:val="32"/>
        </w:numPr>
        <w:spacing w:line="360" w:lineRule="auto"/>
        <w:ind w:left="1134"/>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14:paraId="1E122688">
      <w:pPr>
        <w:numPr>
          <w:ilvl w:val="0"/>
          <w:numId w:val="32"/>
        </w:numPr>
        <w:spacing w:line="360" w:lineRule="auto"/>
        <w:ind w:left="1134"/>
        <w:rPr>
          <w:color w:val="auto"/>
          <w:sz w:val="24"/>
          <w:szCs w:val="22"/>
          <w:highlight w:val="none"/>
        </w:rPr>
      </w:pPr>
      <w:r>
        <w:rPr>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0AD4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F7386C2">
            <w:pPr>
              <w:jc w:val="center"/>
              <w:rPr>
                <w:color w:val="auto"/>
                <w:sz w:val="24"/>
                <w:highlight w:val="none"/>
              </w:rPr>
            </w:pPr>
            <w:r>
              <w:rPr>
                <w:color w:val="auto"/>
                <w:sz w:val="24"/>
                <w:highlight w:val="none"/>
              </w:rPr>
              <w:t>序号</w:t>
            </w:r>
          </w:p>
        </w:tc>
        <w:tc>
          <w:tcPr>
            <w:tcW w:w="4574" w:type="dxa"/>
            <w:noWrap w:val="0"/>
            <w:vAlign w:val="center"/>
          </w:tcPr>
          <w:p w14:paraId="45C61119">
            <w:pPr>
              <w:jc w:val="center"/>
              <w:rPr>
                <w:color w:val="auto"/>
                <w:sz w:val="24"/>
                <w:highlight w:val="none"/>
              </w:rPr>
            </w:pPr>
            <w:r>
              <w:rPr>
                <w:color w:val="auto"/>
                <w:sz w:val="24"/>
                <w:highlight w:val="none"/>
              </w:rPr>
              <w:t>单位名称</w:t>
            </w:r>
          </w:p>
        </w:tc>
        <w:tc>
          <w:tcPr>
            <w:tcW w:w="2976" w:type="dxa"/>
            <w:noWrap w:val="0"/>
            <w:vAlign w:val="center"/>
          </w:tcPr>
          <w:p w14:paraId="73FF8F34">
            <w:pPr>
              <w:jc w:val="center"/>
              <w:rPr>
                <w:color w:val="auto"/>
                <w:sz w:val="24"/>
                <w:highlight w:val="none"/>
              </w:rPr>
            </w:pPr>
            <w:r>
              <w:rPr>
                <w:color w:val="auto"/>
                <w:sz w:val="24"/>
                <w:highlight w:val="none"/>
              </w:rPr>
              <w:t>相互关系</w:t>
            </w:r>
          </w:p>
        </w:tc>
      </w:tr>
      <w:tr w14:paraId="4740F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E4D77B3">
            <w:pPr>
              <w:jc w:val="center"/>
              <w:rPr>
                <w:color w:val="auto"/>
                <w:sz w:val="24"/>
                <w:highlight w:val="none"/>
              </w:rPr>
            </w:pPr>
            <w:r>
              <w:rPr>
                <w:color w:val="auto"/>
                <w:sz w:val="24"/>
                <w:highlight w:val="none"/>
              </w:rPr>
              <w:t>1</w:t>
            </w:r>
          </w:p>
        </w:tc>
        <w:tc>
          <w:tcPr>
            <w:tcW w:w="4574" w:type="dxa"/>
            <w:noWrap w:val="0"/>
            <w:vAlign w:val="center"/>
          </w:tcPr>
          <w:p w14:paraId="29382495">
            <w:pPr>
              <w:jc w:val="center"/>
              <w:rPr>
                <w:color w:val="auto"/>
                <w:sz w:val="24"/>
                <w:highlight w:val="none"/>
              </w:rPr>
            </w:pPr>
          </w:p>
        </w:tc>
        <w:tc>
          <w:tcPr>
            <w:tcW w:w="2976" w:type="dxa"/>
            <w:noWrap w:val="0"/>
            <w:vAlign w:val="center"/>
          </w:tcPr>
          <w:p w14:paraId="2FC3EE5B">
            <w:pPr>
              <w:jc w:val="center"/>
              <w:rPr>
                <w:color w:val="auto"/>
                <w:sz w:val="24"/>
                <w:highlight w:val="none"/>
              </w:rPr>
            </w:pPr>
          </w:p>
        </w:tc>
      </w:tr>
      <w:tr w14:paraId="239B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229ECCE">
            <w:pPr>
              <w:jc w:val="center"/>
              <w:rPr>
                <w:color w:val="auto"/>
                <w:sz w:val="24"/>
                <w:highlight w:val="none"/>
              </w:rPr>
            </w:pPr>
            <w:r>
              <w:rPr>
                <w:color w:val="auto"/>
                <w:sz w:val="24"/>
                <w:highlight w:val="none"/>
              </w:rPr>
              <w:t>2</w:t>
            </w:r>
          </w:p>
        </w:tc>
        <w:tc>
          <w:tcPr>
            <w:tcW w:w="4574" w:type="dxa"/>
            <w:noWrap w:val="0"/>
            <w:vAlign w:val="center"/>
          </w:tcPr>
          <w:p w14:paraId="69196C76">
            <w:pPr>
              <w:jc w:val="center"/>
              <w:rPr>
                <w:color w:val="auto"/>
                <w:sz w:val="24"/>
                <w:highlight w:val="none"/>
              </w:rPr>
            </w:pPr>
          </w:p>
        </w:tc>
        <w:tc>
          <w:tcPr>
            <w:tcW w:w="2976" w:type="dxa"/>
            <w:noWrap w:val="0"/>
            <w:vAlign w:val="center"/>
          </w:tcPr>
          <w:p w14:paraId="0AE679C7">
            <w:pPr>
              <w:jc w:val="center"/>
              <w:rPr>
                <w:color w:val="auto"/>
                <w:sz w:val="24"/>
                <w:highlight w:val="none"/>
              </w:rPr>
            </w:pPr>
          </w:p>
        </w:tc>
      </w:tr>
      <w:tr w14:paraId="2DFBD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B2BD3F0">
            <w:pPr>
              <w:jc w:val="center"/>
              <w:rPr>
                <w:color w:val="auto"/>
                <w:sz w:val="24"/>
                <w:highlight w:val="none"/>
              </w:rPr>
            </w:pPr>
            <w:r>
              <w:rPr>
                <w:color w:val="auto"/>
                <w:sz w:val="24"/>
                <w:highlight w:val="none"/>
              </w:rPr>
              <w:t>…</w:t>
            </w:r>
          </w:p>
        </w:tc>
        <w:tc>
          <w:tcPr>
            <w:tcW w:w="4574" w:type="dxa"/>
            <w:noWrap w:val="0"/>
            <w:vAlign w:val="center"/>
          </w:tcPr>
          <w:p w14:paraId="0EC4874F">
            <w:pPr>
              <w:jc w:val="center"/>
              <w:rPr>
                <w:color w:val="auto"/>
                <w:sz w:val="24"/>
                <w:highlight w:val="none"/>
              </w:rPr>
            </w:pPr>
          </w:p>
        </w:tc>
        <w:tc>
          <w:tcPr>
            <w:tcW w:w="2976" w:type="dxa"/>
            <w:noWrap w:val="0"/>
            <w:vAlign w:val="center"/>
          </w:tcPr>
          <w:p w14:paraId="3B4F177C">
            <w:pPr>
              <w:jc w:val="center"/>
              <w:rPr>
                <w:color w:val="auto"/>
                <w:sz w:val="24"/>
                <w:highlight w:val="none"/>
              </w:rPr>
            </w:pPr>
          </w:p>
        </w:tc>
      </w:tr>
    </w:tbl>
    <w:p w14:paraId="7801AB5E">
      <w:pPr>
        <w:rPr>
          <w:color w:val="auto"/>
          <w:highlight w:val="none"/>
        </w:rPr>
      </w:pPr>
    </w:p>
    <w:p w14:paraId="4DCD1258">
      <w:pPr>
        <w:ind w:firstLine="480" w:firstLineChars="200"/>
        <w:rPr>
          <w:color w:val="auto"/>
          <w:sz w:val="24"/>
          <w:szCs w:val="22"/>
          <w:highlight w:val="none"/>
        </w:rPr>
      </w:pPr>
      <w:r>
        <w:rPr>
          <w:color w:val="auto"/>
          <w:sz w:val="24"/>
          <w:highlight w:val="none"/>
        </w:rPr>
        <w:t>上述声明真实有效，否则我方负全部责任。</w:t>
      </w:r>
    </w:p>
    <w:p w14:paraId="2A340126">
      <w:pPr>
        <w:spacing w:line="360" w:lineRule="auto"/>
        <w:rPr>
          <w:color w:val="auto"/>
          <w:sz w:val="24"/>
          <w:highlight w:val="none"/>
        </w:rPr>
      </w:pPr>
    </w:p>
    <w:p w14:paraId="43DDCCCA">
      <w:pPr>
        <w:autoSpaceDE w:val="0"/>
        <w:autoSpaceDN w:val="0"/>
        <w:adjustRightInd w:val="0"/>
        <w:snapToGrid w:val="0"/>
        <w:spacing w:before="25" w:after="25" w:line="360" w:lineRule="auto"/>
        <w:jc w:val="right"/>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07CD8518">
      <w:pPr>
        <w:spacing w:line="360" w:lineRule="auto"/>
        <w:ind w:right="360" w:firstLine="480"/>
        <w:jc w:val="right"/>
        <w:rPr>
          <w:color w:val="auto"/>
          <w:sz w:val="24"/>
          <w:highlight w:val="none"/>
        </w:rPr>
      </w:pPr>
      <w:r>
        <w:rPr>
          <w:color w:val="auto"/>
          <w:sz w:val="24"/>
          <w:szCs w:val="20"/>
          <w:highlight w:val="none"/>
        </w:rPr>
        <w:t xml:space="preserve">日期：_____年______月______日   </w:t>
      </w:r>
    </w:p>
    <w:p w14:paraId="554B71E0">
      <w:pPr>
        <w:spacing w:line="360" w:lineRule="auto"/>
        <w:rPr>
          <w:color w:val="auto"/>
          <w:sz w:val="24"/>
          <w:highlight w:val="none"/>
        </w:rPr>
        <w:sectPr>
          <w:pgSz w:w="11907" w:h="16840"/>
          <w:pgMar w:top="1418" w:right="1134" w:bottom="1418" w:left="1701" w:header="851" w:footer="851" w:gutter="0"/>
          <w:cols w:space="720" w:num="1"/>
          <w:docGrid w:linePitch="462" w:charSpace="0"/>
        </w:sectPr>
      </w:pPr>
      <w:r>
        <w:rPr>
          <w:color w:val="auto"/>
          <w:sz w:val="24"/>
          <w:highlight w:val="none"/>
        </w:rPr>
        <w:t>说明：供应商承诺不实的，依据《政府采购法》第七十七条“提供虚假材料谋取中标、成交的”有关规定予以处理。</w:t>
      </w:r>
    </w:p>
    <w:p w14:paraId="3EDE0B34">
      <w:pPr>
        <w:numPr>
          <w:ilvl w:val="0"/>
          <w:numId w:val="31"/>
        </w:numPr>
        <w:tabs>
          <w:tab w:val="left" w:pos="360"/>
        </w:tabs>
        <w:snapToGrid w:val="0"/>
        <w:spacing w:line="360" w:lineRule="auto"/>
        <w:outlineLvl w:val="1"/>
        <w:rPr>
          <w:color w:val="auto"/>
          <w:sz w:val="24"/>
          <w:highlight w:val="none"/>
        </w:rPr>
      </w:pPr>
      <w:r>
        <w:rPr>
          <w:color w:val="auto"/>
          <w:sz w:val="24"/>
          <w:highlight w:val="none"/>
        </w:rPr>
        <w:t>本项目的特定资格要求</w:t>
      </w:r>
    </w:p>
    <w:p w14:paraId="08413E3E">
      <w:pPr>
        <w:spacing w:line="360" w:lineRule="auto"/>
        <w:outlineLvl w:val="2"/>
        <w:rPr>
          <w:color w:val="auto"/>
          <w:sz w:val="24"/>
          <w:szCs w:val="20"/>
          <w:highlight w:val="none"/>
        </w:rPr>
      </w:pPr>
      <w:r>
        <w:rPr>
          <w:rFonts w:hint="eastAsia"/>
          <w:color w:val="auto"/>
          <w:sz w:val="24"/>
          <w:szCs w:val="20"/>
          <w:highlight w:val="none"/>
        </w:rPr>
        <w:t>2</w:t>
      </w:r>
      <w:r>
        <w:rPr>
          <w:color w:val="auto"/>
          <w:sz w:val="24"/>
          <w:szCs w:val="20"/>
          <w:highlight w:val="none"/>
        </w:rPr>
        <w:t>-</w:t>
      </w:r>
      <w:r>
        <w:rPr>
          <w:rFonts w:hint="eastAsia"/>
          <w:color w:val="auto"/>
          <w:sz w:val="24"/>
          <w:szCs w:val="20"/>
          <w:highlight w:val="none"/>
        </w:rPr>
        <w:t>2</w:t>
      </w:r>
      <w:r>
        <w:rPr>
          <w:color w:val="auto"/>
          <w:sz w:val="24"/>
          <w:szCs w:val="20"/>
          <w:highlight w:val="none"/>
        </w:rPr>
        <w:t xml:space="preserve"> 其他特定资格要求</w:t>
      </w:r>
    </w:p>
    <w:p w14:paraId="64D34623">
      <w:pPr>
        <w:pStyle w:val="5"/>
        <w:rPr>
          <w:color w:val="auto"/>
          <w:highlight w:val="none"/>
        </w:rPr>
      </w:pPr>
    </w:p>
    <w:p w14:paraId="4CE52501">
      <w:pPr>
        <w:rPr>
          <w:color w:val="auto"/>
          <w:highlight w:val="none"/>
        </w:rPr>
      </w:pPr>
      <w:r>
        <w:rPr>
          <w:color w:val="auto"/>
          <w:highlight w:val="none"/>
        </w:rPr>
        <w:br w:type="page"/>
      </w:r>
    </w:p>
    <w:p w14:paraId="7381816B">
      <w:pPr>
        <w:widowControl/>
        <w:jc w:val="left"/>
        <w:rPr>
          <w:color w:val="auto"/>
          <w:sz w:val="24"/>
          <w:szCs w:val="20"/>
          <w:highlight w:val="none"/>
        </w:rPr>
      </w:pPr>
    </w:p>
    <w:p w14:paraId="336B2DFC">
      <w:pPr>
        <w:keepNext/>
        <w:keepLines/>
        <w:autoSpaceDE w:val="0"/>
        <w:autoSpaceDN w:val="0"/>
        <w:adjustRightInd w:val="0"/>
        <w:spacing w:before="120" w:line="300" w:lineRule="auto"/>
        <w:jc w:val="left"/>
        <w:outlineLvl w:val="1"/>
        <w:rPr>
          <w:b/>
          <w:color w:val="auto"/>
          <w:spacing w:val="20"/>
          <w:sz w:val="24"/>
          <w:highlight w:val="none"/>
        </w:rPr>
      </w:pPr>
      <w:r>
        <w:rPr>
          <w:b/>
          <w:color w:val="auto"/>
          <w:spacing w:val="20"/>
          <w:sz w:val="24"/>
          <w:highlight w:val="none"/>
        </w:rPr>
        <w:t>二、商务技术文件格式</w:t>
      </w:r>
    </w:p>
    <w:p w14:paraId="27AF6FFA">
      <w:pPr>
        <w:rPr>
          <w:b/>
          <w:color w:val="auto"/>
          <w:spacing w:val="20"/>
          <w:szCs w:val="21"/>
          <w:highlight w:val="none"/>
        </w:rPr>
      </w:pPr>
    </w:p>
    <w:p w14:paraId="5DFD2C3C">
      <w:pPr>
        <w:rPr>
          <w:b/>
          <w:color w:val="auto"/>
          <w:sz w:val="24"/>
          <w:highlight w:val="none"/>
        </w:rPr>
      </w:pPr>
      <w:r>
        <w:rPr>
          <w:b/>
          <w:color w:val="auto"/>
          <w:spacing w:val="20"/>
          <w:sz w:val="24"/>
          <w:highlight w:val="none"/>
        </w:rPr>
        <w:t>投标文件（商务技术文件）</w:t>
      </w:r>
      <w:r>
        <w:rPr>
          <w:b/>
          <w:color w:val="auto"/>
          <w:sz w:val="24"/>
          <w:highlight w:val="none"/>
        </w:rPr>
        <w:t>封面（非实质性格式）</w:t>
      </w:r>
    </w:p>
    <w:p w14:paraId="59128937">
      <w:pPr>
        <w:jc w:val="center"/>
        <w:rPr>
          <w:color w:val="auto"/>
          <w:szCs w:val="21"/>
          <w:highlight w:val="none"/>
        </w:rPr>
      </w:pPr>
    </w:p>
    <w:p w14:paraId="09B6003A">
      <w:pPr>
        <w:jc w:val="center"/>
        <w:rPr>
          <w:b/>
          <w:color w:val="auto"/>
          <w:spacing w:val="60"/>
          <w:sz w:val="84"/>
          <w:szCs w:val="84"/>
          <w:highlight w:val="none"/>
        </w:rPr>
      </w:pPr>
      <w:r>
        <w:rPr>
          <w:b/>
          <w:color w:val="auto"/>
          <w:spacing w:val="60"/>
          <w:sz w:val="84"/>
          <w:szCs w:val="84"/>
          <w:highlight w:val="none"/>
        </w:rPr>
        <w:t>投 标 文 件</w:t>
      </w:r>
    </w:p>
    <w:p w14:paraId="2017CA72">
      <w:pPr>
        <w:jc w:val="center"/>
        <w:rPr>
          <w:b/>
          <w:color w:val="auto"/>
          <w:spacing w:val="60"/>
          <w:sz w:val="52"/>
          <w:szCs w:val="52"/>
          <w:highlight w:val="none"/>
        </w:rPr>
      </w:pPr>
      <w:r>
        <w:rPr>
          <w:b/>
          <w:color w:val="auto"/>
          <w:spacing w:val="60"/>
          <w:sz w:val="52"/>
          <w:szCs w:val="52"/>
          <w:highlight w:val="none"/>
        </w:rPr>
        <w:t>（商务技术文件）</w:t>
      </w:r>
    </w:p>
    <w:p w14:paraId="41F2803E">
      <w:pPr>
        <w:ind w:firstLine="542" w:firstLineChars="150"/>
        <w:rPr>
          <w:b/>
          <w:color w:val="auto"/>
          <w:spacing w:val="20"/>
          <w:sz w:val="32"/>
          <w:szCs w:val="32"/>
          <w:highlight w:val="none"/>
        </w:rPr>
      </w:pPr>
    </w:p>
    <w:p w14:paraId="1AB0E761">
      <w:pPr>
        <w:ind w:firstLine="542" w:firstLineChars="150"/>
        <w:rPr>
          <w:b/>
          <w:color w:val="auto"/>
          <w:spacing w:val="20"/>
          <w:sz w:val="32"/>
          <w:szCs w:val="32"/>
          <w:highlight w:val="none"/>
        </w:rPr>
      </w:pPr>
    </w:p>
    <w:p w14:paraId="2F4ABD10">
      <w:pPr>
        <w:ind w:firstLine="542" w:firstLineChars="150"/>
        <w:rPr>
          <w:b/>
          <w:color w:val="auto"/>
          <w:spacing w:val="20"/>
          <w:sz w:val="32"/>
          <w:szCs w:val="32"/>
          <w:highlight w:val="none"/>
        </w:rPr>
      </w:pPr>
      <w:r>
        <w:rPr>
          <w:b/>
          <w:color w:val="auto"/>
          <w:spacing w:val="20"/>
          <w:sz w:val="32"/>
          <w:szCs w:val="32"/>
          <w:highlight w:val="none"/>
        </w:rPr>
        <w:t>项目名称:</w:t>
      </w:r>
    </w:p>
    <w:p w14:paraId="518A4D0E">
      <w:pPr>
        <w:ind w:firstLine="542" w:firstLineChars="150"/>
        <w:rPr>
          <w:b/>
          <w:color w:val="auto"/>
          <w:spacing w:val="20"/>
          <w:sz w:val="32"/>
          <w:szCs w:val="32"/>
          <w:highlight w:val="none"/>
        </w:rPr>
      </w:pPr>
      <w:r>
        <w:rPr>
          <w:rFonts w:hint="eastAsia"/>
          <w:b/>
          <w:color w:val="auto"/>
          <w:spacing w:val="20"/>
          <w:sz w:val="32"/>
          <w:szCs w:val="32"/>
          <w:highlight w:val="none"/>
        </w:rPr>
        <w:t>采购编号</w:t>
      </w:r>
      <w:r>
        <w:rPr>
          <w:b/>
          <w:color w:val="auto"/>
          <w:spacing w:val="20"/>
          <w:sz w:val="32"/>
          <w:szCs w:val="32"/>
          <w:highlight w:val="none"/>
        </w:rPr>
        <w:t>/包号：</w:t>
      </w:r>
    </w:p>
    <w:p w14:paraId="0B27D96B">
      <w:pPr>
        <w:ind w:firstLine="542" w:firstLineChars="150"/>
        <w:rPr>
          <w:b/>
          <w:color w:val="auto"/>
          <w:spacing w:val="20"/>
          <w:sz w:val="32"/>
          <w:szCs w:val="32"/>
          <w:highlight w:val="none"/>
        </w:rPr>
      </w:pPr>
    </w:p>
    <w:p w14:paraId="18F08EF8">
      <w:pPr>
        <w:ind w:firstLine="542" w:firstLineChars="150"/>
        <w:rPr>
          <w:b/>
          <w:color w:val="auto"/>
          <w:spacing w:val="20"/>
          <w:sz w:val="32"/>
          <w:szCs w:val="32"/>
          <w:highlight w:val="none"/>
        </w:rPr>
      </w:pPr>
    </w:p>
    <w:p w14:paraId="2FEED271">
      <w:pPr>
        <w:jc w:val="center"/>
        <w:rPr>
          <w:b/>
          <w:color w:val="auto"/>
          <w:sz w:val="32"/>
          <w:szCs w:val="32"/>
          <w:highlight w:val="none"/>
        </w:rPr>
      </w:pPr>
    </w:p>
    <w:p w14:paraId="18BC9CB5">
      <w:pPr>
        <w:jc w:val="center"/>
        <w:rPr>
          <w:b/>
          <w:color w:val="auto"/>
          <w:sz w:val="32"/>
          <w:szCs w:val="32"/>
          <w:highlight w:val="none"/>
        </w:rPr>
      </w:pPr>
    </w:p>
    <w:p w14:paraId="5CE75F1A">
      <w:pPr>
        <w:jc w:val="center"/>
        <w:rPr>
          <w:b/>
          <w:color w:val="auto"/>
          <w:sz w:val="32"/>
          <w:szCs w:val="32"/>
          <w:highlight w:val="none"/>
        </w:rPr>
      </w:pPr>
    </w:p>
    <w:p w14:paraId="5FBE6F33">
      <w:pPr>
        <w:jc w:val="center"/>
        <w:rPr>
          <w:b/>
          <w:color w:val="auto"/>
          <w:spacing w:val="20"/>
          <w:sz w:val="32"/>
          <w:szCs w:val="32"/>
          <w:highlight w:val="none"/>
        </w:rPr>
      </w:pPr>
    </w:p>
    <w:p w14:paraId="500327F3">
      <w:pPr>
        <w:jc w:val="center"/>
        <w:rPr>
          <w:b/>
          <w:color w:val="auto"/>
          <w:spacing w:val="20"/>
          <w:sz w:val="32"/>
          <w:szCs w:val="32"/>
          <w:highlight w:val="none"/>
        </w:rPr>
      </w:pPr>
    </w:p>
    <w:p w14:paraId="5EAF3319">
      <w:pPr>
        <w:jc w:val="center"/>
        <w:rPr>
          <w:b/>
          <w:color w:val="auto"/>
          <w:spacing w:val="20"/>
          <w:sz w:val="32"/>
          <w:szCs w:val="32"/>
          <w:highlight w:val="none"/>
        </w:rPr>
      </w:pPr>
    </w:p>
    <w:p w14:paraId="074EA8F1">
      <w:pPr>
        <w:spacing w:line="360" w:lineRule="auto"/>
        <w:ind w:firstLine="1445" w:firstLineChars="400"/>
        <w:jc w:val="left"/>
        <w:rPr>
          <w:b/>
          <w:color w:val="auto"/>
          <w:spacing w:val="20"/>
          <w:sz w:val="32"/>
          <w:szCs w:val="32"/>
          <w:highlight w:val="none"/>
        </w:rPr>
      </w:pPr>
      <w:r>
        <w:rPr>
          <w:b/>
          <w:color w:val="auto"/>
          <w:spacing w:val="20"/>
          <w:sz w:val="32"/>
          <w:szCs w:val="32"/>
          <w:highlight w:val="none"/>
        </w:rPr>
        <w:t>投标人名称：</w:t>
      </w:r>
    </w:p>
    <w:p w14:paraId="2910E126">
      <w:pPr>
        <w:jc w:val="center"/>
        <w:rPr>
          <w:b/>
          <w:color w:val="auto"/>
          <w:sz w:val="32"/>
          <w:szCs w:val="32"/>
          <w:highlight w:val="none"/>
        </w:rPr>
      </w:pPr>
    </w:p>
    <w:p w14:paraId="4758784C">
      <w:pPr>
        <w:widowControl/>
        <w:jc w:val="left"/>
        <w:rPr>
          <w:b/>
          <w:color w:val="auto"/>
          <w:sz w:val="24"/>
          <w:highlight w:val="none"/>
        </w:rPr>
      </w:pPr>
      <w:r>
        <w:rPr>
          <w:b/>
          <w:color w:val="auto"/>
          <w:sz w:val="24"/>
          <w:highlight w:val="none"/>
        </w:rPr>
        <w:br w:type="page"/>
      </w:r>
    </w:p>
    <w:p w14:paraId="4A2F1D8E">
      <w:pPr>
        <w:numPr>
          <w:ilvl w:val="0"/>
          <w:numId w:val="33"/>
        </w:numPr>
        <w:tabs>
          <w:tab w:val="left" w:pos="360"/>
        </w:tabs>
        <w:snapToGrid w:val="0"/>
        <w:spacing w:line="360" w:lineRule="auto"/>
        <w:outlineLvl w:val="1"/>
        <w:rPr>
          <w:color w:val="auto"/>
          <w:sz w:val="24"/>
          <w:szCs w:val="20"/>
          <w:highlight w:val="none"/>
        </w:rPr>
      </w:pPr>
      <w:bookmarkStart w:id="880" w:name="_Hlt520274065"/>
      <w:bookmarkEnd w:id="880"/>
      <w:bookmarkStart w:id="881" w:name="_Hlt520355504"/>
      <w:bookmarkEnd w:id="881"/>
      <w:bookmarkStart w:id="882" w:name="_Hlt520273711"/>
      <w:bookmarkEnd w:id="882"/>
      <w:bookmarkStart w:id="883" w:name="_Hlt520274407"/>
      <w:bookmarkEnd w:id="883"/>
      <w:bookmarkStart w:id="884" w:name="_Hlt520343000"/>
      <w:bookmarkEnd w:id="884"/>
      <w:bookmarkStart w:id="885" w:name="_Hlt520274393"/>
      <w:bookmarkEnd w:id="885"/>
      <w:bookmarkStart w:id="886" w:name="_Hlt520271212"/>
      <w:bookmarkEnd w:id="886"/>
      <w:bookmarkStart w:id="887" w:name="_Hlt520343392"/>
      <w:bookmarkEnd w:id="887"/>
      <w:bookmarkStart w:id="888" w:name="_Hlt520350918"/>
      <w:bookmarkEnd w:id="888"/>
      <w:bookmarkStart w:id="889" w:name="_Hlt520274121"/>
      <w:bookmarkEnd w:id="889"/>
      <w:bookmarkStart w:id="890" w:name="_Ref467988698"/>
      <w:bookmarkStart w:id="891" w:name="_Toc480942349"/>
      <w:bookmarkStart w:id="892" w:name="_Toc127151556"/>
      <w:bookmarkStart w:id="893" w:name="_Toc226309800"/>
      <w:bookmarkStart w:id="894" w:name="_Toc226965829"/>
      <w:bookmarkStart w:id="895" w:name="_Toc150774761"/>
      <w:bookmarkStart w:id="896" w:name="_Toc520356217"/>
      <w:bookmarkStart w:id="897" w:name="_Toc150480794"/>
      <w:bookmarkStart w:id="898" w:name="_Toc142311058"/>
      <w:bookmarkStart w:id="899" w:name="_Toc226965746"/>
      <w:bookmarkStart w:id="900" w:name="_Toc195842921"/>
      <w:bookmarkStart w:id="901" w:name="_Toc226337252"/>
      <w:r>
        <w:rPr>
          <w:color w:val="auto"/>
          <w:sz w:val="24"/>
          <w:highlight w:val="none"/>
        </w:rPr>
        <w:t>投标</w:t>
      </w:r>
      <w:bookmarkEnd w:id="890"/>
      <w:bookmarkEnd w:id="891"/>
      <w:r>
        <w:rPr>
          <w:color w:val="auto"/>
          <w:sz w:val="24"/>
          <w:highlight w:val="none"/>
        </w:rPr>
        <w:t>书</w:t>
      </w:r>
      <w:bookmarkEnd w:id="892"/>
      <w:bookmarkEnd w:id="893"/>
      <w:bookmarkEnd w:id="894"/>
      <w:bookmarkEnd w:id="895"/>
      <w:bookmarkEnd w:id="896"/>
      <w:bookmarkEnd w:id="897"/>
      <w:bookmarkEnd w:id="898"/>
      <w:bookmarkEnd w:id="899"/>
      <w:bookmarkEnd w:id="900"/>
      <w:bookmarkEnd w:id="901"/>
      <w:r>
        <w:rPr>
          <w:color w:val="auto"/>
          <w:sz w:val="24"/>
          <w:szCs w:val="20"/>
          <w:highlight w:val="none"/>
        </w:rPr>
        <w:t>（实质性格式）</w:t>
      </w:r>
    </w:p>
    <w:p w14:paraId="3F3BE963">
      <w:pPr>
        <w:tabs>
          <w:tab w:val="left" w:pos="5580"/>
        </w:tabs>
        <w:spacing w:line="360" w:lineRule="auto"/>
        <w:rPr>
          <w:color w:val="auto"/>
          <w:sz w:val="24"/>
          <w:highlight w:val="none"/>
        </w:rPr>
      </w:pPr>
    </w:p>
    <w:p w14:paraId="2195286A">
      <w:pPr>
        <w:spacing w:line="360" w:lineRule="auto"/>
        <w:jc w:val="center"/>
        <w:rPr>
          <w:b/>
          <w:color w:val="auto"/>
          <w:sz w:val="36"/>
          <w:szCs w:val="36"/>
          <w:highlight w:val="none"/>
        </w:rPr>
      </w:pPr>
      <w:r>
        <w:rPr>
          <w:b/>
          <w:color w:val="auto"/>
          <w:sz w:val="36"/>
          <w:szCs w:val="36"/>
          <w:highlight w:val="none"/>
        </w:rPr>
        <w:t>投标书</w:t>
      </w:r>
    </w:p>
    <w:p w14:paraId="29D3674F">
      <w:pPr>
        <w:tabs>
          <w:tab w:val="left" w:pos="5580"/>
        </w:tabs>
        <w:spacing w:line="360" w:lineRule="auto"/>
        <w:rPr>
          <w:color w:val="auto"/>
          <w:sz w:val="24"/>
          <w:highlight w:val="none"/>
        </w:rPr>
      </w:pPr>
      <w:r>
        <w:rPr>
          <w:color w:val="auto"/>
          <w:sz w:val="24"/>
          <w:highlight w:val="none"/>
        </w:rPr>
        <w:t>致：</w:t>
      </w:r>
      <w:r>
        <w:rPr>
          <w:rFonts w:hint="eastAsia"/>
          <w:color w:val="auto"/>
          <w:sz w:val="24"/>
          <w:highlight w:val="none"/>
          <w:u w:val="single"/>
        </w:rPr>
        <w:t>（采购人）</w:t>
      </w:r>
    </w:p>
    <w:p w14:paraId="775A1B42">
      <w:pPr>
        <w:tabs>
          <w:tab w:val="left" w:pos="5580"/>
        </w:tabs>
        <w:spacing w:line="360" w:lineRule="auto"/>
        <w:rPr>
          <w:color w:val="auto"/>
          <w:sz w:val="24"/>
          <w:szCs w:val="20"/>
          <w:highlight w:val="none"/>
        </w:rPr>
      </w:pPr>
    </w:p>
    <w:p w14:paraId="33D9A22F">
      <w:pPr>
        <w:tabs>
          <w:tab w:val="left" w:pos="5580"/>
        </w:tabs>
        <w:spacing w:line="360" w:lineRule="auto"/>
        <w:ind w:firstLine="408"/>
        <w:rPr>
          <w:color w:val="auto"/>
          <w:sz w:val="24"/>
          <w:szCs w:val="20"/>
          <w:highlight w:val="none"/>
        </w:rPr>
      </w:pPr>
      <w:r>
        <w:rPr>
          <w:color w:val="auto"/>
          <w:sz w:val="24"/>
          <w:szCs w:val="20"/>
          <w:highlight w:val="none"/>
        </w:rPr>
        <w:t>我方参加你方就___________（项目名称，</w:t>
      </w:r>
      <w:r>
        <w:rPr>
          <w:rFonts w:hint="eastAsia"/>
          <w:color w:val="auto"/>
          <w:sz w:val="24"/>
          <w:szCs w:val="20"/>
          <w:highlight w:val="none"/>
        </w:rPr>
        <w:t>采购编号</w:t>
      </w:r>
      <w:r>
        <w:rPr>
          <w:color w:val="auto"/>
          <w:sz w:val="24"/>
          <w:szCs w:val="20"/>
          <w:highlight w:val="none"/>
        </w:rPr>
        <w:t>/包号）组织的招标活动，并对此项目进行投标。</w:t>
      </w:r>
    </w:p>
    <w:p w14:paraId="40DCDA25">
      <w:pPr>
        <w:tabs>
          <w:tab w:val="left" w:pos="5580"/>
        </w:tabs>
        <w:spacing w:line="360" w:lineRule="auto"/>
        <w:ind w:firstLine="408"/>
        <w:rPr>
          <w:color w:val="auto"/>
          <w:sz w:val="24"/>
          <w:szCs w:val="20"/>
          <w:highlight w:val="none"/>
        </w:rPr>
      </w:pPr>
      <w:r>
        <w:rPr>
          <w:color w:val="auto"/>
          <w:sz w:val="24"/>
          <w:szCs w:val="20"/>
          <w:highlight w:val="none"/>
        </w:rPr>
        <w:t>1. 我方</w:t>
      </w:r>
      <w:r>
        <w:rPr>
          <w:color w:val="auto"/>
          <w:sz w:val="24"/>
          <w:highlight w:val="none"/>
        </w:rPr>
        <w:t>已详细审查全部招标文件</w:t>
      </w:r>
      <w:r>
        <w:rPr>
          <w:color w:val="auto"/>
          <w:sz w:val="24"/>
          <w:szCs w:val="20"/>
          <w:highlight w:val="none"/>
        </w:rPr>
        <w:t>，自愿参与投标并承诺如下：</w:t>
      </w:r>
    </w:p>
    <w:p w14:paraId="2E2BFB40">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（1）本投标有效期为自提交投标文件的截止之日起</w:t>
      </w:r>
      <w:r>
        <w:rPr>
          <w:rFonts w:hint="eastAsia"/>
          <w:color w:val="auto"/>
          <w:sz w:val="24"/>
          <w:highlight w:val="none"/>
        </w:rPr>
        <w:t>180</w:t>
      </w:r>
      <w:r>
        <w:rPr>
          <w:color w:val="auto"/>
          <w:sz w:val="24"/>
          <w:szCs w:val="20"/>
          <w:highlight w:val="none"/>
        </w:rPr>
        <w:t>个日历日。</w:t>
      </w:r>
    </w:p>
    <w:p w14:paraId="3FBEBF2B">
      <w:pPr>
        <w:tabs>
          <w:tab w:val="left" w:pos="720"/>
          <w:tab w:val="left" w:pos="900"/>
        </w:tabs>
        <w:spacing w:line="360" w:lineRule="auto"/>
        <w:ind w:left="360" w:firstLine="72" w:firstLineChars="30"/>
        <w:rPr>
          <w:color w:val="auto"/>
          <w:sz w:val="24"/>
          <w:szCs w:val="20"/>
          <w:highlight w:val="none"/>
        </w:rPr>
      </w:pPr>
      <w:r>
        <w:rPr>
          <w:color w:val="auto"/>
          <w:sz w:val="24"/>
          <w:szCs w:val="20"/>
          <w:highlight w:val="none"/>
        </w:rPr>
        <w:t>（2）除合同条款及采购需求偏离表列出的偏离外，我方响应招标文件的全部要求。</w:t>
      </w:r>
    </w:p>
    <w:p w14:paraId="73EE726A">
      <w:pPr>
        <w:tabs>
          <w:tab w:val="left" w:pos="5580"/>
        </w:tabs>
        <w:spacing w:line="360" w:lineRule="auto"/>
        <w:ind w:firstLine="420" w:firstLineChars="175"/>
        <w:rPr>
          <w:color w:val="auto"/>
          <w:sz w:val="24"/>
          <w:szCs w:val="20"/>
          <w:highlight w:val="none"/>
        </w:rPr>
      </w:pPr>
      <w:r>
        <w:rPr>
          <w:color w:val="auto"/>
          <w:sz w:val="24"/>
          <w:szCs w:val="20"/>
          <w:highlight w:val="none"/>
        </w:rPr>
        <w:t>（3）我方已提供的全部文件资料是真实、准确的，并对此承担一切法律后果。</w:t>
      </w:r>
    </w:p>
    <w:p w14:paraId="179E7402">
      <w:pPr>
        <w:tabs>
          <w:tab w:val="left" w:pos="5580"/>
        </w:tabs>
        <w:spacing w:line="360" w:lineRule="auto"/>
        <w:ind w:firstLine="420" w:firstLineChars="175"/>
        <w:rPr>
          <w:color w:val="auto"/>
          <w:sz w:val="24"/>
          <w:highlight w:val="none"/>
        </w:rPr>
      </w:pPr>
      <w:r>
        <w:rPr>
          <w:color w:val="auto"/>
          <w:sz w:val="24"/>
          <w:szCs w:val="20"/>
          <w:highlight w:val="none"/>
        </w:rPr>
        <w:t>（4）如我方中标，我方将在法律规定的期限内与你方签订合同，按照招标文件要求提交履约保证金，并在合同约定的期限内完成合同规定的全部义务。</w:t>
      </w:r>
    </w:p>
    <w:p w14:paraId="64625CF3">
      <w:pPr>
        <w:spacing w:line="360" w:lineRule="auto"/>
        <w:ind w:left="420"/>
        <w:rPr>
          <w:color w:val="auto"/>
          <w:sz w:val="24"/>
          <w:highlight w:val="none"/>
        </w:rPr>
      </w:pPr>
      <w:r>
        <w:rPr>
          <w:color w:val="auto"/>
          <w:sz w:val="24"/>
          <w:highlight w:val="none"/>
        </w:rPr>
        <w:t>2. 其他补充条款（如有）：</w:t>
      </w:r>
      <w:r>
        <w:rPr>
          <w:color w:val="auto"/>
          <w:sz w:val="24"/>
          <w:szCs w:val="20"/>
          <w:highlight w:val="none"/>
        </w:rPr>
        <w:t>___________</w:t>
      </w:r>
      <w:r>
        <w:rPr>
          <w:color w:val="auto"/>
          <w:sz w:val="24"/>
          <w:highlight w:val="none"/>
        </w:rPr>
        <w:t>。</w:t>
      </w:r>
    </w:p>
    <w:p w14:paraId="5855D3E1">
      <w:pPr>
        <w:tabs>
          <w:tab w:val="left" w:pos="5580"/>
        </w:tabs>
        <w:spacing w:line="360" w:lineRule="auto"/>
        <w:ind w:left="420"/>
        <w:rPr>
          <w:color w:val="auto"/>
          <w:sz w:val="24"/>
          <w:szCs w:val="20"/>
          <w:highlight w:val="none"/>
        </w:rPr>
      </w:pPr>
    </w:p>
    <w:p w14:paraId="2C082EEF">
      <w:pPr>
        <w:tabs>
          <w:tab w:val="left" w:pos="5580"/>
        </w:tabs>
        <w:spacing w:line="360" w:lineRule="auto"/>
        <w:ind w:left="420"/>
        <w:rPr>
          <w:color w:val="auto"/>
          <w:sz w:val="24"/>
          <w:szCs w:val="20"/>
          <w:highlight w:val="none"/>
        </w:rPr>
      </w:pPr>
    </w:p>
    <w:p w14:paraId="366BDD29">
      <w:pPr>
        <w:tabs>
          <w:tab w:val="left" w:pos="5580"/>
        </w:tabs>
        <w:spacing w:line="360" w:lineRule="auto"/>
        <w:ind w:left="420"/>
        <w:rPr>
          <w:color w:val="auto"/>
          <w:sz w:val="24"/>
          <w:szCs w:val="20"/>
          <w:highlight w:val="none"/>
        </w:rPr>
      </w:pPr>
    </w:p>
    <w:p w14:paraId="1B0A22D9">
      <w:pPr>
        <w:tabs>
          <w:tab w:val="left" w:pos="5580"/>
        </w:tabs>
        <w:spacing w:line="360" w:lineRule="auto"/>
        <w:ind w:left="420"/>
        <w:rPr>
          <w:color w:val="auto"/>
          <w:sz w:val="24"/>
          <w:szCs w:val="20"/>
          <w:highlight w:val="none"/>
        </w:rPr>
      </w:pPr>
    </w:p>
    <w:p w14:paraId="0C153641">
      <w:pPr>
        <w:tabs>
          <w:tab w:val="left" w:pos="5580"/>
        </w:tabs>
        <w:spacing w:line="360" w:lineRule="auto"/>
        <w:ind w:left="420"/>
        <w:rPr>
          <w:color w:val="auto"/>
          <w:sz w:val="24"/>
          <w:szCs w:val="20"/>
          <w:highlight w:val="none"/>
        </w:rPr>
      </w:pPr>
      <w:r>
        <w:rPr>
          <w:color w:val="auto"/>
          <w:sz w:val="24"/>
          <w:szCs w:val="20"/>
          <w:highlight w:val="none"/>
        </w:rPr>
        <w:t>投标人名称（加盖公章） ___________</w:t>
      </w:r>
    </w:p>
    <w:p w14:paraId="18D9982B">
      <w:pPr>
        <w:tabs>
          <w:tab w:val="left" w:pos="5580"/>
        </w:tabs>
        <w:spacing w:line="360" w:lineRule="auto"/>
        <w:ind w:left="420"/>
        <w:rPr>
          <w:color w:val="auto"/>
          <w:sz w:val="24"/>
          <w:szCs w:val="20"/>
          <w:highlight w:val="none"/>
        </w:rPr>
      </w:pPr>
      <w:r>
        <w:rPr>
          <w:color w:val="auto"/>
          <w:sz w:val="24"/>
          <w:szCs w:val="20"/>
          <w:highlight w:val="none"/>
        </w:rPr>
        <w:t xml:space="preserve">日期：_____年______月______日    </w:t>
      </w:r>
    </w:p>
    <w:p w14:paraId="19D43277">
      <w:pPr>
        <w:tabs>
          <w:tab w:val="left" w:pos="5580"/>
        </w:tabs>
        <w:spacing w:line="360" w:lineRule="auto"/>
        <w:ind w:left="420"/>
        <w:rPr>
          <w:color w:val="auto"/>
          <w:sz w:val="24"/>
          <w:szCs w:val="20"/>
          <w:highlight w:val="none"/>
          <w:u w:val="single"/>
        </w:rPr>
      </w:pPr>
    </w:p>
    <w:p w14:paraId="2DF5E169">
      <w:pPr>
        <w:tabs>
          <w:tab w:val="left" w:pos="5580"/>
        </w:tabs>
        <w:spacing w:line="360" w:lineRule="auto"/>
        <w:ind w:left="420"/>
        <w:rPr>
          <w:color w:val="auto"/>
          <w:sz w:val="24"/>
          <w:szCs w:val="20"/>
          <w:highlight w:val="none"/>
          <w:u w:val="single"/>
        </w:rPr>
      </w:pPr>
    </w:p>
    <w:p w14:paraId="3D5ACCCA">
      <w:pPr>
        <w:tabs>
          <w:tab w:val="left" w:pos="5580"/>
        </w:tabs>
        <w:spacing w:line="360" w:lineRule="auto"/>
        <w:ind w:left="420"/>
        <w:rPr>
          <w:color w:val="auto"/>
          <w:sz w:val="24"/>
          <w:szCs w:val="20"/>
          <w:highlight w:val="none"/>
          <w:u w:val="single"/>
        </w:rPr>
      </w:pPr>
    </w:p>
    <w:p w14:paraId="5F77B4F5">
      <w:pPr>
        <w:pStyle w:val="24"/>
        <w:tabs>
          <w:tab w:val="left" w:pos="5580"/>
        </w:tabs>
        <w:spacing w:line="300" w:lineRule="auto"/>
        <w:rPr>
          <w:rFonts w:hint="default" w:hAnsi="宋体"/>
          <w:color w:val="auto"/>
          <w:sz w:val="24"/>
          <w:szCs w:val="24"/>
          <w:highlight w:val="none"/>
        </w:rPr>
      </w:pPr>
      <w:bookmarkStart w:id="902" w:name="_Hlt520356243"/>
      <w:bookmarkEnd w:id="902"/>
      <w:bookmarkStart w:id="903" w:name="_Hlt520355938"/>
      <w:bookmarkEnd w:id="903"/>
      <w:bookmarkStart w:id="904" w:name="_Toc226965747"/>
      <w:bookmarkStart w:id="905" w:name="_Toc305158899"/>
      <w:bookmarkStart w:id="906" w:name="_Toc265228395"/>
      <w:bookmarkStart w:id="907" w:name="_Toc264969247"/>
      <w:bookmarkStart w:id="908" w:name="_Toc195842922"/>
      <w:bookmarkStart w:id="909" w:name="_Toc150774762"/>
      <w:bookmarkStart w:id="910" w:name="_Toc142311059"/>
      <w:bookmarkStart w:id="911" w:name="_Toc226965830"/>
      <w:bookmarkStart w:id="912" w:name="_Toc226309801"/>
      <w:bookmarkStart w:id="913" w:name="_Toc520356218"/>
      <w:bookmarkStart w:id="914" w:name="_Toc150480795"/>
      <w:bookmarkStart w:id="915" w:name="_Toc480942350"/>
      <w:bookmarkStart w:id="916" w:name="_Toc305158825"/>
      <w:bookmarkStart w:id="917" w:name="_Toc127151557"/>
      <w:bookmarkStart w:id="918" w:name="_Ref467988705"/>
      <w:bookmarkStart w:id="919" w:name="_Toc226337253"/>
      <w:r>
        <w:rPr>
          <w:rFonts w:hAnsi="宋体"/>
          <w:color w:val="auto"/>
          <w:sz w:val="24"/>
          <w:szCs w:val="24"/>
          <w:highlight w:val="none"/>
        </w:rPr>
        <w:t>投标人相关备注信息：</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1"/>
      </w:tblGrid>
      <w:tr w14:paraId="7FA4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54DCBC3E">
            <w:pPr>
              <w:pStyle w:val="24"/>
              <w:tabs>
                <w:tab w:val="left" w:pos="5580"/>
              </w:tabs>
              <w:spacing w:line="300" w:lineRule="auto"/>
              <w:rPr>
                <w:rFonts w:hint="default" w:hAnsi="宋体"/>
                <w:color w:val="auto"/>
                <w:sz w:val="24"/>
                <w:szCs w:val="24"/>
                <w:highlight w:val="none"/>
              </w:rPr>
            </w:pPr>
            <w:r>
              <w:rPr>
                <w:rFonts w:hAnsi="宋体"/>
                <w:color w:val="auto"/>
                <w:sz w:val="24"/>
                <w:szCs w:val="24"/>
                <w:highlight w:val="none"/>
              </w:rPr>
              <w:t>投标人社会信用代码</w:t>
            </w:r>
          </w:p>
        </w:tc>
        <w:tc>
          <w:tcPr>
            <w:tcW w:w="6571" w:type="dxa"/>
            <w:noWrap w:val="0"/>
            <w:vAlign w:val="top"/>
          </w:tcPr>
          <w:p w14:paraId="0BE339DD">
            <w:pPr>
              <w:pStyle w:val="24"/>
              <w:tabs>
                <w:tab w:val="left" w:pos="5580"/>
              </w:tabs>
              <w:spacing w:line="300" w:lineRule="auto"/>
              <w:rPr>
                <w:rFonts w:hint="default" w:hAnsi="宋体"/>
                <w:color w:val="auto"/>
                <w:sz w:val="24"/>
                <w:szCs w:val="24"/>
                <w:highlight w:val="none"/>
              </w:rPr>
            </w:pPr>
          </w:p>
        </w:tc>
      </w:tr>
      <w:tr w14:paraId="163A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0D7E0B5F">
            <w:pPr>
              <w:pStyle w:val="24"/>
              <w:tabs>
                <w:tab w:val="left" w:pos="5580"/>
              </w:tabs>
              <w:spacing w:line="300" w:lineRule="auto"/>
              <w:rPr>
                <w:rFonts w:hint="default" w:hAnsi="宋体"/>
                <w:color w:val="auto"/>
                <w:sz w:val="24"/>
                <w:szCs w:val="24"/>
                <w:highlight w:val="none"/>
              </w:rPr>
            </w:pPr>
            <w:r>
              <w:rPr>
                <w:rFonts w:hAnsi="宋体"/>
                <w:color w:val="auto"/>
                <w:sz w:val="24"/>
                <w:szCs w:val="24"/>
                <w:highlight w:val="none"/>
              </w:rPr>
              <w:t>投标人地址</w:t>
            </w:r>
          </w:p>
        </w:tc>
        <w:tc>
          <w:tcPr>
            <w:tcW w:w="6571" w:type="dxa"/>
            <w:noWrap w:val="0"/>
            <w:vAlign w:val="top"/>
          </w:tcPr>
          <w:p w14:paraId="7E0C469E">
            <w:pPr>
              <w:pStyle w:val="24"/>
              <w:tabs>
                <w:tab w:val="left" w:pos="5580"/>
              </w:tabs>
              <w:spacing w:line="300" w:lineRule="auto"/>
              <w:rPr>
                <w:rFonts w:hint="default" w:hAnsi="宋体"/>
                <w:color w:val="auto"/>
                <w:sz w:val="24"/>
                <w:szCs w:val="24"/>
                <w:highlight w:val="none"/>
              </w:rPr>
            </w:pPr>
          </w:p>
        </w:tc>
      </w:tr>
      <w:tr w14:paraId="6E20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2C7F9B83">
            <w:pPr>
              <w:pStyle w:val="24"/>
              <w:tabs>
                <w:tab w:val="left" w:pos="5580"/>
              </w:tabs>
              <w:spacing w:line="300" w:lineRule="auto"/>
              <w:rPr>
                <w:rFonts w:hint="default" w:hAnsi="宋体"/>
                <w:color w:val="auto"/>
                <w:sz w:val="24"/>
                <w:szCs w:val="24"/>
                <w:highlight w:val="none"/>
              </w:rPr>
            </w:pPr>
            <w:r>
              <w:rPr>
                <w:rFonts w:hAnsi="宋体"/>
                <w:color w:val="auto"/>
                <w:sz w:val="24"/>
                <w:szCs w:val="24"/>
                <w:highlight w:val="none"/>
              </w:rPr>
              <w:t>委托代理人姓名</w:t>
            </w:r>
          </w:p>
        </w:tc>
        <w:tc>
          <w:tcPr>
            <w:tcW w:w="6571" w:type="dxa"/>
            <w:noWrap w:val="0"/>
            <w:vAlign w:val="top"/>
          </w:tcPr>
          <w:p w14:paraId="166FF335">
            <w:pPr>
              <w:pStyle w:val="24"/>
              <w:tabs>
                <w:tab w:val="left" w:pos="5580"/>
              </w:tabs>
              <w:spacing w:line="300" w:lineRule="auto"/>
              <w:rPr>
                <w:rFonts w:hint="default" w:hAnsi="宋体"/>
                <w:color w:val="auto"/>
                <w:sz w:val="24"/>
                <w:szCs w:val="24"/>
                <w:highlight w:val="none"/>
              </w:rPr>
            </w:pPr>
          </w:p>
        </w:tc>
      </w:tr>
      <w:tr w14:paraId="76C4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11D34C14">
            <w:pPr>
              <w:pStyle w:val="24"/>
              <w:tabs>
                <w:tab w:val="left" w:pos="5580"/>
              </w:tabs>
              <w:spacing w:line="300" w:lineRule="auto"/>
              <w:rPr>
                <w:rFonts w:hint="default" w:hAnsi="宋体"/>
                <w:color w:val="auto"/>
                <w:sz w:val="24"/>
                <w:szCs w:val="24"/>
                <w:highlight w:val="none"/>
              </w:rPr>
            </w:pPr>
            <w:r>
              <w:rPr>
                <w:color w:val="auto"/>
                <w:sz w:val="24"/>
                <w:highlight w:val="none"/>
              </w:rPr>
              <w:t>委托代理人</w:t>
            </w:r>
            <w:r>
              <w:rPr>
                <w:rFonts w:hAnsi="宋体"/>
                <w:color w:val="auto"/>
                <w:sz w:val="24"/>
                <w:szCs w:val="24"/>
                <w:highlight w:val="none"/>
              </w:rPr>
              <w:t>手机号</w:t>
            </w:r>
          </w:p>
        </w:tc>
        <w:tc>
          <w:tcPr>
            <w:tcW w:w="6571" w:type="dxa"/>
            <w:noWrap w:val="0"/>
            <w:vAlign w:val="top"/>
          </w:tcPr>
          <w:p w14:paraId="78DD17AF">
            <w:pPr>
              <w:pStyle w:val="24"/>
              <w:tabs>
                <w:tab w:val="left" w:pos="5580"/>
              </w:tabs>
              <w:spacing w:line="300" w:lineRule="auto"/>
              <w:rPr>
                <w:rFonts w:hint="default" w:hAnsi="宋体"/>
                <w:color w:val="auto"/>
                <w:sz w:val="24"/>
                <w:szCs w:val="24"/>
                <w:highlight w:val="none"/>
              </w:rPr>
            </w:pPr>
          </w:p>
        </w:tc>
      </w:tr>
      <w:tr w14:paraId="6ED0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14:paraId="0CA5E3B2">
            <w:pPr>
              <w:pStyle w:val="24"/>
              <w:tabs>
                <w:tab w:val="left" w:pos="5580"/>
              </w:tabs>
              <w:spacing w:line="300" w:lineRule="auto"/>
              <w:rPr>
                <w:rFonts w:hint="default" w:hAnsi="宋体"/>
                <w:color w:val="auto"/>
                <w:sz w:val="24"/>
                <w:szCs w:val="24"/>
                <w:highlight w:val="none"/>
              </w:rPr>
            </w:pPr>
            <w:r>
              <w:rPr>
                <w:color w:val="auto"/>
                <w:sz w:val="24"/>
                <w:highlight w:val="none"/>
              </w:rPr>
              <w:t>委托代理人</w:t>
            </w:r>
            <w:r>
              <w:rPr>
                <w:rFonts w:hAnsi="宋体"/>
                <w:color w:val="auto"/>
                <w:sz w:val="24"/>
                <w:szCs w:val="24"/>
                <w:highlight w:val="none"/>
              </w:rPr>
              <w:t>邮箱</w:t>
            </w:r>
          </w:p>
        </w:tc>
        <w:tc>
          <w:tcPr>
            <w:tcW w:w="6571" w:type="dxa"/>
            <w:noWrap w:val="0"/>
            <w:vAlign w:val="top"/>
          </w:tcPr>
          <w:p w14:paraId="5375036D">
            <w:pPr>
              <w:pStyle w:val="24"/>
              <w:tabs>
                <w:tab w:val="left" w:pos="5580"/>
              </w:tabs>
              <w:spacing w:line="300" w:lineRule="auto"/>
              <w:rPr>
                <w:rFonts w:hint="default" w:hAnsi="宋体"/>
                <w:color w:val="auto"/>
                <w:sz w:val="24"/>
                <w:szCs w:val="24"/>
                <w:highlight w:val="none"/>
              </w:rPr>
            </w:pPr>
          </w:p>
        </w:tc>
      </w:tr>
    </w:tbl>
    <w:p w14:paraId="2807EE0B">
      <w:pPr>
        <w:widowControl/>
        <w:jc w:val="left"/>
        <w:rPr>
          <w:color w:val="auto"/>
          <w:sz w:val="24"/>
          <w:highlight w:val="none"/>
        </w:rPr>
      </w:pPr>
      <w:r>
        <w:rPr>
          <w:rFonts w:hint="eastAsia" w:hAnsi="宋体"/>
          <w:color w:val="auto"/>
          <w:sz w:val="24"/>
          <w:highlight w:val="none"/>
        </w:rPr>
        <w:t>请投标人按要求填写，该备注信息不作为实质性格式进行评审使用。</w:t>
      </w:r>
    </w:p>
    <w:p w14:paraId="4830C3F1">
      <w:pPr>
        <w:numPr>
          <w:ilvl w:val="0"/>
          <w:numId w:val="33"/>
        </w:numPr>
        <w:tabs>
          <w:tab w:val="left" w:pos="360"/>
        </w:tabs>
        <w:snapToGrid w:val="0"/>
        <w:spacing w:line="360" w:lineRule="auto"/>
        <w:outlineLvl w:val="1"/>
        <w:rPr>
          <w:color w:val="auto"/>
          <w:sz w:val="24"/>
          <w:highlight w:val="none"/>
        </w:rPr>
      </w:pPr>
      <w:r>
        <w:rPr>
          <w:color w:val="auto"/>
          <w:sz w:val="24"/>
          <w:highlight w:val="none"/>
        </w:rPr>
        <w:br w:type="page"/>
      </w:r>
      <w:r>
        <w:rPr>
          <w:color w:val="auto"/>
          <w:sz w:val="24"/>
          <w:highlight w:val="none"/>
        </w:rPr>
        <w:t>授权委托书（实质性格式）</w:t>
      </w:r>
    </w:p>
    <w:p w14:paraId="13622782">
      <w:pPr>
        <w:spacing w:line="360" w:lineRule="exact"/>
        <w:jc w:val="center"/>
        <w:rPr>
          <w:b/>
          <w:color w:val="auto"/>
          <w:sz w:val="36"/>
          <w:szCs w:val="36"/>
          <w:highlight w:val="none"/>
        </w:rPr>
      </w:pPr>
      <w:r>
        <w:rPr>
          <w:b/>
          <w:color w:val="auto"/>
          <w:sz w:val="36"/>
          <w:szCs w:val="36"/>
          <w:highlight w:val="none"/>
        </w:rPr>
        <w:t>授权委托书</w:t>
      </w:r>
    </w:p>
    <w:p w14:paraId="714CD9EB">
      <w:pPr>
        <w:spacing w:line="360" w:lineRule="auto"/>
        <w:ind w:firstLine="420"/>
        <w:rPr>
          <w:color w:val="auto"/>
          <w:sz w:val="24"/>
          <w:szCs w:val="20"/>
          <w:highlight w:val="none"/>
        </w:rPr>
      </w:pPr>
    </w:p>
    <w:p w14:paraId="62EC65F4">
      <w:pPr>
        <w:spacing w:line="360" w:lineRule="auto"/>
        <w:ind w:firstLine="420"/>
        <w:rPr>
          <w:color w:val="auto"/>
          <w:sz w:val="24"/>
          <w:szCs w:val="20"/>
          <w:highlight w:val="none"/>
        </w:rPr>
      </w:pPr>
      <w:r>
        <w:rPr>
          <w:color w:val="auto"/>
          <w:sz w:val="24"/>
          <w:szCs w:val="20"/>
          <w:highlight w:val="none"/>
        </w:rPr>
        <w:t>本人</w:t>
      </w:r>
      <w:r>
        <w:rPr>
          <w:color w:val="auto"/>
          <w:sz w:val="24"/>
          <w:highlight w:val="none"/>
          <w:lang w:val="zh-CN"/>
        </w:rPr>
        <w:t>_______</w:t>
      </w:r>
      <w:r>
        <w:rPr>
          <w:color w:val="auto"/>
          <w:sz w:val="24"/>
          <w:szCs w:val="20"/>
          <w:highlight w:val="none"/>
        </w:rPr>
        <w:t>（姓名）系</w:t>
      </w:r>
      <w:r>
        <w:rPr>
          <w:color w:val="auto"/>
          <w:sz w:val="24"/>
          <w:highlight w:val="none"/>
          <w:lang w:val="zh-CN"/>
        </w:rPr>
        <w:t>________________</w:t>
      </w:r>
      <w:r>
        <w:rPr>
          <w:color w:val="auto"/>
          <w:sz w:val="24"/>
          <w:szCs w:val="20"/>
          <w:highlight w:val="none"/>
        </w:rPr>
        <w:t>（投标人名称）的法定代表人（单位负责人），现委托</w:t>
      </w:r>
      <w:r>
        <w:rPr>
          <w:color w:val="auto"/>
          <w:sz w:val="24"/>
          <w:highlight w:val="none"/>
          <w:lang w:val="zh-CN"/>
        </w:rPr>
        <w:t>_______</w:t>
      </w:r>
      <w:r>
        <w:rPr>
          <w:color w:val="auto"/>
          <w:sz w:val="24"/>
          <w:szCs w:val="20"/>
          <w:highlight w:val="none"/>
        </w:rPr>
        <w:t>（姓名）为我方代理人。代理人根据授权，以我方名义签署、澄清确认、提交、撤回、修改</w:t>
      </w:r>
      <w:r>
        <w:rPr>
          <w:color w:val="auto"/>
          <w:sz w:val="24"/>
          <w:highlight w:val="none"/>
          <w:lang w:val="zh-CN"/>
        </w:rPr>
        <w:t>________________</w:t>
      </w:r>
      <w:r>
        <w:rPr>
          <w:color w:val="auto"/>
          <w:sz w:val="24"/>
          <w:szCs w:val="20"/>
          <w:highlight w:val="none"/>
        </w:rPr>
        <w:t>（项目名称）投标文件和处理有关事宜，其法律后果由我方承担。</w:t>
      </w:r>
    </w:p>
    <w:p w14:paraId="45E3A0FB">
      <w:pPr>
        <w:spacing w:line="360" w:lineRule="auto"/>
        <w:ind w:firstLine="420"/>
        <w:rPr>
          <w:color w:val="auto"/>
          <w:sz w:val="24"/>
          <w:szCs w:val="20"/>
          <w:highlight w:val="none"/>
        </w:rPr>
      </w:pPr>
      <w:r>
        <w:rPr>
          <w:color w:val="auto"/>
          <w:sz w:val="24"/>
          <w:szCs w:val="20"/>
          <w:highlight w:val="none"/>
        </w:rPr>
        <w:t>委托期限：自本授权委托书签署之日起至投标有效期届满之日止。</w:t>
      </w:r>
    </w:p>
    <w:p w14:paraId="774D3568">
      <w:pPr>
        <w:spacing w:line="360" w:lineRule="auto"/>
        <w:ind w:firstLine="420"/>
        <w:rPr>
          <w:color w:val="auto"/>
          <w:sz w:val="24"/>
          <w:szCs w:val="20"/>
          <w:highlight w:val="none"/>
        </w:rPr>
      </w:pPr>
      <w:r>
        <w:rPr>
          <w:color w:val="auto"/>
          <w:sz w:val="24"/>
          <w:szCs w:val="20"/>
          <w:highlight w:val="none"/>
        </w:rPr>
        <w:t>代理人无转委托权。</w:t>
      </w:r>
      <w:r>
        <w:rPr>
          <w:color w:val="auto"/>
          <w:sz w:val="24"/>
          <w:szCs w:val="20"/>
          <w:highlight w:val="none"/>
        </w:rPr>
        <w:cr/>
      </w:r>
    </w:p>
    <w:p w14:paraId="61009E2E">
      <w:pPr>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792A4E0C">
      <w:pPr>
        <w:spacing w:line="360" w:lineRule="auto"/>
        <w:rPr>
          <w:color w:val="auto"/>
          <w:sz w:val="24"/>
          <w:szCs w:val="20"/>
          <w:highlight w:val="none"/>
        </w:rPr>
      </w:pPr>
      <w:r>
        <w:rPr>
          <w:color w:val="auto"/>
          <w:sz w:val="24"/>
          <w:szCs w:val="20"/>
          <w:highlight w:val="none"/>
        </w:rPr>
        <w:t>法定代表人（单位负责人）（签字或签章）：</w:t>
      </w:r>
      <w:r>
        <w:rPr>
          <w:color w:val="auto"/>
          <w:sz w:val="24"/>
          <w:highlight w:val="none"/>
          <w:lang w:val="zh-CN"/>
        </w:rPr>
        <w:t>________________</w:t>
      </w:r>
    </w:p>
    <w:p w14:paraId="05CBB1FF">
      <w:pPr>
        <w:autoSpaceDE w:val="0"/>
        <w:autoSpaceDN w:val="0"/>
        <w:adjustRightInd w:val="0"/>
        <w:snapToGrid w:val="0"/>
        <w:spacing w:line="360" w:lineRule="auto"/>
        <w:rPr>
          <w:color w:val="auto"/>
          <w:sz w:val="24"/>
          <w:highlight w:val="none"/>
          <w:lang w:val="zh-CN"/>
        </w:rPr>
      </w:pPr>
      <w:r>
        <w:rPr>
          <w:color w:val="auto"/>
          <w:sz w:val="24"/>
          <w:highlight w:val="none"/>
        </w:rPr>
        <w:t>委托代理人（签字或签章）：</w:t>
      </w:r>
      <w:r>
        <w:rPr>
          <w:color w:val="auto"/>
          <w:sz w:val="24"/>
          <w:highlight w:val="none"/>
          <w:lang w:val="zh-CN"/>
        </w:rPr>
        <w:t>________________</w:t>
      </w:r>
    </w:p>
    <w:p w14:paraId="62DD05F9">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2A72A030">
      <w:pPr>
        <w:tabs>
          <w:tab w:val="left" w:pos="5580"/>
        </w:tabs>
        <w:spacing w:line="360" w:lineRule="auto"/>
        <w:ind w:firstLine="480" w:firstLineChars="200"/>
        <w:rPr>
          <w:color w:val="auto"/>
          <w:sz w:val="24"/>
          <w:szCs w:val="20"/>
          <w:highlight w:val="none"/>
        </w:rPr>
      </w:pPr>
    </w:p>
    <w:p w14:paraId="15859F17">
      <w:pPr>
        <w:tabs>
          <w:tab w:val="left" w:pos="5580"/>
        </w:tabs>
        <w:spacing w:line="360" w:lineRule="auto"/>
        <w:rPr>
          <w:color w:val="auto"/>
          <w:sz w:val="24"/>
          <w:szCs w:val="20"/>
          <w:highlight w:val="none"/>
        </w:rPr>
      </w:pPr>
      <w:r>
        <w:rPr>
          <w:rFonts w:hint="eastAsia"/>
          <w:color w:val="auto"/>
          <w:sz w:val="24"/>
          <w:szCs w:val="20"/>
          <w:highlight w:val="none"/>
        </w:rPr>
        <w:t>附：</w:t>
      </w:r>
      <w:r>
        <w:rPr>
          <w:color w:val="auto"/>
          <w:sz w:val="24"/>
          <w:szCs w:val="20"/>
          <w:highlight w:val="none"/>
        </w:rPr>
        <w:t>法定代表人及委托代理人身份证明文件电子件：</w:t>
      </w:r>
    </w:p>
    <w:tbl>
      <w:tblPr>
        <w:tblStyle w:val="4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685E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noWrap w:val="0"/>
            <w:vAlign w:val="top"/>
          </w:tcPr>
          <w:p w14:paraId="31F95EAB">
            <w:pPr>
              <w:tabs>
                <w:tab w:val="left" w:pos="5580"/>
              </w:tabs>
              <w:spacing w:line="360" w:lineRule="auto"/>
              <w:rPr>
                <w:color w:val="auto"/>
                <w:sz w:val="24"/>
                <w:szCs w:val="20"/>
                <w:highlight w:val="none"/>
              </w:rPr>
            </w:pPr>
          </w:p>
        </w:tc>
      </w:tr>
    </w:tbl>
    <w:p w14:paraId="69826A3F">
      <w:pPr>
        <w:tabs>
          <w:tab w:val="left" w:pos="5580"/>
        </w:tabs>
        <w:spacing w:line="360" w:lineRule="auto"/>
        <w:jc w:val="left"/>
        <w:rPr>
          <w:color w:val="auto"/>
          <w:sz w:val="24"/>
          <w:szCs w:val="20"/>
          <w:highlight w:val="none"/>
        </w:rPr>
      </w:pPr>
      <w:r>
        <w:rPr>
          <w:color w:val="auto"/>
          <w:sz w:val="24"/>
          <w:szCs w:val="20"/>
          <w:highlight w:val="none"/>
        </w:rPr>
        <w:t>说明：</w:t>
      </w:r>
    </w:p>
    <w:p w14:paraId="15C666E5">
      <w:pPr>
        <w:tabs>
          <w:tab w:val="left" w:pos="5580"/>
        </w:tabs>
        <w:spacing w:line="360" w:lineRule="auto"/>
        <w:jc w:val="left"/>
        <w:rPr>
          <w:color w:val="auto"/>
          <w:sz w:val="24"/>
          <w:szCs w:val="20"/>
          <w:highlight w:val="none"/>
        </w:rPr>
      </w:pPr>
      <w:r>
        <w:rPr>
          <w:color w:val="auto"/>
          <w:sz w:val="24"/>
          <w:szCs w:val="20"/>
          <w:highlight w:val="none"/>
        </w:rPr>
        <w:t>1.若供应商为事业单位或其他组织或分支机构，则法定代表人（单位负责人）处的签署人可为单位负责人。</w:t>
      </w:r>
    </w:p>
    <w:p w14:paraId="269773DD">
      <w:pPr>
        <w:tabs>
          <w:tab w:val="left" w:pos="5580"/>
        </w:tabs>
        <w:spacing w:line="360" w:lineRule="auto"/>
        <w:jc w:val="left"/>
        <w:rPr>
          <w:color w:val="auto"/>
          <w:sz w:val="24"/>
          <w:szCs w:val="20"/>
          <w:highlight w:val="none"/>
        </w:rPr>
      </w:pPr>
      <w:r>
        <w:rPr>
          <w:color w:val="auto"/>
          <w:sz w:val="24"/>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40BDA25D">
      <w:pPr>
        <w:tabs>
          <w:tab w:val="left" w:pos="5580"/>
        </w:tabs>
        <w:spacing w:line="360" w:lineRule="auto"/>
        <w:jc w:val="left"/>
        <w:rPr>
          <w:color w:val="auto"/>
          <w:sz w:val="24"/>
          <w:szCs w:val="20"/>
          <w:highlight w:val="none"/>
        </w:rPr>
      </w:pPr>
      <w:r>
        <w:rPr>
          <w:color w:val="auto"/>
          <w:sz w:val="24"/>
          <w:szCs w:val="20"/>
          <w:highlight w:val="none"/>
        </w:rPr>
        <w:t>3.供应商为自然人的情形，可不提供本《授权委托书》。</w:t>
      </w:r>
    </w:p>
    <w:p w14:paraId="1340C8E5">
      <w:pPr>
        <w:tabs>
          <w:tab w:val="left" w:pos="5580"/>
        </w:tabs>
        <w:spacing w:line="360" w:lineRule="auto"/>
        <w:jc w:val="left"/>
        <w:rPr>
          <w:color w:val="auto"/>
          <w:sz w:val="30"/>
          <w:szCs w:val="30"/>
          <w:highlight w:val="none"/>
        </w:rPr>
      </w:pPr>
      <w:r>
        <w:rPr>
          <w:color w:val="auto"/>
          <w:sz w:val="24"/>
          <w:szCs w:val="20"/>
          <w:highlight w:val="none"/>
        </w:rPr>
        <w:t>4.供应商应随本《授权委托书》同时提供法定代表人（单位负责人）及委托代理人的有效的身份证、护照等身份证明文件电子件。提供身份证的，应同时提供身份证</w:t>
      </w:r>
      <w:r>
        <w:rPr>
          <w:b/>
          <w:color w:val="auto"/>
          <w:sz w:val="24"/>
          <w:szCs w:val="20"/>
          <w:highlight w:val="none"/>
        </w:rPr>
        <w:t>双面</w:t>
      </w:r>
      <w:r>
        <w:rPr>
          <w:color w:val="auto"/>
          <w:sz w:val="24"/>
          <w:szCs w:val="20"/>
          <w:highlight w:val="none"/>
        </w:rPr>
        <w:t>电子件。</w:t>
      </w:r>
      <w:r>
        <w:rPr>
          <w:color w:val="auto"/>
          <w:sz w:val="30"/>
          <w:szCs w:val="30"/>
          <w:highlight w:val="none"/>
        </w:rPr>
        <w:br w:type="page"/>
      </w:r>
    </w:p>
    <w:p w14:paraId="6C7A0CF6">
      <w:pPr>
        <w:spacing w:line="360" w:lineRule="exact"/>
        <w:jc w:val="center"/>
        <w:rPr>
          <w:b/>
          <w:color w:val="auto"/>
          <w:sz w:val="36"/>
          <w:szCs w:val="36"/>
          <w:highlight w:val="none"/>
        </w:rPr>
      </w:pPr>
      <w:r>
        <w:rPr>
          <w:b/>
          <w:color w:val="auto"/>
          <w:sz w:val="36"/>
          <w:szCs w:val="36"/>
          <w:highlight w:val="none"/>
        </w:rPr>
        <w:t>法定代表人（单位负责人）身份证明</w:t>
      </w:r>
    </w:p>
    <w:p w14:paraId="65CC6048">
      <w:pPr>
        <w:kinsoku w:val="0"/>
        <w:overflowPunct w:val="0"/>
        <w:spacing w:line="200" w:lineRule="exact"/>
        <w:rPr>
          <w:color w:val="auto"/>
          <w:sz w:val="20"/>
          <w:szCs w:val="20"/>
          <w:highlight w:val="none"/>
        </w:rPr>
      </w:pPr>
    </w:p>
    <w:p w14:paraId="7AAAF44B">
      <w:pPr>
        <w:tabs>
          <w:tab w:val="left" w:pos="5580"/>
        </w:tabs>
        <w:spacing w:line="360" w:lineRule="auto"/>
        <w:rPr>
          <w:color w:val="auto"/>
          <w:sz w:val="24"/>
          <w:highlight w:val="none"/>
        </w:rPr>
      </w:pPr>
      <w:r>
        <w:rPr>
          <w:color w:val="auto"/>
          <w:sz w:val="24"/>
          <w:highlight w:val="none"/>
        </w:rPr>
        <w:t>致：</w:t>
      </w:r>
      <w:r>
        <w:rPr>
          <w:rFonts w:hint="eastAsia"/>
          <w:color w:val="auto"/>
          <w:sz w:val="24"/>
          <w:highlight w:val="none"/>
          <w:u w:val="single"/>
        </w:rPr>
        <w:t>（采购人）</w:t>
      </w:r>
    </w:p>
    <w:p w14:paraId="7B5A2FB6">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color w:val="auto"/>
          <w:highlight w:val="none"/>
        </w:rPr>
      </w:pPr>
      <w:r>
        <w:rPr>
          <w:rFonts w:ascii="Times New Roman" w:hAnsi="Times New Roman"/>
          <w:color w:val="auto"/>
          <w:highlight w:val="none"/>
        </w:rPr>
        <w:t>兹证明，</w:t>
      </w:r>
    </w:p>
    <w:p w14:paraId="076C91C1">
      <w:pPr>
        <w:pStyle w:val="17"/>
        <w:tabs>
          <w:tab w:val="left" w:pos="1690"/>
          <w:tab w:val="left" w:pos="3400"/>
          <w:tab w:val="left" w:pos="5110"/>
          <w:tab w:val="left" w:pos="6821"/>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姓名：____性别：____年龄：____职务：____</w:t>
      </w:r>
    </w:p>
    <w:p w14:paraId="0A265D06">
      <w:pPr>
        <w:pStyle w:val="17"/>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1A156BC4">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color w:val="auto"/>
          <w:highlight w:val="none"/>
        </w:rPr>
      </w:pPr>
      <w:r>
        <w:rPr>
          <w:rFonts w:ascii="Times New Roman" w:hAnsi="Times New Roman"/>
          <w:color w:val="auto"/>
          <w:highlight w:val="none"/>
        </w:rPr>
        <w:t>系</w:t>
      </w:r>
      <w:r>
        <w:rPr>
          <w:rFonts w:ascii="Times New Roman" w:hAnsi="Times New Roman"/>
          <w:color w:val="auto"/>
          <w:highlight w:val="none"/>
          <w:u w:val="single"/>
        </w:rPr>
        <w:tab/>
      </w:r>
      <w:r>
        <w:rPr>
          <w:rFonts w:ascii="Times New Roman" w:hAnsi="Times New Roman"/>
          <w:color w:val="auto"/>
          <w:highlight w:val="none"/>
        </w:rPr>
        <w:t>（投标人名称）的法定代表人（单位负责人）。</w:t>
      </w:r>
    </w:p>
    <w:p w14:paraId="11C5802C">
      <w:pPr>
        <w:pStyle w:val="17"/>
        <w:tabs>
          <w:tab w:val="left" w:pos="2412"/>
          <w:tab w:val="left" w:pos="3883"/>
          <w:tab w:val="left" w:pos="5352"/>
          <w:tab w:val="left" w:pos="6821"/>
        </w:tabs>
        <w:kinsoku w:val="0"/>
        <w:overflowPunct w:val="0"/>
        <w:spacing w:line="335" w:lineRule="exact"/>
        <w:rPr>
          <w:rFonts w:ascii="Times New Roman" w:hAnsi="Times New Roman"/>
          <w:color w:val="auto"/>
          <w:highlight w:val="none"/>
        </w:rPr>
      </w:pPr>
    </w:p>
    <w:p w14:paraId="3125B03F">
      <w:pPr>
        <w:pStyle w:val="17"/>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4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049AB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noWrap w:val="0"/>
            <w:vAlign w:val="top"/>
          </w:tcPr>
          <w:p w14:paraId="20DFCDDF">
            <w:pPr>
              <w:pStyle w:val="17"/>
              <w:kinsoku w:val="0"/>
              <w:overflowPunct w:val="0"/>
              <w:spacing w:line="583" w:lineRule="auto"/>
              <w:ind w:right="-46"/>
              <w:rPr>
                <w:color w:val="auto"/>
                <w:szCs w:val="20"/>
                <w:highlight w:val="none"/>
              </w:rPr>
            </w:pPr>
          </w:p>
        </w:tc>
      </w:tr>
    </w:tbl>
    <w:p w14:paraId="634A79F7">
      <w:pPr>
        <w:pStyle w:val="17"/>
        <w:kinsoku w:val="0"/>
        <w:overflowPunct w:val="0"/>
        <w:spacing w:line="583" w:lineRule="auto"/>
        <w:ind w:right="4305"/>
        <w:rPr>
          <w:rFonts w:ascii="Times New Roman" w:hAnsi="Times New Roman"/>
          <w:color w:val="auto"/>
          <w:spacing w:val="-3"/>
          <w:highlight w:val="none"/>
        </w:rPr>
      </w:pPr>
    </w:p>
    <w:p w14:paraId="74CEC302">
      <w:pPr>
        <w:autoSpaceDE w:val="0"/>
        <w:autoSpaceDN w:val="0"/>
        <w:adjustRightInd w:val="0"/>
        <w:snapToGrid w:val="0"/>
        <w:spacing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：________________</w:t>
      </w:r>
    </w:p>
    <w:p w14:paraId="21911BF1">
      <w:pPr>
        <w:pStyle w:val="17"/>
        <w:kinsoku w:val="0"/>
        <w:overflowPunct w:val="0"/>
        <w:spacing w:line="583" w:lineRule="auto"/>
        <w:ind w:right="95"/>
        <w:rPr>
          <w:rFonts w:ascii="Times New Roman" w:hAnsi="Times New Roman"/>
          <w:color w:val="auto"/>
          <w:spacing w:val="-3"/>
          <w:highlight w:val="none"/>
        </w:rPr>
      </w:pPr>
      <w:r>
        <w:rPr>
          <w:rFonts w:ascii="Times New Roman" w:hAnsi="Times New Roman"/>
          <w:color w:val="auto"/>
          <w:spacing w:val="-3"/>
          <w:highlight w:val="none"/>
        </w:rPr>
        <w:t>法定代表人（</w:t>
      </w:r>
      <w:r>
        <w:rPr>
          <w:rFonts w:ascii="Times New Roman" w:hAnsi="Times New Roman"/>
          <w:color w:val="auto"/>
          <w:highlight w:val="none"/>
        </w:rPr>
        <w:t>单位负责人</w:t>
      </w:r>
      <w:r>
        <w:rPr>
          <w:rFonts w:ascii="Times New Roman" w:hAnsi="Times New Roman"/>
          <w:color w:val="auto"/>
          <w:spacing w:val="-3"/>
          <w:highlight w:val="none"/>
        </w:rPr>
        <w:t>）（签字或签章）：_______</w:t>
      </w:r>
    </w:p>
    <w:p w14:paraId="16BF859F">
      <w:pPr>
        <w:autoSpaceDE w:val="0"/>
        <w:autoSpaceDN w:val="0"/>
        <w:adjustRightInd w:val="0"/>
        <w:snapToGrid w:val="0"/>
        <w:spacing w:line="360" w:lineRule="auto"/>
        <w:rPr>
          <w:color w:val="auto"/>
          <w:sz w:val="24"/>
          <w:highlight w:val="none"/>
        </w:rPr>
      </w:pPr>
    </w:p>
    <w:p w14:paraId="25B3937D">
      <w:pPr>
        <w:autoSpaceDE w:val="0"/>
        <w:autoSpaceDN w:val="0"/>
        <w:adjustRightInd w:val="0"/>
        <w:snapToGrid w:val="0"/>
        <w:spacing w:line="360" w:lineRule="auto"/>
        <w:rPr>
          <w:color w:val="auto"/>
          <w:sz w:val="24"/>
          <w:highlight w:val="none"/>
          <w:lang w:val="zh-CN"/>
        </w:rPr>
      </w:pPr>
      <w:r>
        <w:rPr>
          <w:color w:val="auto"/>
          <w:sz w:val="24"/>
          <w:highlight w:val="none"/>
        </w:rPr>
        <w:t>日期：_____年______月______日</w:t>
      </w:r>
    </w:p>
    <w:p w14:paraId="07A6D09D">
      <w:pPr>
        <w:widowControl/>
        <w:jc w:val="left"/>
        <w:rPr>
          <w:i/>
          <w:color w:val="auto"/>
          <w:sz w:val="24"/>
          <w:szCs w:val="20"/>
          <w:highlight w:val="none"/>
          <w:u w:val="single"/>
        </w:rPr>
      </w:pPr>
    </w:p>
    <w:p w14:paraId="1D6A5685">
      <w:pPr>
        <w:widowControl/>
        <w:jc w:val="left"/>
        <w:rPr>
          <w:color w:val="auto"/>
          <w:sz w:val="24"/>
          <w:szCs w:val="20"/>
          <w:highlight w:val="none"/>
        </w:rPr>
        <w:sectPr>
          <w:pgSz w:w="11907" w:h="16840"/>
          <w:pgMar w:top="1417" w:right="1134" w:bottom="1417" w:left="1701" w:header="851" w:footer="850" w:gutter="0"/>
          <w:cols w:space="720" w:num="1"/>
          <w:docGrid w:linePitch="462" w:charSpace="0"/>
        </w:sectPr>
      </w:pPr>
    </w:p>
    <w:p w14:paraId="2726764F">
      <w:pPr>
        <w:widowControl/>
        <w:jc w:val="left"/>
        <w:rPr>
          <w:color w:val="auto"/>
          <w:sz w:val="24"/>
          <w:szCs w:val="20"/>
          <w:highlight w:val="none"/>
        </w:rPr>
      </w:pPr>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18C9E465">
      <w:pPr>
        <w:numPr>
          <w:ilvl w:val="0"/>
          <w:numId w:val="33"/>
        </w:numPr>
        <w:tabs>
          <w:tab w:val="left" w:pos="360"/>
        </w:tabs>
        <w:snapToGrid w:val="0"/>
        <w:spacing w:line="360" w:lineRule="auto"/>
        <w:outlineLvl w:val="1"/>
        <w:rPr>
          <w:color w:val="auto"/>
          <w:sz w:val="24"/>
          <w:szCs w:val="20"/>
          <w:highlight w:val="none"/>
        </w:rPr>
      </w:pPr>
      <w:bookmarkStart w:id="920" w:name="_Toc226965832"/>
      <w:bookmarkStart w:id="921" w:name="_Toc226309803"/>
      <w:bookmarkStart w:id="922" w:name="_Toc226965749"/>
      <w:bookmarkStart w:id="923" w:name="_Toc142311060"/>
      <w:bookmarkStart w:id="924" w:name="_Toc305158901"/>
      <w:bookmarkStart w:id="925" w:name="_Toc195842924"/>
      <w:bookmarkStart w:id="926" w:name="_Toc264969249"/>
      <w:bookmarkStart w:id="927" w:name="_Toc265228397"/>
      <w:bookmarkStart w:id="928" w:name="_Toc226337255"/>
      <w:bookmarkStart w:id="929" w:name="_Toc305158827"/>
      <w:bookmarkStart w:id="930" w:name="_Toc150480796"/>
      <w:bookmarkStart w:id="931" w:name="_Toc150774763"/>
      <w:bookmarkStart w:id="932" w:name="_Toc127151558"/>
      <w:r>
        <w:rPr>
          <w:color w:val="auto"/>
          <w:sz w:val="24"/>
          <w:szCs w:val="20"/>
          <w:highlight w:val="none"/>
        </w:rPr>
        <w:t>投标分项报价表</w:t>
      </w:r>
      <w:bookmarkEnd w:id="920"/>
      <w:bookmarkEnd w:id="921"/>
      <w:bookmarkEnd w:id="922"/>
      <w:bookmarkEnd w:id="923"/>
      <w:bookmarkEnd w:id="924"/>
      <w:bookmarkEnd w:id="925"/>
      <w:bookmarkEnd w:id="926"/>
      <w:bookmarkEnd w:id="927"/>
      <w:bookmarkEnd w:id="928"/>
      <w:bookmarkEnd w:id="929"/>
      <w:bookmarkEnd w:id="930"/>
      <w:bookmarkEnd w:id="931"/>
      <w:bookmarkEnd w:id="932"/>
      <w:r>
        <w:rPr>
          <w:color w:val="auto"/>
          <w:sz w:val="24"/>
          <w:szCs w:val="20"/>
          <w:highlight w:val="none"/>
        </w:rPr>
        <w:t>（实质性格式）</w:t>
      </w:r>
    </w:p>
    <w:p w14:paraId="66723A7F">
      <w:pPr>
        <w:spacing w:line="360" w:lineRule="exact"/>
        <w:jc w:val="center"/>
        <w:rPr>
          <w:color w:val="auto"/>
          <w:sz w:val="36"/>
          <w:szCs w:val="36"/>
          <w:highlight w:val="none"/>
        </w:rPr>
      </w:pPr>
    </w:p>
    <w:p w14:paraId="43D4531C">
      <w:pPr>
        <w:spacing w:line="360" w:lineRule="exact"/>
        <w:jc w:val="center"/>
        <w:rPr>
          <w:b/>
          <w:color w:val="auto"/>
          <w:sz w:val="36"/>
          <w:szCs w:val="36"/>
          <w:highlight w:val="none"/>
        </w:rPr>
      </w:pPr>
      <w:r>
        <w:rPr>
          <w:b/>
          <w:color w:val="auto"/>
          <w:sz w:val="36"/>
          <w:szCs w:val="36"/>
          <w:highlight w:val="none"/>
        </w:rPr>
        <w:t>投标分项报价表</w:t>
      </w:r>
    </w:p>
    <w:p w14:paraId="50217BCC">
      <w:pPr>
        <w:spacing w:line="260" w:lineRule="exact"/>
        <w:jc w:val="center"/>
        <w:rPr>
          <w:color w:val="auto"/>
          <w:sz w:val="36"/>
          <w:szCs w:val="36"/>
          <w:highlight w:val="none"/>
        </w:rPr>
      </w:pPr>
    </w:p>
    <w:p w14:paraId="3638EB43">
      <w:pPr>
        <w:tabs>
          <w:tab w:val="left" w:pos="1800"/>
          <w:tab w:val="left" w:pos="5580"/>
        </w:tabs>
        <w:rPr>
          <w:color w:val="auto"/>
          <w:sz w:val="24"/>
          <w:highlight w:val="none"/>
        </w:rPr>
      </w:pPr>
      <w:r>
        <w:rPr>
          <w:rFonts w:hint="eastAsia"/>
          <w:color w:val="auto"/>
          <w:sz w:val="24"/>
          <w:highlight w:val="none"/>
        </w:rPr>
        <w:t>采购编号</w:t>
      </w:r>
      <w:r>
        <w:rPr>
          <w:color w:val="auto"/>
          <w:sz w:val="24"/>
          <w:highlight w:val="none"/>
        </w:rPr>
        <w:t>/包号：___________ 项目名称：__________报价单位：人民币元</w:t>
      </w:r>
    </w:p>
    <w:tbl>
      <w:tblPr>
        <w:tblStyle w:val="4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14:paraId="6D5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3" w:type="dxa"/>
            <w:noWrap w:val="0"/>
            <w:vAlign w:val="center"/>
          </w:tcPr>
          <w:p w14:paraId="07E97F70">
            <w:pPr>
              <w:adjustRightInd w:val="0"/>
              <w:snapToGrid w:val="0"/>
              <w:jc w:val="left"/>
              <w:rPr>
                <w:b/>
                <w:color w:val="auto"/>
                <w:sz w:val="24"/>
                <w:highlight w:val="none"/>
              </w:rPr>
            </w:pPr>
            <w:r>
              <w:rPr>
                <w:b/>
                <w:color w:val="auto"/>
                <w:sz w:val="24"/>
                <w:highlight w:val="none"/>
              </w:rPr>
              <w:t>序号</w:t>
            </w:r>
          </w:p>
        </w:tc>
        <w:tc>
          <w:tcPr>
            <w:tcW w:w="2866" w:type="dxa"/>
            <w:noWrap w:val="0"/>
            <w:vAlign w:val="center"/>
          </w:tcPr>
          <w:p w14:paraId="15672D9C">
            <w:pPr>
              <w:adjustRightInd w:val="0"/>
              <w:snapToGrid w:val="0"/>
              <w:jc w:val="left"/>
              <w:rPr>
                <w:b/>
                <w:color w:val="auto"/>
                <w:sz w:val="24"/>
                <w:highlight w:val="none"/>
              </w:rPr>
            </w:pPr>
            <w:r>
              <w:rPr>
                <w:b/>
                <w:color w:val="auto"/>
                <w:sz w:val="24"/>
                <w:highlight w:val="none"/>
              </w:rPr>
              <w:t>分项名称</w:t>
            </w:r>
          </w:p>
        </w:tc>
        <w:tc>
          <w:tcPr>
            <w:tcW w:w="1314" w:type="dxa"/>
            <w:noWrap w:val="0"/>
            <w:vAlign w:val="center"/>
          </w:tcPr>
          <w:p w14:paraId="54666B4D">
            <w:pPr>
              <w:adjustRightInd w:val="0"/>
              <w:snapToGrid w:val="0"/>
              <w:jc w:val="left"/>
              <w:rPr>
                <w:b/>
                <w:color w:val="auto"/>
                <w:sz w:val="24"/>
                <w:highlight w:val="none"/>
              </w:rPr>
            </w:pPr>
            <w:r>
              <w:rPr>
                <w:b/>
                <w:color w:val="auto"/>
                <w:sz w:val="24"/>
                <w:highlight w:val="none"/>
              </w:rPr>
              <w:t>单价（元）</w:t>
            </w:r>
          </w:p>
        </w:tc>
        <w:tc>
          <w:tcPr>
            <w:tcW w:w="1177" w:type="dxa"/>
            <w:noWrap w:val="0"/>
            <w:vAlign w:val="center"/>
          </w:tcPr>
          <w:p w14:paraId="3FE59C7A">
            <w:pPr>
              <w:adjustRightInd w:val="0"/>
              <w:snapToGrid w:val="0"/>
              <w:jc w:val="center"/>
              <w:rPr>
                <w:b/>
                <w:color w:val="auto"/>
                <w:sz w:val="24"/>
                <w:highlight w:val="none"/>
              </w:rPr>
            </w:pPr>
            <w:r>
              <w:rPr>
                <w:b/>
                <w:color w:val="auto"/>
                <w:sz w:val="24"/>
                <w:highlight w:val="none"/>
              </w:rPr>
              <w:t>数量</w:t>
            </w:r>
          </w:p>
        </w:tc>
        <w:tc>
          <w:tcPr>
            <w:tcW w:w="1312" w:type="dxa"/>
            <w:noWrap w:val="0"/>
            <w:vAlign w:val="center"/>
          </w:tcPr>
          <w:p w14:paraId="42DC4D7D">
            <w:pPr>
              <w:adjustRightInd w:val="0"/>
              <w:snapToGrid w:val="0"/>
              <w:jc w:val="left"/>
              <w:rPr>
                <w:b/>
                <w:color w:val="auto"/>
                <w:sz w:val="24"/>
                <w:highlight w:val="none"/>
              </w:rPr>
            </w:pPr>
            <w:r>
              <w:rPr>
                <w:b/>
                <w:color w:val="auto"/>
                <w:sz w:val="24"/>
                <w:highlight w:val="none"/>
              </w:rPr>
              <w:t>合价（元）</w:t>
            </w:r>
          </w:p>
        </w:tc>
        <w:tc>
          <w:tcPr>
            <w:tcW w:w="1666" w:type="dxa"/>
            <w:noWrap w:val="0"/>
            <w:vAlign w:val="center"/>
          </w:tcPr>
          <w:p w14:paraId="4325E7E5">
            <w:pPr>
              <w:adjustRightInd w:val="0"/>
              <w:snapToGrid w:val="0"/>
              <w:jc w:val="left"/>
              <w:rPr>
                <w:b/>
                <w:color w:val="auto"/>
                <w:sz w:val="24"/>
                <w:highlight w:val="none"/>
              </w:rPr>
            </w:pPr>
            <w:r>
              <w:rPr>
                <w:b/>
                <w:color w:val="auto"/>
                <w:sz w:val="24"/>
                <w:highlight w:val="none"/>
              </w:rPr>
              <w:t>备注/说明</w:t>
            </w:r>
          </w:p>
        </w:tc>
      </w:tr>
      <w:tr w14:paraId="0A37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3" w:type="dxa"/>
            <w:noWrap w:val="0"/>
            <w:vAlign w:val="center"/>
          </w:tcPr>
          <w:p w14:paraId="043B36F7">
            <w:pPr>
              <w:adjustRightInd w:val="0"/>
              <w:snapToGrid w:val="0"/>
              <w:jc w:val="center"/>
              <w:rPr>
                <w:color w:val="auto"/>
                <w:sz w:val="24"/>
                <w:highlight w:val="none"/>
              </w:rPr>
            </w:pPr>
            <w:r>
              <w:rPr>
                <w:color w:val="auto"/>
                <w:sz w:val="24"/>
                <w:highlight w:val="none"/>
              </w:rPr>
              <w:t>1</w:t>
            </w:r>
          </w:p>
        </w:tc>
        <w:tc>
          <w:tcPr>
            <w:tcW w:w="2866" w:type="dxa"/>
            <w:noWrap w:val="0"/>
            <w:vAlign w:val="center"/>
          </w:tcPr>
          <w:p w14:paraId="75098783">
            <w:pPr>
              <w:adjustRightInd w:val="0"/>
              <w:snapToGrid w:val="0"/>
              <w:jc w:val="left"/>
              <w:rPr>
                <w:color w:val="auto"/>
                <w:sz w:val="24"/>
                <w:highlight w:val="none"/>
              </w:rPr>
            </w:pPr>
          </w:p>
        </w:tc>
        <w:tc>
          <w:tcPr>
            <w:tcW w:w="1314" w:type="dxa"/>
            <w:noWrap w:val="0"/>
            <w:vAlign w:val="center"/>
          </w:tcPr>
          <w:p w14:paraId="7A31C44D">
            <w:pPr>
              <w:adjustRightInd w:val="0"/>
              <w:snapToGrid w:val="0"/>
              <w:jc w:val="left"/>
              <w:rPr>
                <w:color w:val="auto"/>
                <w:sz w:val="24"/>
                <w:highlight w:val="none"/>
              </w:rPr>
            </w:pPr>
          </w:p>
        </w:tc>
        <w:tc>
          <w:tcPr>
            <w:tcW w:w="1177" w:type="dxa"/>
            <w:noWrap w:val="0"/>
            <w:vAlign w:val="center"/>
          </w:tcPr>
          <w:p w14:paraId="2E30D7C0">
            <w:pPr>
              <w:adjustRightInd w:val="0"/>
              <w:snapToGrid w:val="0"/>
              <w:jc w:val="center"/>
              <w:rPr>
                <w:color w:val="auto"/>
                <w:sz w:val="24"/>
                <w:highlight w:val="none"/>
              </w:rPr>
            </w:pPr>
          </w:p>
        </w:tc>
        <w:tc>
          <w:tcPr>
            <w:tcW w:w="1312" w:type="dxa"/>
            <w:noWrap w:val="0"/>
            <w:vAlign w:val="center"/>
          </w:tcPr>
          <w:p w14:paraId="3C8D0F59">
            <w:pPr>
              <w:adjustRightInd w:val="0"/>
              <w:snapToGrid w:val="0"/>
              <w:jc w:val="left"/>
              <w:rPr>
                <w:color w:val="auto"/>
                <w:sz w:val="24"/>
                <w:highlight w:val="none"/>
              </w:rPr>
            </w:pPr>
          </w:p>
        </w:tc>
        <w:tc>
          <w:tcPr>
            <w:tcW w:w="1666" w:type="dxa"/>
            <w:noWrap w:val="0"/>
            <w:vAlign w:val="center"/>
          </w:tcPr>
          <w:p w14:paraId="455E62E0">
            <w:pPr>
              <w:adjustRightInd w:val="0"/>
              <w:snapToGrid w:val="0"/>
              <w:jc w:val="left"/>
              <w:rPr>
                <w:color w:val="auto"/>
                <w:sz w:val="24"/>
                <w:highlight w:val="none"/>
              </w:rPr>
            </w:pPr>
          </w:p>
        </w:tc>
      </w:tr>
      <w:tr w14:paraId="412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93" w:type="dxa"/>
            <w:noWrap w:val="0"/>
            <w:vAlign w:val="center"/>
          </w:tcPr>
          <w:p w14:paraId="5FC345A3">
            <w:pPr>
              <w:adjustRightInd w:val="0"/>
              <w:snapToGrid w:val="0"/>
              <w:jc w:val="center"/>
              <w:rPr>
                <w:color w:val="auto"/>
                <w:sz w:val="24"/>
                <w:highlight w:val="none"/>
              </w:rPr>
            </w:pPr>
            <w:r>
              <w:rPr>
                <w:color w:val="auto"/>
                <w:sz w:val="24"/>
                <w:highlight w:val="none"/>
              </w:rPr>
              <w:t>2</w:t>
            </w:r>
          </w:p>
        </w:tc>
        <w:tc>
          <w:tcPr>
            <w:tcW w:w="2866" w:type="dxa"/>
            <w:noWrap w:val="0"/>
            <w:vAlign w:val="center"/>
          </w:tcPr>
          <w:p w14:paraId="7FF33129">
            <w:pPr>
              <w:adjustRightInd w:val="0"/>
              <w:snapToGrid w:val="0"/>
              <w:jc w:val="left"/>
              <w:rPr>
                <w:color w:val="auto"/>
                <w:sz w:val="24"/>
                <w:highlight w:val="none"/>
              </w:rPr>
            </w:pPr>
          </w:p>
        </w:tc>
        <w:tc>
          <w:tcPr>
            <w:tcW w:w="1314" w:type="dxa"/>
            <w:noWrap w:val="0"/>
            <w:vAlign w:val="center"/>
          </w:tcPr>
          <w:p w14:paraId="2528624B">
            <w:pPr>
              <w:adjustRightInd w:val="0"/>
              <w:snapToGrid w:val="0"/>
              <w:jc w:val="left"/>
              <w:rPr>
                <w:color w:val="auto"/>
                <w:sz w:val="24"/>
                <w:highlight w:val="none"/>
              </w:rPr>
            </w:pPr>
          </w:p>
        </w:tc>
        <w:tc>
          <w:tcPr>
            <w:tcW w:w="1177" w:type="dxa"/>
            <w:noWrap w:val="0"/>
            <w:vAlign w:val="center"/>
          </w:tcPr>
          <w:p w14:paraId="3696CBA6">
            <w:pPr>
              <w:adjustRightInd w:val="0"/>
              <w:snapToGrid w:val="0"/>
              <w:jc w:val="center"/>
              <w:rPr>
                <w:color w:val="auto"/>
                <w:sz w:val="24"/>
                <w:highlight w:val="none"/>
              </w:rPr>
            </w:pPr>
          </w:p>
        </w:tc>
        <w:tc>
          <w:tcPr>
            <w:tcW w:w="1312" w:type="dxa"/>
            <w:noWrap w:val="0"/>
            <w:vAlign w:val="center"/>
          </w:tcPr>
          <w:p w14:paraId="1B9382EB">
            <w:pPr>
              <w:adjustRightInd w:val="0"/>
              <w:snapToGrid w:val="0"/>
              <w:jc w:val="left"/>
              <w:rPr>
                <w:color w:val="auto"/>
                <w:sz w:val="24"/>
                <w:highlight w:val="none"/>
              </w:rPr>
            </w:pPr>
          </w:p>
        </w:tc>
        <w:tc>
          <w:tcPr>
            <w:tcW w:w="1666" w:type="dxa"/>
            <w:noWrap w:val="0"/>
            <w:vAlign w:val="center"/>
          </w:tcPr>
          <w:p w14:paraId="3F699EC8">
            <w:pPr>
              <w:adjustRightInd w:val="0"/>
              <w:snapToGrid w:val="0"/>
              <w:jc w:val="left"/>
              <w:rPr>
                <w:color w:val="auto"/>
                <w:sz w:val="24"/>
                <w:highlight w:val="none"/>
              </w:rPr>
            </w:pPr>
          </w:p>
        </w:tc>
      </w:tr>
      <w:tr w14:paraId="3835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3" w:type="dxa"/>
            <w:noWrap w:val="0"/>
            <w:vAlign w:val="center"/>
          </w:tcPr>
          <w:p w14:paraId="4C613F7A">
            <w:pPr>
              <w:adjustRightInd w:val="0"/>
              <w:snapToGrid w:val="0"/>
              <w:jc w:val="center"/>
              <w:rPr>
                <w:color w:val="auto"/>
                <w:sz w:val="24"/>
                <w:highlight w:val="none"/>
              </w:rPr>
            </w:pPr>
            <w:r>
              <w:rPr>
                <w:color w:val="auto"/>
                <w:sz w:val="24"/>
                <w:highlight w:val="none"/>
              </w:rPr>
              <w:t>3</w:t>
            </w:r>
          </w:p>
        </w:tc>
        <w:tc>
          <w:tcPr>
            <w:tcW w:w="2866" w:type="dxa"/>
            <w:noWrap w:val="0"/>
            <w:vAlign w:val="center"/>
          </w:tcPr>
          <w:p w14:paraId="1F3D20C6">
            <w:pPr>
              <w:adjustRightInd w:val="0"/>
              <w:snapToGrid w:val="0"/>
              <w:jc w:val="left"/>
              <w:rPr>
                <w:color w:val="auto"/>
                <w:sz w:val="24"/>
                <w:highlight w:val="none"/>
              </w:rPr>
            </w:pPr>
            <w:r>
              <w:rPr>
                <w:color w:val="auto"/>
                <w:sz w:val="24"/>
                <w:highlight w:val="none"/>
              </w:rPr>
              <w:t>…</w:t>
            </w:r>
          </w:p>
        </w:tc>
        <w:tc>
          <w:tcPr>
            <w:tcW w:w="1314" w:type="dxa"/>
            <w:noWrap w:val="0"/>
            <w:vAlign w:val="center"/>
          </w:tcPr>
          <w:p w14:paraId="4235CA94">
            <w:pPr>
              <w:adjustRightInd w:val="0"/>
              <w:snapToGrid w:val="0"/>
              <w:jc w:val="left"/>
              <w:rPr>
                <w:color w:val="auto"/>
                <w:sz w:val="24"/>
                <w:highlight w:val="none"/>
              </w:rPr>
            </w:pPr>
          </w:p>
        </w:tc>
        <w:tc>
          <w:tcPr>
            <w:tcW w:w="1177" w:type="dxa"/>
            <w:noWrap w:val="0"/>
            <w:vAlign w:val="center"/>
          </w:tcPr>
          <w:p w14:paraId="089FFF42">
            <w:pPr>
              <w:adjustRightInd w:val="0"/>
              <w:snapToGrid w:val="0"/>
              <w:jc w:val="center"/>
              <w:rPr>
                <w:color w:val="auto"/>
                <w:sz w:val="24"/>
                <w:highlight w:val="none"/>
              </w:rPr>
            </w:pPr>
          </w:p>
        </w:tc>
        <w:tc>
          <w:tcPr>
            <w:tcW w:w="1312" w:type="dxa"/>
            <w:noWrap w:val="0"/>
            <w:vAlign w:val="center"/>
          </w:tcPr>
          <w:p w14:paraId="408C7ABF">
            <w:pPr>
              <w:adjustRightInd w:val="0"/>
              <w:snapToGrid w:val="0"/>
              <w:jc w:val="left"/>
              <w:rPr>
                <w:color w:val="auto"/>
                <w:sz w:val="24"/>
                <w:highlight w:val="none"/>
              </w:rPr>
            </w:pPr>
          </w:p>
        </w:tc>
        <w:tc>
          <w:tcPr>
            <w:tcW w:w="1666" w:type="dxa"/>
            <w:noWrap w:val="0"/>
            <w:vAlign w:val="center"/>
          </w:tcPr>
          <w:p w14:paraId="3FF0A5E1">
            <w:pPr>
              <w:adjustRightInd w:val="0"/>
              <w:snapToGrid w:val="0"/>
              <w:jc w:val="left"/>
              <w:rPr>
                <w:color w:val="auto"/>
                <w:sz w:val="24"/>
                <w:highlight w:val="none"/>
              </w:rPr>
            </w:pPr>
          </w:p>
        </w:tc>
      </w:tr>
      <w:tr w14:paraId="1996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50" w:type="dxa"/>
            <w:gridSpan w:val="4"/>
            <w:noWrap w:val="0"/>
            <w:vAlign w:val="center"/>
          </w:tcPr>
          <w:p w14:paraId="570F4754">
            <w:pPr>
              <w:adjustRightInd w:val="0"/>
              <w:snapToGrid w:val="0"/>
              <w:jc w:val="right"/>
              <w:rPr>
                <w:color w:val="auto"/>
                <w:sz w:val="24"/>
                <w:highlight w:val="none"/>
              </w:rPr>
            </w:pPr>
            <w:r>
              <w:rPr>
                <w:b/>
                <w:color w:val="auto"/>
                <w:sz w:val="24"/>
                <w:highlight w:val="none"/>
              </w:rPr>
              <w:t>总价（元）</w:t>
            </w:r>
          </w:p>
        </w:tc>
        <w:tc>
          <w:tcPr>
            <w:tcW w:w="1312" w:type="dxa"/>
            <w:noWrap w:val="0"/>
            <w:vAlign w:val="center"/>
          </w:tcPr>
          <w:p w14:paraId="3E53A499">
            <w:pPr>
              <w:adjustRightInd w:val="0"/>
              <w:snapToGrid w:val="0"/>
              <w:jc w:val="left"/>
              <w:rPr>
                <w:color w:val="auto"/>
                <w:sz w:val="24"/>
                <w:highlight w:val="none"/>
              </w:rPr>
            </w:pPr>
          </w:p>
        </w:tc>
        <w:tc>
          <w:tcPr>
            <w:tcW w:w="1666" w:type="dxa"/>
            <w:noWrap w:val="0"/>
            <w:vAlign w:val="center"/>
          </w:tcPr>
          <w:p w14:paraId="347D8E1F">
            <w:pPr>
              <w:adjustRightInd w:val="0"/>
              <w:snapToGrid w:val="0"/>
              <w:jc w:val="left"/>
              <w:rPr>
                <w:color w:val="auto"/>
                <w:sz w:val="24"/>
                <w:highlight w:val="none"/>
              </w:rPr>
            </w:pPr>
          </w:p>
        </w:tc>
      </w:tr>
    </w:tbl>
    <w:p w14:paraId="64CCB5BE">
      <w:pPr>
        <w:tabs>
          <w:tab w:val="left" w:pos="1800"/>
          <w:tab w:val="left" w:pos="5580"/>
        </w:tabs>
        <w:jc w:val="left"/>
        <w:rPr>
          <w:color w:val="auto"/>
          <w:sz w:val="24"/>
          <w:highlight w:val="none"/>
        </w:rPr>
      </w:pPr>
    </w:p>
    <w:p w14:paraId="42104C5B">
      <w:pPr>
        <w:tabs>
          <w:tab w:val="left" w:pos="1800"/>
          <w:tab w:val="left" w:pos="5580"/>
        </w:tabs>
        <w:jc w:val="left"/>
        <w:rPr>
          <w:color w:val="auto"/>
          <w:sz w:val="24"/>
          <w:highlight w:val="none"/>
        </w:rPr>
      </w:pPr>
    </w:p>
    <w:p w14:paraId="63F59C0C">
      <w:pPr>
        <w:tabs>
          <w:tab w:val="left" w:pos="1800"/>
          <w:tab w:val="left" w:pos="5580"/>
        </w:tabs>
        <w:jc w:val="left"/>
        <w:rPr>
          <w:color w:val="auto"/>
          <w:sz w:val="24"/>
          <w:highlight w:val="none"/>
        </w:rPr>
      </w:pPr>
    </w:p>
    <w:p w14:paraId="1593C263">
      <w:pPr>
        <w:tabs>
          <w:tab w:val="left" w:pos="1800"/>
          <w:tab w:val="left" w:pos="5580"/>
        </w:tabs>
        <w:jc w:val="left"/>
        <w:rPr>
          <w:color w:val="auto"/>
          <w:sz w:val="24"/>
          <w:highlight w:val="none"/>
        </w:rPr>
      </w:pPr>
    </w:p>
    <w:p w14:paraId="4E4D0381">
      <w:pPr>
        <w:tabs>
          <w:tab w:val="left" w:pos="1800"/>
          <w:tab w:val="left" w:pos="5580"/>
        </w:tabs>
        <w:jc w:val="left"/>
        <w:rPr>
          <w:color w:val="auto"/>
          <w:sz w:val="24"/>
          <w:highlight w:val="none"/>
        </w:rPr>
      </w:pPr>
      <w:r>
        <w:rPr>
          <w:color w:val="auto"/>
          <w:sz w:val="24"/>
          <w:highlight w:val="none"/>
        </w:rPr>
        <w:t>注：1.本表应按包分别填写。</w:t>
      </w:r>
    </w:p>
    <w:p w14:paraId="5CC9BEDE">
      <w:pPr>
        <w:tabs>
          <w:tab w:val="left" w:pos="1800"/>
          <w:tab w:val="left" w:pos="5580"/>
        </w:tabs>
        <w:ind w:firstLine="480" w:firstLineChars="200"/>
        <w:jc w:val="left"/>
        <w:rPr>
          <w:color w:val="auto"/>
          <w:sz w:val="24"/>
          <w:highlight w:val="none"/>
        </w:rPr>
      </w:pPr>
      <w:r>
        <w:rPr>
          <w:color w:val="auto"/>
          <w:sz w:val="24"/>
          <w:highlight w:val="none"/>
        </w:rPr>
        <w:t>2.如果不提供分项报价将视为没有实质性响应招标文件。</w:t>
      </w:r>
    </w:p>
    <w:p w14:paraId="0D475555">
      <w:pPr>
        <w:tabs>
          <w:tab w:val="left" w:pos="1800"/>
          <w:tab w:val="left" w:pos="5580"/>
        </w:tabs>
        <w:ind w:firstLine="480" w:firstLineChars="200"/>
        <w:jc w:val="left"/>
        <w:rPr>
          <w:color w:val="auto"/>
          <w:sz w:val="24"/>
          <w:highlight w:val="none"/>
        </w:rPr>
      </w:pPr>
      <w:r>
        <w:rPr>
          <w:color w:val="auto"/>
          <w:sz w:val="24"/>
          <w:highlight w:val="none"/>
        </w:rPr>
        <w:t>3.上述各项的详细规格（如有），可另页描述。</w:t>
      </w:r>
    </w:p>
    <w:p w14:paraId="64E5D017">
      <w:pPr>
        <w:tabs>
          <w:tab w:val="left" w:pos="1800"/>
          <w:tab w:val="left" w:pos="5580"/>
        </w:tabs>
        <w:ind w:firstLine="480" w:firstLineChars="200"/>
        <w:jc w:val="left"/>
        <w:rPr>
          <w:rFonts w:hint="eastAsia"/>
          <w:color w:val="auto"/>
          <w:sz w:val="24"/>
          <w:highlight w:val="none"/>
        </w:rPr>
      </w:pPr>
      <w:r>
        <w:rPr>
          <w:rFonts w:hint="eastAsia"/>
          <w:color w:val="auto"/>
          <w:sz w:val="24"/>
          <w:highlight w:val="none"/>
        </w:rPr>
        <w:t>4.</w:t>
      </w:r>
      <w:r>
        <w:rPr>
          <w:rFonts w:hint="eastAsia" w:ascii="宋体" w:hAnsi="宋体" w:cs="宋体"/>
          <w:color w:val="auto"/>
          <w:sz w:val="24"/>
          <w:highlight w:val="none"/>
        </w:rPr>
        <w:t>★</w:t>
      </w:r>
      <w:r>
        <w:rPr>
          <w:rFonts w:hint="eastAsia"/>
          <w:color w:val="auto"/>
          <w:sz w:val="24"/>
          <w:highlight w:val="none"/>
        </w:rPr>
        <w:t>表中应列出</w:t>
      </w:r>
      <w:r>
        <w:rPr>
          <w:color w:val="auto"/>
          <w:sz w:val="24"/>
          <w:highlight w:val="none"/>
        </w:rPr>
        <w:t>每</w:t>
      </w:r>
      <w:r>
        <w:rPr>
          <w:rFonts w:hint="eastAsia"/>
          <w:color w:val="auto"/>
          <w:sz w:val="24"/>
          <w:highlight w:val="none"/>
        </w:rPr>
        <w:t>岗</w:t>
      </w:r>
      <w:r>
        <w:rPr>
          <w:color w:val="auto"/>
          <w:sz w:val="24"/>
          <w:highlight w:val="none"/>
        </w:rPr>
        <w:t>每月的服务费</w:t>
      </w:r>
      <w:r>
        <w:rPr>
          <w:rFonts w:hint="eastAsia"/>
          <w:color w:val="auto"/>
          <w:sz w:val="24"/>
          <w:highlight w:val="none"/>
        </w:rPr>
        <w:t>单价</w:t>
      </w:r>
      <w:r>
        <w:rPr>
          <w:color w:val="auto"/>
          <w:sz w:val="24"/>
          <w:highlight w:val="none"/>
        </w:rPr>
        <w:t>。</w:t>
      </w:r>
    </w:p>
    <w:p w14:paraId="5A65CF2D">
      <w:pPr>
        <w:tabs>
          <w:tab w:val="left" w:pos="1800"/>
          <w:tab w:val="left" w:pos="5580"/>
        </w:tabs>
        <w:ind w:firstLine="480" w:firstLineChars="200"/>
        <w:jc w:val="left"/>
        <w:rPr>
          <w:color w:val="auto"/>
          <w:sz w:val="24"/>
          <w:highlight w:val="none"/>
        </w:rPr>
      </w:pPr>
    </w:p>
    <w:p w14:paraId="6F4C6B41">
      <w:pPr>
        <w:autoSpaceDE w:val="0"/>
        <w:autoSpaceDN w:val="0"/>
        <w:adjustRightInd w:val="0"/>
        <w:snapToGrid w:val="0"/>
        <w:spacing w:before="25" w:after="25" w:line="360" w:lineRule="auto"/>
        <w:rPr>
          <w:color w:val="auto"/>
          <w:sz w:val="24"/>
          <w:highlight w:val="none"/>
          <w:lang w:val="zh-CN"/>
        </w:rPr>
      </w:pPr>
    </w:p>
    <w:p w14:paraId="52F9DDF4">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：____________</w:t>
      </w:r>
    </w:p>
    <w:p w14:paraId="0943148B">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5E1CB095">
      <w:pPr>
        <w:numPr>
          <w:ilvl w:val="0"/>
          <w:numId w:val="33"/>
        </w:numPr>
        <w:tabs>
          <w:tab w:val="left" w:pos="360"/>
        </w:tabs>
        <w:snapToGrid w:val="0"/>
        <w:spacing w:line="360" w:lineRule="auto"/>
        <w:outlineLvl w:val="1"/>
        <w:rPr>
          <w:color w:val="auto"/>
          <w:sz w:val="24"/>
          <w:szCs w:val="20"/>
          <w:highlight w:val="none"/>
        </w:rPr>
      </w:pPr>
      <w:bookmarkStart w:id="933" w:name="_Toc127151562"/>
      <w:bookmarkStart w:id="934" w:name="_Toc265228400"/>
      <w:bookmarkStart w:id="935" w:name="_Toc264969252"/>
      <w:bookmarkStart w:id="936" w:name="_Toc226965835"/>
      <w:bookmarkStart w:id="937" w:name="_Toc150774765"/>
      <w:bookmarkStart w:id="938" w:name="_Toc226965752"/>
      <w:bookmarkStart w:id="939" w:name="_Toc305158830"/>
      <w:bookmarkStart w:id="940" w:name="_Toc226309806"/>
      <w:bookmarkStart w:id="941" w:name="_Toc150480798"/>
      <w:bookmarkStart w:id="942" w:name="_Toc305158904"/>
      <w:bookmarkStart w:id="943" w:name="_Toc226337258"/>
      <w:bookmarkStart w:id="944" w:name="_Toc142311062"/>
      <w:bookmarkStart w:id="945" w:name="_Toc195842927"/>
      <w:bookmarkStart w:id="946" w:name="_Toc265228399"/>
      <w:bookmarkStart w:id="947" w:name="_Toc226309805"/>
      <w:bookmarkStart w:id="948" w:name="_Toc142311061"/>
      <w:bookmarkStart w:id="949" w:name="_Toc127151561"/>
      <w:bookmarkStart w:id="950" w:name="_Toc226965834"/>
      <w:bookmarkStart w:id="951" w:name="_Toc226337257"/>
      <w:bookmarkStart w:id="952" w:name="_Toc305158903"/>
      <w:bookmarkStart w:id="953" w:name="_Toc195842926"/>
      <w:bookmarkStart w:id="954" w:name="_Toc226965751"/>
      <w:bookmarkStart w:id="955" w:name="_Toc150480797"/>
      <w:bookmarkStart w:id="956" w:name="_Toc264969251"/>
      <w:bookmarkStart w:id="957" w:name="_Toc305158829"/>
      <w:bookmarkStart w:id="958" w:name="_Toc150774764"/>
      <w:r>
        <w:rPr>
          <w:color w:val="auto"/>
          <w:sz w:val="24"/>
          <w:szCs w:val="20"/>
          <w:highlight w:val="none"/>
        </w:rPr>
        <w:br w:type="page"/>
      </w:r>
      <w:r>
        <w:rPr>
          <w:color w:val="auto"/>
          <w:sz w:val="24"/>
          <w:szCs w:val="20"/>
          <w:highlight w:val="none"/>
        </w:rPr>
        <w:t>合同条款偏离表</w:t>
      </w:r>
      <w:bookmarkEnd w:id="933"/>
      <w:bookmarkEnd w:id="934"/>
      <w:bookmarkEnd w:id="935"/>
      <w:bookmarkEnd w:id="936"/>
      <w:bookmarkEnd w:id="937"/>
      <w:bookmarkEnd w:id="938"/>
      <w:bookmarkEnd w:id="939"/>
      <w:bookmarkEnd w:id="940"/>
      <w:bookmarkEnd w:id="941"/>
      <w:bookmarkEnd w:id="942"/>
      <w:bookmarkEnd w:id="943"/>
      <w:bookmarkEnd w:id="944"/>
      <w:bookmarkEnd w:id="945"/>
      <w:r>
        <w:rPr>
          <w:color w:val="auto"/>
          <w:sz w:val="24"/>
          <w:szCs w:val="20"/>
          <w:highlight w:val="none"/>
        </w:rPr>
        <w:t>（实质性格式）</w:t>
      </w:r>
    </w:p>
    <w:p w14:paraId="7FC63357">
      <w:pPr>
        <w:spacing w:line="360" w:lineRule="auto"/>
        <w:rPr>
          <w:color w:val="auto"/>
          <w:sz w:val="24"/>
          <w:szCs w:val="20"/>
          <w:highlight w:val="none"/>
        </w:rPr>
      </w:pPr>
    </w:p>
    <w:p w14:paraId="12765373">
      <w:pPr>
        <w:tabs>
          <w:tab w:val="left" w:pos="2775"/>
          <w:tab w:val="center" w:pos="4153"/>
        </w:tabs>
        <w:autoSpaceDE w:val="0"/>
        <w:autoSpaceDN w:val="0"/>
        <w:adjustRightInd w:val="0"/>
        <w:spacing w:line="360" w:lineRule="auto"/>
        <w:jc w:val="center"/>
        <w:rPr>
          <w:b/>
          <w:color w:val="auto"/>
          <w:sz w:val="36"/>
          <w:szCs w:val="36"/>
          <w:highlight w:val="none"/>
        </w:rPr>
      </w:pPr>
      <w:r>
        <w:rPr>
          <w:b/>
          <w:color w:val="auto"/>
          <w:sz w:val="36"/>
          <w:szCs w:val="36"/>
          <w:highlight w:val="none"/>
        </w:rPr>
        <w:t>合同条款偏离表</w:t>
      </w:r>
    </w:p>
    <w:p w14:paraId="1334E3B9">
      <w:pPr>
        <w:spacing w:line="360" w:lineRule="auto"/>
        <w:rPr>
          <w:color w:val="auto"/>
          <w:sz w:val="24"/>
          <w:szCs w:val="20"/>
          <w:highlight w:val="none"/>
        </w:rPr>
      </w:pPr>
    </w:p>
    <w:p w14:paraId="4720AE9A">
      <w:pPr>
        <w:tabs>
          <w:tab w:val="left" w:pos="1800"/>
          <w:tab w:val="left" w:pos="5580"/>
        </w:tabs>
        <w:spacing w:line="360" w:lineRule="auto"/>
        <w:ind w:firstLine="360" w:firstLineChars="150"/>
        <w:jc w:val="left"/>
        <w:rPr>
          <w:color w:val="auto"/>
          <w:sz w:val="24"/>
          <w:highlight w:val="none"/>
        </w:rPr>
      </w:pPr>
      <w:r>
        <w:rPr>
          <w:rFonts w:hint="eastAsia"/>
          <w:color w:val="auto"/>
          <w:sz w:val="24"/>
          <w:highlight w:val="none"/>
        </w:rPr>
        <w:t>采购编号</w:t>
      </w:r>
      <w:r>
        <w:rPr>
          <w:color w:val="auto"/>
          <w:sz w:val="24"/>
          <w:highlight w:val="none"/>
        </w:rPr>
        <w:t>/包号：_____________________     项目名称：_____________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3"/>
        <w:gridCol w:w="1633"/>
        <w:gridCol w:w="1633"/>
        <w:gridCol w:w="1826"/>
        <w:gridCol w:w="1108"/>
      </w:tblGrid>
      <w:tr w14:paraId="2FC7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14:paraId="3181A465">
            <w:pPr>
              <w:adjustRightInd w:val="0"/>
              <w:snapToGrid w:val="0"/>
              <w:jc w:val="center"/>
              <w:rPr>
                <w:color w:val="auto"/>
                <w:sz w:val="24"/>
                <w:highlight w:val="none"/>
              </w:rPr>
            </w:pPr>
            <w:bookmarkStart w:id="959" w:name="_Hlk144279231"/>
            <w:r>
              <w:rPr>
                <w:color w:val="auto"/>
                <w:sz w:val="24"/>
                <w:highlight w:val="none"/>
              </w:rPr>
              <w:t>序号</w:t>
            </w:r>
          </w:p>
        </w:tc>
        <w:tc>
          <w:tcPr>
            <w:tcW w:w="1733" w:type="dxa"/>
            <w:noWrap w:val="0"/>
            <w:vAlign w:val="center"/>
          </w:tcPr>
          <w:p w14:paraId="3B4A5FD8">
            <w:pPr>
              <w:adjustRightInd w:val="0"/>
              <w:snapToGrid w:val="0"/>
              <w:jc w:val="center"/>
              <w:rPr>
                <w:color w:val="auto"/>
                <w:sz w:val="24"/>
                <w:highlight w:val="none"/>
              </w:rPr>
            </w:pPr>
            <w:r>
              <w:rPr>
                <w:color w:val="auto"/>
                <w:sz w:val="24"/>
                <w:szCs w:val="21"/>
                <w:highlight w:val="none"/>
              </w:rPr>
              <w:t>招标文件</w:t>
            </w:r>
            <w:r>
              <w:rPr>
                <w:color w:val="auto"/>
                <w:sz w:val="24"/>
                <w:highlight w:val="none"/>
              </w:rPr>
              <w:t>条目号（页码）</w:t>
            </w:r>
          </w:p>
        </w:tc>
        <w:tc>
          <w:tcPr>
            <w:tcW w:w="1633" w:type="dxa"/>
            <w:noWrap w:val="0"/>
            <w:vAlign w:val="center"/>
          </w:tcPr>
          <w:p w14:paraId="1B7978D2">
            <w:pPr>
              <w:adjustRightInd w:val="0"/>
              <w:snapToGrid w:val="0"/>
              <w:jc w:val="center"/>
              <w:rPr>
                <w:color w:val="auto"/>
                <w:sz w:val="24"/>
                <w:highlight w:val="none"/>
              </w:rPr>
            </w:pPr>
            <w:r>
              <w:rPr>
                <w:color w:val="auto"/>
                <w:sz w:val="24"/>
                <w:szCs w:val="21"/>
                <w:highlight w:val="none"/>
              </w:rPr>
              <w:t>招标文件</w:t>
            </w:r>
            <w:r>
              <w:rPr>
                <w:color w:val="auto"/>
                <w:sz w:val="24"/>
                <w:highlight w:val="none"/>
              </w:rPr>
              <w:t>要求</w:t>
            </w:r>
          </w:p>
        </w:tc>
        <w:tc>
          <w:tcPr>
            <w:tcW w:w="1633" w:type="dxa"/>
            <w:noWrap w:val="0"/>
            <w:vAlign w:val="center"/>
          </w:tcPr>
          <w:p w14:paraId="0167258B">
            <w:pPr>
              <w:adjustRightInd w:val="0"/>
              <w:snapToGrid w:val="0"/>
              <w:jc w:val="center"/>
              <w:rPr>
                <w:color w:val="auto"/>
                <w:sz w:val="24"/>
                <w:highlight w:val="none"/>
              </w:rPr>
            </w:pPr>
            <w:r>
              <w:rPr>
                <w:color w:val="auto"/>
                <w:sz w:val="24"/>
                <w:highlight w:val="none"/>
              </w:rPr>
              <w:t>投标文件内容</w:t>
            </w:r>
          </w:p>
        </w:tc>
        <w:tc>
          <w:tcPr>
            <w:tcW w:w="1826" w:type="dxa"/>
            <w:noWrap w:val="0"/>
            <w:vAlign w:val="center"/>
          </w:tcPr>
          <w:p w14:paraId="2D71141D">
            <w:pPr>
              <w:adjustRightInd w:val="0"/>
              <w:snapToGrid w:val="0"/>
              <w:jc w:val="center"/>
              <w:rPr>
                <w:color w:val="auto"/>
                <w:sz w:val="24"/>
                <w:highlight w:val="none"/>
              </w:rPr>
            </w:pPr>
            <w:r>
              <w:rPr>
                <w:color w:val="auto"/>
                <w:sz w:val="24"/>
                <w:highlight w:val="none"/>
              </w:rPr>
              <w:t>偏离情况</w:t>
            </w:r>
          </w:p>
        </w:tc>
        <w:tc>
          <w:tcPr>
            <w:tcW w:w="1108" w:type="dxa"/>
            <w:noWrap w:val="0"/>
            <w:vAlign w:val="center"/>
          </w:tcPr>
          <w:p w14:paraId="1D97E39C">
            <w:pPr>
              <w:adjustRightInd w:val="0"/>
              <w:snapToGrid w:val="0"/>
              <w:jc w:val="center"/>
              <w:rPr>
                <w:color w:val="auto"/>
                <w:sz w:val="24"/>
                <w:highlight w:val="none"/>
              </w:rPr>
            </w:pPr>
            <w:r>
              <w:rPr>
                <w:color w:val="auto"/>
                <w:sz w:val="24"/>
                <w:highlight w:val="none"/>
              </w:rPr>
              <w:t>说明</w:t>
            </w:r>
          </w:p>
        </w:tc>
      </w:tr>
      <w:tr w14:paraId="14A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noWrap w:val="0"/>
            <w:vAlign w:val="center"/>
          </w:tcPr>
          <w:p w14:paraId="389F70E1">
            <w:pPr>
              <w:adjustRightInd w:val="0"/>
              <w:snapToGrid w:val="0"/>
              <w:jc w:val="left"/>
              <w:rPr>
                <w:bCs/>
                <w:color w:val="auto"/>
                <w:sz w:val="24"/>
                <w:highlight w:val="none"/>
              </w:rPr>
            </w:pPr>
            <w:r>
              <w:rPr>
                <w:b/>
                <w:color w:val="auto"/>
                <w:sz w:val="24"/>
                <w:highlight w:val="none"/>
              </w:rPr>
              <w:t>对本项目合同条款的偏离情况</w:t>
            </w:r>
            <w:r>
              <w:rPr>
                <w:bCs/>
                <w:color w:val="auto"/>
                <w:sz w:val="24"/>
                <w:highlight w:val="none"/>
              </w:rPr>
              <w:t>（</w:t>
            </w:r>
            <w:r>
              <w:rPr>
                <w:rFonts w:hint="eastAsia"/>
                <w:bCs/>
                <w:color w:val="auto"/>
                <w:sz w:val="24"/>
                <w:highlight w:val="none"/>
              </w:rPr>
              <w:t>应</w:t>
            </w:r>
            <w:r>
              <w:rPr>
                <w:bCs/>
                <w:color w:val="auto"/>
                <w:sz w:val="24"/>
                <w:highlight w:val="none"/>
              </w:rPr>
              <w:t>进行选择</w:t>
            </w:r>
            <w:r>
              <w:rPr>
                <w:rFonts w:hint="eastAsia"/>
                <w:bCs/>
                <w:color w:val="auto"/>
                <w:sz w:val="24"/>
                <w:highlight w:val="none"/>
              </w:rPr>
              <w:t>，未选择</w:t>
            </w:r>
            <w:r>
              <w:rPr>
                <w:rFonts w:hint="eastAsia"/>
                <w:b/>
                <w:color w:val="auto"/>
                <w:sz w:val="24"/>
                <w:highlight w:val="none"/>
              </w:rPr>
              <w:t>投标无效</w:t>
            </w:r>
            <w:r>
              <w:rPr>
                <w:bCs/>
                <w:color w:val="auto"/>
                <w:sz w:val="24"/>
                <w:highlight w:val="none"/>
              </w:rPr>
              <w:t>）：</w:t>
            </w:r>
          </w:p>
          <w:p w14:paraId="670D49D1">
            <w:pPr>
              <w:adjustRightInd w:val="0"/>
              <w:snapToGrid w:val="0"/>
              <w:jc w:val="left"/>
              <w:rPr>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如无偏离，仅选择无偏离即可</w:t>
            </w:r>
            <w:r>
              <w:rPr>
                <w:rFonts w:hint="eastAsia"/>
                <w:color w:val="auto"/>
                <w:sz w:val="24"/>
                <w:szCs w:val="21"/>
                <w:highlight w:val="none"/>
              </w:rPr>
              <w:t>；</w:t>
            </w:r>
            <w:r>
              <w:rPr>
                <w:rFonts w:hint="eastAsia"/>
                <w:bCs/>
                <w:color w:val="auto"/>
                <w:sz w:val="24"/>
                <w:highlight w:val="none"/>
              </w:rPr>
              <w:t>无偏离即为</w:t>
            </w:r>
            <w:r>
              <w:rPr>
                <w:color w:val="auto"/>
                <w:sz w:val="24"/>
                <w:highlight w:val="none"/>
              </w:rPr>
              <w:t>对合同条款中的所有要求</w:t>
            </w:r>
            <w:r>
              <w:rPr>
                <w:rFonts w:hint="eastAsia"/>
                <w:color w:val="auto"/>
                <w:sz w:val="24"/>
                <w:highlight w:val="none"/>
              </w:rPr>
              <w:t>，</w:t>
            </w:r>
            <w:r>
              <w:rPr>
                <w:color w:val="auto"/>
                <w:sz w:val="24"/>
                <w:highlight w:val="none"/>
              </w:rPr>
              <w:t>均视作供应商已对之理解和响应。）</w:t>
            </w:r>
          </w:p>
          <w:p w14:paraId="412812B7">
            <w:pPr>
              <w:adjustRightInd w:val="0"/>
              <w:snapToGrid w:val="0"/>
              <w:jc w:val="left"/>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r>
              <w:rPr>
                <w:rFonts w:hint="eastAsia"/>
                <w:color w:val="auto"/>
                <w:sz w:val="24"/>
                <w:highlight w:val="none"/>
              </w:rPr>
              <w:t>，否则</w:t>
            </w:r>
            <w:r>
              <w:rPr>
                <w:rFonts w:hint="eastAsia"/>
                <w:b/>
                <w:bCs/>
                <w:color w:val="auto"/>
                <w:sz w:val="24"/>
                <w:highlight w:val="none"/>
              </w:rPr>
              <w:t>投标无效</w:t>
            </w:r>
            <w:r>
              <w:rPr>
                <w:color w:val="auto"/>
                <w:sz w:val="24"/>
                <w:highlight w:val="none"/>
              </w:rPr>
              <w:t>；对合同条款中的所有要求，除本表列明的偏离外，均视作供应商已对之理解和响应。）</w:t>
            </w:r>
          </w:p>
        </w:tc>
      </w:tr>
      <w:tr w14:paraId="414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14:paraId="33901D44">
            <w:pPr>
              <w:adjustRightInd w:val="0"/>
              <w:snapToGrid w:val="0"/>
              <w:jc w:val="center"/>
              <w:rPr>
                <w:color w:val="auto"/>
                <w:sz w:val="24"/>
                <w:highlight w:val="none"/>
              </w:rPr>
            </w:pPr>
          </w:p>
        </w:tc>
        <w:tc>
          <w:tcPr>
            <w:tcW w:w="1733" w:type="dxa"/>
            <w:noWrap w:val="0"/>
            <w:vAlign w:val="center"/>
          </w:tcPr>
          <w:p w14:paraId="7A683187">
            <w:pPr>
              <w:adjustRightInd w:val="0"/>
              <w:snapToGrid w:val="0"/>
              <w:jc w:val="center"/>
              <w:rPr>
                <w:color w:val="auto"/>
                <w:sz w:val="24"/>
                <w:highlight w:val="none"/>
              </w:rPr>
            </w:pPr>
          </w:p>
        </w:tc>
        <w:tc>
          <w:tcPr>
            <w:tcW w:w="1633" w:type="dxa"/>
            <w:noWrap w:val="0"/>
            <w:vAlign w:val="center"/>
          </w:tcPr>
          <w:p w14:paraId="17830C0B">
            <w:pPr>
              <w:adjustRightInd w:val="0"/>
              <w:snapToGrid w:val="0"/>
              <w:jc w:val="center"/>
              <w:rPr>
                <w:color w:val="auto"/>
                <w:sz w:val="24"/>
                <w:highlight w:val="none"/>
              </w:rPr>
            </w:pPr>
          </w:p>
        </w:tc>
        <w:tc>
          <w:tcPr>
            <w:tcW w:w="1633" w:type="dxa"/>
            <w:noWrap w:val="0"/>
            <w:vAlign w:val="center"/>
          </w:tcPr>
          <w:p w14:paraId="5953C3FB">
            <w:pPr>
              <w:adjustRightInd w:val="0"/>
              <w:snapToGrid w:val="0"/>
              <w:jc w:val="center"/>
              <w:rPr>
                <w:color w:val="auto"/>
                <w:sz w:val="24"/>
                <w:highlight w:val="none"/>
              </w:rPr>
            </w:pPr>
          </w:p>
        </w:tc>
        <w:tc>
          <w:tcPr>
            <w:tcW w:w="1826" w:type="dxa"/>
            <w:noWrap w:val="0"/>
            <w:vAlign w:val="center"/>
          </w:tcPr>
          <w:p w14:paraId="049EEDBF">
            <w:pPr>
              <w:adjustRightInd w:val="0"/>
              <w:snapToGrid w:val="0"/>
              <w:jc w:val="center"/>
              <w:rPr>
                <w:color w:val="auto"/>
                <w:sz w:val="24"/>
                <w:highlight w:val="none"/>
              </w:rPr>
            </w:pPr>
          </w:p>
        </w:tc>
        <w:tc>
          <w:tcPr>
            <w:tcW w:w="1108" w:type="dxa"/>
            <w:noWrap w:val="0"/>
            <w:vAlign w:val="center"/>
          </w:tcPr>
          <w:p w14:paraId="34EE4788">
            <w:pPr>
              <w:adjustRightInd w:val="0"/>
              <w:snapToGrid w:val="0"/>
              <w:jc w:val="center"/>
              <w:rPr>
                <w:color w:val="auto"/>
                <w:sz w:val="24"/>
                <w:highlight w:val="none"/>
              </w:rPr>
            </w:pPr>
          </w:p>
        </w:tc>
      </w:tr>
      <w:tr w14:paraId="4C94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14:paraId="18FBCCA3">
            <w:pPr>
              <w:adjustRightInd w:val="0"/>
              <w:snapToGrid w:val="0"/>
              <w:jc w:val="center"/>
              <w:rPr>
                <w:color w:val="auto"/>
                <w:sz w:val="24"/>
                <w:highlight w:val="none"/>
              </w:rPr>
            </w:pPr>
          </w:p>
        </w:tc>
        <w:tc>
          <w:tcPr>
            <w:tcW w:w="1733" w:type="dxa"/>
            <w:noWrap w:val="0"/>
            <w:vAlign w:val="center"/>
          </w:tcPr>
          <w:p w14:paraId="6EAB4FE9">
            <w:pPr>
              <w:adjustRightInd w:val="0"/>
              <w:snapToGrid w:val="0"/>
              <w:jc w:val="center"/>
              <w:rPr>
                <w:color w:val="auto"/>
                <w:sz w:val="24"/>
                <w:highlight w:val="none"/>
              </w:rPr>
            </w:pPr>
          </w:p>
        </w:tc>
        <w:tc>
          <w:tcPr>
            <w:tcW w:w="1633" w:type="dxa"/>
            <w:noWrap w:val="0"/>
            <w:vAlign w:val="center"/>
          </w:tcPr>
          <w:p w14:paraId="5323DE49">
            <w:pPr>
              <w:adjustRightInd w:val="0"/>
              <w:snapToGrid w:val="0"/>
              <w:jc w:val="center"/>
              <w:rPr>
                <w:color w:val="auto"/>
                <w:sz w:val="24"/>
                <w:highlight w:val="none"/>
              </w:rPr>
            </w:pPr>
          </w:p>
        </w:tc>
        <w:tc>
          <w:tcPr>
            <w:tcW w:w="1633" w:type="dxa"/>
            <w:noWrap w:val="0"/>
            <w:vAlign w:val="center"/>
          </w:tcPr>
          <w:p w14:paraId="5BE91847">
            <w:pPr>
              <w:adjustRightInd w:val="0"/>
              <w:snapToGrid w:val="0"/>
              <w:jc w:val="center"/>
              <w:rPr>
                <w:color w:val="auto"/>
                <w:sz w:val="24"/>
                <w:highlight w:val="none"/>
              </w:rPr>
            </w:pPr>
          </w:p>
        </w:tc>
        <w:tc>
          <w:tcPr>
            <w:tcW w:w="1826" w:type="dxa"/>
            <w:noWrap w:val="0"/>
            <w:vAlign w:val="center"/>
          </w:tcPr>
          <w:p w14:paraId="057BC579">
            <w:pPr>
              <w:adjustRightInd w:val="0"/>
              <w:snapToGrid w:val="0"/>
              <w:jc w:val="center"/>
              <w:rPr>
                <w:color w:val="auto"/>
                <w:sz w:val="24"/>
                <w:highlight w:val="none"/>
              </w:rPr>
            </w:pPr>
          </w:p>
        </w:tc>
        <w:tc>
          <w:tcPr>
            <w:tcW w:w="1108" w:type="dxa"/>
            <w:noWrap w:val="0"/>
            <w:vAlign w:val="center"/>
          </w:tcPr>
          <w:p w14:paraId="32A5EEAA">
            <w:pPr>
              <w:adjustRightInd w:val="0"/>
              <w:snapToGrid w:val="0"/>
              <w:jc w:val="center"/>
              <w:rPr>
                <w:color w:val="auto"/>
                <w:sz w:val="24"/>
                <w:highlight w:val="none"/>
              </w:rPr>
            </w:pPr>
          </w:p>
        </w:tc>
      </w:tr>
      <w:tr w14:paraId="0200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14:paraId="149DB345">
            <w:pPr>
              <w:adjustRightInd w:val="0"/>
              <w:snapToGrid w:val="0"/>
              <w:jc w:val="center"/>
              <w:rPr>
                <w:color w:val="auto"/>
                <w:sz w:val="24"/>
                <w:highlight w:val="none"/>
              </w:rPr>
            </w:pPr>
          </w:p>
        </w:tc>
        <w:tc>
          <w:tcPr>
            <w:tcW w:w="1733" w:type="dxa"/>
            <w:noWrap w:val="0"/>
            <w:vAlign w:val="center"/>
          </w:tcPr>
          <w:p w14:paraId="6F408477">
            <w:pPr>
              <w:adjustRightInd w:val="0"/>
              <w:snapToGrid w:val="0"/>
              <w:jc w:val="center"/>
              <w:rPr>
                <w:color w:val="auto"/>
                <w:sz w:val="24"/>
                <w:highlight w:val="none"/>
              </w:rPr>
            </w:pPr>
          </w:p>
        </w:tc>
        <w:tc>
          <w:tcPr>
            <w:tcW w:w="1633" w:type="dxa"/>
            <w:noWrap w:val="0"/>
            <w:vAlign w:val="center"/>
          </w:tcPr>
          <w:p w14:paraId="1D2015A2">
            <w:pPr>
              <w:adjustRightInd w:val="0"/>
              <w:snapToGrid w:val="0"/>
              <w:jc w:val="center"/>
              <w:rPr>
                <w:color w:val="auto"/>
                <w:sz w:val="24"/>
                <w:highlight w:val="none"/>
              </w:rPr>
            </w:pPr>
          </w:p>
        </w:tc>
        <w:tc>
          <w:tcPr>
            <w:tcW w:w="1633" w:type="dxa"/>
            <w:noWrap w:val="0"/>
            <w:vAlign w:val="center"/>
          </w:tcPr>
          <w:p w14:paraId="1218A1C9">
            <w:pPr>
              <w:adjustRightInd w:val="0"/>
              <w:snapToGrid w:val="0"/>
              <w:jc w:val="center"/>
              <w:rPr>
                <w:color w:val="auto"/>
                <w:sz w:val="24"/>
                <w:highlight w:val="none"/>
              </w:rPr>
            </w:pPr>
          </w:p>
        </w:tc>
        <w:tc>
          <w:tcPr>
            <w:tcW w:w="1826" w:type="dxa"/>
            <w:noWrap w:val="0"/>
            <w:vAlign w:val="center"/>
          </w:tcPr>
          <w:p w14:paraId="5362EC21">
            <w:pPr>
              <w:adjustRightInd w:val="0"/>
              <w:snapToGrid w:val="0"/>
              <w:jc w:val="center"/>
              <w:rPr>
                <w:color w:val="auto"/>
                <w:sz w:val="24"/>
                <w:highlight w:val="none"/>
              </w:rPr>
            </w:pPr>
          </w:p>
        </w:tc>
        <w:tc>
          <w:tcPr>
            <w:tcW w:w="1108" w:type="dxa"/>
            <w:noWrap w:val="0"/>
            <w:vAlign w:val="center"/>
          </w:tcPr>
          <w:p w14:paraId="4C996005">
            <w:pPr>
              <w:adjustRightInd w:val="0"/>
              <w:snapToGrid w:val="0"/>
              <w:jc w:val="center"/>
              <w:rPr>
                <w:color w:val="auto"/>
                <w:sz w:val="24"/>
                <w:highlight w:val="none"/>
              </w:rPr>
            </w:pPr>
          </w:p>
        </w:tc>
      </w:tr>
      <w:tr w14:paraId="6DCD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14:paraId="0ABDC710">
            <w:pPr>
              <w:adjustRightInd w:val="0"/>
              <w:snapToGrid w:val="0"/>
              <w:jc w:val="center"/>
              <w:rPr>
                <w:color w:val="auto"/>
                <w:sz w:val="24"/>
                <w:highlight w:val="none"/>
              </w:rPr>
            </w:pPr>
          </w:p>
        </w:tc>
        <w:tc>
          <w:tcPr>
            <w:tcW w:w="1733" w:type="dxa"/>
            <w:noWrap w:val="0"/>
            <w:vAlign w:val="center"/>
          </w:tcPr>
          <w:p w14:paraId="7A55EEB0">
            <w:pPr>
              <w:adjustRightInd w:val="0"/>
              <w:snapToGrid w:val="0"/>
              <w:jc w:val="center"/>
              <w:rPr>
                <w:color w:val="auto"/>
                <w:sz w:val="24"/>
                <w:highlight w:val="none"/>
              </w:rPr>
            </w:pPr>
          </w:p>
        </w:tc>
        <w:tc>
          <w:tcPr>
            <w:tcW w:w="1633" w:type="dxa"/>
            <w:noWrap w:val="0"/>
            <w:vAlign w:val="center"/>
          </w:tcPr>
          <w:p w14:paraId="5D9C4896">
            <w:pPr>
              <w:adjustRightInd w:val="0"/>
              <w:snapToGrid w:val="0"/>
              <w:jc w:val="center"/>
              <w:rPr>
                <w:color w:val="auto"/>
                <w:sz w:val="24"/>
                <w:highlight w:val="none"/>
              </w:rPr>
            </w:pPr>
          </w:p>
        </w:tc>
        <w:tc>
          <w:tcPr>
            <w:tcW w:w="1633" w:type="dxa"/>
            <w:noWrap w:val="0"/>
            <w:vAlign w:val="center"/>
          </w:tcPr>
          <w:p w14:paraId="5EE02180">
            <w:pPr>
              <w:adjustRightInd w:val="0"/>
              <w:snapToGrid w:val="0"/>
              <w:jc w:val="center"/>
              <w:rPr>
                <w:color w:val="auto"/>
                <w:sz w:val="24"/>
                <w:highlight w:val="none"/>
              </w:rPr>
            </w:pPr>
          </w:p>
        </w:tc>
        <w:tc>
          <w:tcPr>
            <w:tcW w:w="1826" w:type="dxa"/>
            <w:noWrap w:val="0"/>
            <w:vAlign w:val="center"/>
          </w:tcPr>
          <w:p w14:paraId="40E9E4E0">
            <w:pPr>
              <w:adjustRightInd w:val="0"/>
              <w:snapToGrid w:val="0"/>
              <w:jc w:val="center"/>
              <w:rPr>
                <w:color w:val="auto"/>
                <w:sz w:val="24"/>
                <w:highlight w:val="none"/>
              </w:rPr>
            </w:pPr>
          </w:p>
        </w:tc>
        <w:tc>
          <w:tcPr>
            <w:tcW w:w="1108" w:type="dxa"/>
            <w:noWrap w:val="0"/>
            <w:vAlign w:val="center"/>
          </w:tcPr>
          <w:p w14:paraId="4DB04F54">
            <w:pPr>
              <w:adjustRightInd w:val="0"/>
              <w:snapToGrid w:val="0"/>
              <w:jc w:val="center"/>
              <w:rPr>
                <w:color w:val="auto"/>
                <w:sz w:val="24"/>
                <w:highlight w:val="none"/>
              </w:rPr>
            </w:pPr>
          </w:p>
        </w:tc>
      </w:tr>
      <w:bookmarkEnd w:id="959"/>
    </w:tbl>
    <w:p w14:paraId="225F4D4F">
      <w:pPr>
        <w:tabs>
          <w:tab w:val="left" w:pos="1800"/>
          <w:tab w:val="left" w:pos="5580"/>
        </w:tabs>
        <w:jc w:val="left"/>
        <w:rPr>
          <w:color w:val="auto"/>
          <w:sz w:val="24"/>
          <w:highlight w:val="none"/>
        </w:rPr>
      </w:pPr>
    </w:p>
    <w:p w14:paraId="0AF209AF">
      <w:pPr>
        <w:tabs>
          <w:tab w:val="left" w:pos="1800"/>
          <w:tab w:val="left" w:pos="5580"/>
        </w:tabs>
        <w:jc w:val="left"/>
        <w:rPr>
          <w:color w:val="auto"/>
          <w:sz w:val="24"/>
          <w:highlight w:val="none"/>
        </w:rPr>
      </w:pPr>
      <w:r>
        <w:rPr>
          <w:color w:val="auto"/>
          <w:sz w:val="24"/>
          <w:highlight w:val="none"/>
        </w:rPr>
        <w:t>注：“偏离情况”列应据实填写“正偏离”或“负偏离”。</w:t>
      </w:r>
    </w:p>
    <w:p w14:paraId="5200C684">
      <w:pPr>
        <w:spacing w:line="360" w:lineRule="auto"/>
        <w:rPr>
          <w:color w:val="auto"/>
          <w:sz w:val="24"/>
          <w:szCs w:val="20"/>
          <w:highlight w:val="none"/>
        </w:rPr>
      </w:pPr>
    </w:p>
    <w:p w14:paraId="7F9D9D6C">
      <w:pPr>
        <w:autoSpaceDE w:val="0"/>
        <w:autoSpaceDN w:val="0"/>
        <w:adjustRightInd w:val="0"/>
        <w:snapToGrid w:val="0"/>
        <w:spacing w:before="25" w:after="25" w:line="360" w:lineRule="auto"/>
        <w:rPr>
          <w:color w:val="auto"/>
          <w:sz w:val="24"/>
          <w:highlight w:val="none"/>
          <w:lang w:val="zh-CN"/>
        </w:rPr>
      </w:pPr>
    </w:p>
    <w:p w14:paraId="3AD3772E">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7BECA9F8">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5B4D57C0">
      <w:pPr>
        <w:numPr>
          <w:ilvl w:val="0"/>
          <w:numId w:val="33"/>
        </w:numPr>
        <w:tabs>
          <w:tab w:val="left" w:pos="360"/>
        </w:tabs>
        <w:snapToGrid w:val="0"/>
        <w:spacing w:line="360" w:lineRule="auto"/>
        <w:outlineLvl w:val="1"/>
        <w:rPr>
          <w:color w:val="auto"/>
          <w:sz w:val="24"/>
          <w:szCs w:val="20"/>
          <w:highlight w:val="none"/>
        </w:rPr>
      </w:pPr>
      <w:r>
        <w:rPr>
          <w:color w:val="auto"/>
          <w:sz w:val="24"/>
          <w:szCs w:val="20"/>
          <w:highlight w:val="none"/>
        </w:rPr>
        <w:br w:type="page"/>
      </w:r>
      <w:bookmarkEnd w:id="946"/>
      <w:bookmarkEnd w:id="947"/>
      <w:bookmarkEnd w:id="948"/>
      <w:bookmarkEnd w:id="949"/>
      <w:bookmarkEnd w:id="950"/>
      <w:bookmarkEnd w:id="951"/>
      <w:bookmarkEnd w:id="952"/>
      <w:bookmarkEnd w:id="953"/>
      <w:bookmarkEnd w:id="954"/>
      <w:bookmarkEnd w:id="955"/>
      <w:bookmarkEnd w:id="956"/>
      <w:bookmarkEnd w:id="957"/>
      <w:bookmarkEnd w:id="958"/>
      <w:r>
        <w:rPr>
          <w:color w:val="auto"/>
          <w:sz w:val="24"/>
          <w:szCs w:val="20"/>
          <w:highlight w:val="none"/>
        </w:rPr>
        <w:t>采购需求偏离表（实质性格式）</w:t>
      </w:r>
    </w:p>
    <w:p w14:paraId="511D61D3">
      <w:pPr>
        <w:autoSpaceDE w:val="0"/>
        <w:autoSpaceDN w:val="0"/>
        <w:adjustRightInd w:val="0"/>
        <w:spacing w:line="360" w:lineRule="auto"/>
        <w:jc w:val="center"/>
        <w:rPr>
          <w:b/>
          <w:color w:val="auto"/>
          <w:sz w:val="36"/>
          <w:szCs w:val="36"/>
          <w:highlight w:val="none"/>
        </w:rPr>
      </w:pPr>
      <w:r>
        <w:rPr>
          <w:b/>
          <w:color w:val="auto"/>
          <w:sz w:val="36"/>
          <w:szCs w:val="36"/>
          <w:highlight w:val="none"/>
        </w:rPr>
        <w:t>采购需求偏离表</w:t>
      </w:r>
    </w:p>
    <w:p w14:paraId="46BD7B7E">
      <w:pPr>
        <w:tabs>
          <w:tab w:val="left" w:pos="1800"/>
          <w:tab w:val="left" w:pos="5580"/>
        </w:tabs>
        <w:spacing w:line="360" w:lineRule="auto"/>
        <w:ind w:firstLine="360" w:firstLineChars="150"/>
        <w:jc w:val="left"/>
        <w:rPr>
          <w:color w:val="auto"/>
          <w:sz w:val="24"/>
          <w:highlight w:val="none"/>
          <w:u w:val="single"/>
        </w:rPr>
      </w:pPr>
      <w:r>
        <w:rPr>
          <w:rFonts w:hint="eastAsia"/>
          <w:color w:val="auto"/>
          <w:sz w:val="24"/>
          <w:highlight w:val="none"/>
        </w:rPr>
        <w:t>采购编号</w:t>
      </w:r>
      <w:r>
        <w:rPr>
          <w:color w:val="auto"/>
          <w:sz w:val="24"/>
          <w:highlight w:val="none"/>
        </w:rPr>
        <w:t>/包号：_____________________     项目名称：____________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A4E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322563D5">
            <w:pPr>
              <w:adjustRightInd w:val="0"/>
              <w:snapToGrid w:val="0"/>
              <w:jc w:val="center"/>
              <w:rPr>
                <w:color w:val="auto"/>
                <w:sz w:val="24"/>
                <w:highlight w:val="none"/>
              </w:rPr>
            </w:pPr>
            <w:r>
              <w:rPr>
                <w:color w:val="auto"/>
                <w:sz w:val="24"/>
                <w:highlight w:val="none"/>
              </w:rPr>
              <w:t>序号</w:t>
            </w:r>
          </w:p>
        </w:tc>
        <w:tc>
          <w:tcPr>
            <w:tcW w:w="1482" w:type="dxa"/>
            <w:noWrap w:val="0"/>
            <w:vAlign w:val="center"/>
          </w:tcPr>
          <w:p w14:paraId="7E58F940">
            <w:pPr>
              <w:adjustRightInd w:val="0"/>
              <w:snapToGrid w:val="0"/>
              <w:jc w:val="center"/>
              <w:rPr>
                <w:color w:val="auto"/>
                <w:sz w:val="24"/>
                <w:highlight w:val="none"/>
              </w:rPr>
            </w:pPr>
            <w:r>
              <w:rPr>
                <w:color w:val="auto"/>
                <w:sz w:val="24"/>
                <w:highlight w:val="none"/>
              </w:rPr>
              <w:t>招标文件条目号(页码)</w:t>
            </w:r>
          </w:p>
        </w:tc>
        <w:tc>
          <w:tcPr>
            <w:tcW w:w="2384" w:type="dxa"/>
            <w:noWrap w:val="0"/>
            <w:vAlign w:val="center"/>
          </w:tcPr>
          <w:p w14:paraId="51735581">
            <w:pPr>
              <w:adjustRightInd w:val="0"/>
              <w:snapToGrid w:val="0"/>
              <w:jc w:val="center"/>
              <w:rPr>
                <w:color w:val="auto"/>
                <w:sz w:val="24"/>
                <w:highlight w:val="none"/>
              </w:rPr>
            </w:pPr>
            <w:r>
              <w:rPr>
                <w:color w:val="auto"/>
                <w:sz w:val="24"/>
                <w:highlight w:val="none"/>
              </w:rPr>
              <w:t>招标文件要求</w:t>
            </w:r>
          </w:p>
        </w:tc>
        <w:tc>
          <w:tcPr>
            <w:tcW w:w="2126" w:type="dxa"/>
            <w:noWrap w:val="0"/>
            <w:vAlign w:val="center"/>
          </w:tcPr>
          <w:p w14:paraId="30B1A4E2">
            <w:pPr>
              <w:adjustRightInd w:val="0"/>
              <w:snapToGrid w:val="0"/>
              <w:jc w:val="center"/>
              <w:rPr>
                <w:color w:val="auto"/>
                <w:sz w:val="24"/>
                <w:highlight w:val="none"/>
              </w:rPr>
            </w:pPr>
            <w:r>
              <w:rPr>
                <w:color w:val="auto"/>
                <w:sz w:val="24"/>
                <w:highlight w:val="none"/>
              </w:rPr>
              <w:t>投标响应内容</w:t>
            </w:r>
          </w:p>
        </w:tc>
        <w:tc>
          <w:tcPr>
            <w:tcW w:w="1875" w:type="dxa"/>
            <w:noWrap w:val="0"/>
            <w:vAlign w:val="center"/>
          </w:tcPr>
          <w:p w14:paraId="2BA8E0E0">
            <w:pPr>
              <w:adjustRightInd w:val="0"/>
              <w:snapToGrid w:val="0"/>
              <w:jc w:val="center"/>
              <w:rPr>
                <w:color w:val="auto"/>
                <w:sz w:val="24"/>
                <w:highlight w:val="none"/>
              </w:rPr>
            </w:pPr>
            <w:r>
              <w:rPr>
                <w:color w:val="auto"/>
                <w:sz w:val="24"/>
                <w:highlight w:val="none"/>
              </w:rPr>
              <w:t>偏离情况</w:t>
            </w:r>
          </w:p>
        </w:tc>
        <w:tc>
          <w:tcPr>
            <w:tcW w:w="1009" w:type="dxa"/>
            <w:noWrap w:val="0"/>
            <w:vAlign w:val="center"/>
          </w:tcPr>
          <w:p w14:paraId="7CCF0A96">
            <w:pPr>
              <w:adjustRightInd w:val="0"/>
              <w:snapToGrid w:val="0"/>
              <w:jc w:val="center"/>
              <w:rPr>
                <w:color w:val="auto"/>
                <w:sz w:val="24"/>
                <w:highlight w:val="none"/>
              </w:rPr>
            </w:pPr>
            <w:r>
              <w:rPr>
                <w:color w:val="auto"/>
                <w:sz w:val="24"/>
                <w:highlight w:val="none"/>
              </w:rPr>
              <w:t>说明</w:t>
            </w:r>
          </w:p>
        </w:tc>
      </w:tr>
      <w:tr w14:paraId="28B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noWrap w:val="0"/>
            <w:vAlign w:val="center"/>
          </w:tcPr>
          <w:p w14:paraId="5A28F610">
            <w:pPr>
              <w:adjustRightInd w:val="0"/>
              <w:snapToGrid w:val="0"/>
              <w:jc w:val="left"/>
              <w:rPr>
                <w:bCs/>
                <w:color w:val="auto"/>
                <w:sz w:val="24"/>
                <w:highlight w:val="none"/>
              </w:rPr>
            </w:pPr>
            <w:r>
              <w:rPr>
                <w:b/>
                <w:color w:val="auto"/>
                <w:sz w:val="24"/>
                <w:highlight w:val="none"/>
              </w:rPr>
              <w:t>对本项目</w:t>
            </w:r>
            <w:r>
              <w:rPr>
                <w:rFonts w:hint="eastAsia"/>
                <w:b/>
                <w:color w:val="auto"/>
                <w:sz w:val="24"/>
                <w:highlight w:val="none"/>
              </w:rPr>
              <w:t>采购需求</w:t>
            </w:r>
            <w:r>
              <w:rPr>
                <w:b/>
                <w:color w:val="auto"/>
                <w:sz w:val="24"/>
                <w:highlight w:val="none"/>
              </w:rPr>
              <w:t>的偏离情况</w:t>
            </w:r>
            <w:r>
              <w:rPr>
                <w:bCs/>
                <w:color w:val="auto"/>
                <w:sz w:val="24"/>
                <w:highlight w:val="none"/>
              </w:rPr>
              <w:t>（</w:t>
            </w:r>
            <w:r>
              <w:rPr>
                <w:rFonts w:hint="eastAsia"/>
                <w:bCs/>
                <w:color w:val="auto"/>
                <w:sz w:val="24"/>
                <w:highlight w:val="none"/>
              </w:rPr>
              <w:t>应</w:t>
            </w:r>
            <w:r>
              <w:rPr>
                <w:bCs/>
                <w:color w:val="auto"/>
                <w:sz w:val="24"/>
                <w:highlight w:val="none"/>
              </w:rPr>
              <w:t>进行选择</w:t>
            </w:r>
            <w:r>
              <w:rPr>
                <w:rFonts w:hint="eastAsia"/>
                <w:bCs/>
                <w:color w:val="auto"/>
                <w:sz w:val="24"/>
                <w:highlight w:val="none"/>
              </w:rPr>
              <w:t>，未选择</w:t>
            </w:r>
            <w:r>
              <w:rPr>
                <w:rFonts w:hint="eastAsia"/>
                <w:b/>
                <w:color w:val="auto"/>
                <w:sz w:val="24"/>
                <w:highlight w:val="none"/>
              </w:rPr>
              <w:t>投标无效</w:t>
            </w:r>
            <w:r>
              <w:rPr>
                <w:bCs/>
                <w:color w:val="auto"/>
                <w:sz w:val="24"/>
                <w:highlight w:val="none"/>
              </w:rPr>
              <w:t>）：</w:t>
            </w:r>
          </w:p>
          <w:p w14:paraId="1B740D93">
            <w:pPr>
              <w:adjustRightInd w:val="0"/>
              <w:snapToGrid w:val="0"/>
              <w:jc w:val="left"/>
              <w:rPr>
                <w:color w:val="auto"/>
                <w:sz w:val="24"/>
                <w:highlight w:val="none"/>
              </w:rPr>
            </w:pPr>
            <w:r>
              <w:rPr>
                <w:b/>
                <w:color w:val="auto"/>
                <w:sz w:val="24"/>
                <w:highlight w:val="none"/>
              </w:rPr>
              <w:t>□无偏离</w:t>
            </w:r>
            <w:r>
              <w:rPr>
                <w:color w:val="auto"/>
                <w:sz w:val="24"/>
                <w:highlight w:val="none"/>
              </w:rPr>
              <w:t>（</w:t>
            </w:r>
            <w:r>
              <w:rPr>
                <w:color w:val="auto"/>
                <w:sz w:val="24"/>
                <w:szCs w:val="21"/>
                <w:highlight w:val="none"/>
              </w:rPr>
              <w:t>如无偏离，仅选择无偏离即可</w:t>
            </w:r>
            <w:r>
              <w:rPr>
                <w:rFonts w:hint="eastAsia"/>
                <w:color w:val="auto"/>
                <w:sz w:val="24"/>
                <w:szCs w:val="21"/>
                <w:highlight w:val="none"/>
              </w:rPr>
              <w:t>；</w:t>
            </w:r>
            <w:r>
              <w:rPr>
                <w:rFonts w:hint="eastAsia"/>
                <w:bCs/>
                <w:color w:val="auto"/>
                <w:sz w:val="24"/>
                <w:highlight w:val="none"/>
              </w:rPr>
              <w:t>无偏离即为</w:t>
            </w:r>
            <w:r>
              <w:rPr>
                <w:color w:val="auto"/>
                <w:sz w:val="24"/>
                <w:highlight w:val="none"/>
              </w:rPr>
              <w:t>对</w:t>
            </w:r>
            <w:r>
              <w:rPr>
                <w:rFonts w:hint="eastAsia"/>
                <w:color w:val="auto"/>
                <w:sz w:val="24"/>
                <w:highlight w:val="none"/>
              </w:rPr>
              <w:t>采购需求</w:t>
            </w:r>
            <w:r>
              <w:rPr>
                <w:color w:val="auto"/>
                <w:sz w:val="24"/>
                <w:highlight w:val="none"/>
              </w:rPr>
              <w:t>中的所有要求</w:t>
            </w:r>
            <w:r>
              <w:rPr>
                <w:rFonts w:hint="eastAsia"/>
                <w:color w:val="auto"/>
                <w:sz w:val="24"/>
                <w:highlight w:val="none"/>
              </w:rPr>
              <w:t>，</w:t>
            </w:r>
            <w:r>
              <w:rPr>
                <w:color w:val="auto"/>
                <w:sz w:val="24"/>
                <w:highlight w:val="none"/>
              </w:rPr>
              <w:t>均视作供应商已对之理解和响应。）</w:t>
            </w:r>
          </w:p>
          <w:p w14:paraId="7E2A6ACC">
            <w:pPr>
              <w:adjustRightInd w:val="0"/>
              <w:snapToGrid w:val="0"/>
              <w:jc w:val="center"/>
              <w:rPr>
                <w:color w:val="auto"/>
                <w:sz w:val="24"/>
                <w:highlight w:val="none"/>
              </w:rPr>
            </w:pPr>
            <w:r>
              <w:rPr>
                <w:b/>
                <w:color w:val="auto"/>
                <w:sz w:val="24"/>
                <w:highlight w:val="none"/>
              </w:rPr>
              <w:t>□有偏离</w:t>
            </w:r>
            <w:r>
              <w:rPr>
                <w:color w:val="auto"/>
                <w:sz w:val="24"/>
                <w:highlight w:val="none"/>
              </w:rPr>
              <w:t>（</w:t>
            </w:r>
            <w:r>
              <w:rPr>
                <w:color w:val="auto"/>
                <w:sz w:val="24"/>
                <w:szCs w:val="21"/>
                <w:highlight w:val="none"/>
              </w:rPr>
              <w:t>如有偏离，</w:t>
            </w:r>
            <w:r>
              <w:rPr>
                <w:color w:val="auto"/>
                <w:sz w:val="24"/>
                <w:highlight w:val="none"/>
              </w:rPr>
              <w:t>则</w:t>
            </w:r>
            <w:r>
              <w:rPr>
                <w:rFonts w:hint="eastAsia"/>
                <w:color w:val="auto"/>
                <w:sz w:val="24"/>
                <w:highlight w:val="none"/>
              </w:rPr>
              <w:t>应</w:t>
            </w:r>
            <w:r>
              <w:rPr>
                <w:color w:val="auto"/>
                <w:sz w:val="24"/>
                <w:highlight w:val="none"/>
              </w:rPr>
              <w:t>在本表中对偏离项逐一列明</w:t>
            </w:r>
            <w:r>
              <w:rPr>
                <w:rFonts w:hint="eastAsia"/>
                <w:color w:val="auto"/>
                <w:sz w:val="24"/>
                <w:highlight w:val="none"/>
              </w:rPr>
              <w:t>，否则</w:t>
            </w:r>
            <w:r>
              <w:rPr>
                <w:rFonts w:hint="eastAsia"/>
                <w:b/>
                <w:bCs/>
                <w:color w:val="auto"/>
                <w:sz w:val="24"/>
                <w:highlight w:val="none"/>
              </w:rPr>
              <w:t>投标无效</w:t>
            </w:r>
            <w:r>
              <w:rPr>
                <w:color w:val="auto"/>
                <w:sz w:val="24"/>
                <w:highlight w:val="none"/>
              </w:rPr>
              <w:t>；对</w:t>
            </w:r>
            <w:r>
              <w:rPr>
                <w:rFonts w:hint="eastAsia"/>
                <w:color w:val="auto"/>
                <w:sz w:val="24"/>
                <w:highlight w:val="none"/>
              </w:rPr>
              <w:t>采购需求</w:t>
            </w:r>
            <w:r>
              <w:rPr>
                <w:color w:val="auto"/>
                <w:sz w:val="24"/>
                <w:highlight w:val="none"/>
              </w:rPr>
              <w:t>中的所有要求，除本表列明的偏离外，均视作供应商已对之理解和响应。）</w:t>
            </w:r>
          </w:p>
        </w:tc>
      </w:tr>
      <w:tr w14:paraId="173D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D1D9FC8">
            <w:pPr>
              <w:adjustRightInd w:val="0"/>
              <w:snapToGrid w:val="0"/>
              <w:jc w:val="center"/>
              <w:rPr>
                <w:color w:val="auto"/>
                <w:sz w:val="24"/>
                <w:highlight w:val="none"/>
              </w:rPr>
            </w:pPr>
          </w:p>
        </w:tc>
        <w:tc>
          <w:tcPr>
            <w:tcW w:w="1482" w:type="dxa"/>
            <w:noWrap w:val="0"/>
            <w:vAlign w:val="center"/>
          </w:tcPr>
          <w:p w14:paraId="0141B7AC">
            <w:pPr>
              <w:adjustRightInd w:val="0"/>
              <w:snapToGrid w:val="0"/>
              <w:jc w:val="center"/>
              <w:rPr>
                <w:color w:val="auto"/>
                <w:sz w:val="24"/>
                <w:highlight w:val="none"/>
              </w:rPr>
            </w:pPr>
          </w:p>
        </w:tc>
        <w:tc>
          <w:tcPr>
            <w:tcW w:w="2384" w:type="dxa"/>
            <w:noWrap w:val="0"/>
            <w:vAlign w:val="center"/>
          </w:tcPr>
          <w:p w14:paraId="047A89C6">
            <w:pPr>
              <w:adjustRightInd w:val="0"/>
              <w:snapToGrid w:val="0"/>
              <w:jc w:val="center"/>
              <w:rPr>
                <w:color w:val="auto"/>
                <w:sz w:val="24"/>
                <w:highlight w:val="none"/>
              </w:rPr>
            </w:pPr>
          </w:p>
        </w:tc>
        <w:tc>
          <w:tcPr>
            <w:tcW w:w="2126" w:type="dxa"/>
            <w:noWrap w:val="0"/>
            <w:vAlign w:val="center"/>
          </w:tcPr>
          <w:p w14:paraId="721CE7A3">
            <w:pPr>
              <w:adjustRightInd w:val="0"/>
              <w:snapToGrid w:val="0"/>
              <w:jc w:val="center"/>
              <w:rPr>
                <w:color w:val="auto"/>
                <w:sz w:val="24"/>
                <w:highlight w:val="none"/>
              </w:rPr>
            </w:pPr>
          </w:p>
        </w:tc>
        <w:tc>
          <w:tcPr>
            <w:tcW w:w="1875" w:type="dxa"/>
            <w:noWrap w:val="0"/>
            <w:vAlign w:val="center"/>
          </w:tcPr>
          <w:p w14:paraId="133E4BFD">
            <w:pPr>
              <w:adjustRightInd w:val="0"/>
              <w:snapToGrid w:val="0"/>
              <w:jc w:val="center"/>
              <w:rPr>
                <w:color w:val="auto"/>
                <w:sz w:val="24"/>
                <w:highlight w:val="none"/>
              </w:rPr>
            </w:pPr>
          </w:p>
        </w:tc>
        <w:tc>
          <w:tcPr>
            <w:tcW w:w="1009" w:type="dxa"/>
            <w:noWrap w:val="0"/>
            <w:vAlign w:val="center"/>
          </w:tcPr>
          <w:p w14:paraId="12BB5011">
            <w:pPr>
              <w:adjustRightInd w:val="0"/>
              <w:snapToGrid w:val="0"/>
              <w:jc w:val="center"/>
              <w:rPr>
                <w:color w:val="auto"/>
                <w:sz w:val="24"/>
                <w:highlight w:val="none"/>
              </w:rPr>
            </w:pPr>
          </w:p>
        </w:tc>
      </w:tr>
      <w:tr w14:paraId="5C97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34782C">
            <w:pPr>
              <w:adjustRightInd w:val="0"/>
              <w:snapToGrid w:val="0"/>
              <w:jc w:val="center"/>
              <w:rPr>
                <w:color w:val="auto"/>
                <w:sz w:val="24"/>
                <w:highlight w:val="none"/>
              </w:rPr>
            </w:pPr>
          </w:p>
        </w:tc>
        <w:tc>
          <w:tcPr>
            <w:tcW w:w="1482" w:type="dxa"/>
            <w:noWrap w:val="0"/>
            <w:vAlign w:val="center"/>
          </w:tcPr>
          <w:p w14:paraId="4D19B890">
            <w:pPr>
              <w:adjustRightInd w:val="0"/>
              <w:snapToGrid w:val="0"/>
              <w:jc w:val="center"/>
              <w:rPr>
                <w:color w:val="auto"/>
                <w:sz w:val="24"/>
                <w:highlight w:val="none"/>
              </w:rPr>
            </w:pPr>
          </w:p>
        </w:tc>
        <w:tc>
          <w:tcPr>
            <w:tcW w:w="2384" w:type="dxa"/>
            <w:noWrap w:val="0"/>
            <w:vAlign w:val="center"/>
          </w:tcPr>
          <w:p w14:paraId="3F1D9005">
            <w:pPr>
              <w:adjustRightInd w:val="0"/>
              <w:snapToGrid w:val="0"/>
              <w:jc w:val="center"/>
              <w:rPr>
                <w:color w:val="auto"/>
                <w:sz w:val="24"/>
                <w:highlight w:val="none"/>
              </w:rPr>
            </w:pPr>
          </w:p>
        </w:tc>
        <w:tc>
          <w:tcPr>
            <w:tcW w:w="2126" w:type="dxa"/>
            <w:noWrap w:val="0"/>
            <w:vAlign w:val="center"/>
          </w:tcPr>
          <w:p w14:paraId="7B263A51">
            <w:pPr>
              <w:adjustRightInd w:val="0"/>
              <w:snapToGrid w:val="0"/>
              <w:jc w:val="center"/>
              <w:rPr>
                <w:color w:val="auto"/>
                <w:sz w:val="24"/>
                <w:highlight w:val="none"/>
              </w:rPr>
            </w:pPr>
          </w:p>
        </w:tc>
        <w:tc>
          <w:tcPr>
            <w:tcW w:w="1875" w:type="dxa"/>
            <w:noWrap w:val="0"/>
            <w:vAlign w:val="center"/>
          </w:tcPr>
          <w:p w14:paraId="1F989C54">
            <w:pPr>
              <w:adjustRightInd w:val="0"/>
              <w:snapToGrid w:val="0"/>
              <w:jc w:val="center"/>
              <w:rPr>
                <w:color w:val="auto"/>
                <w:sz w:val="24"/>
                <w:highlight w:val="none"/>
              </w:rPr>
            </w:pPr>
          </w:p>
        </w:tc>
        <w:tc>
          <w:tcPr>
            <w:tcW w:w="1009" w:type="dxa"/>
            <w:noWrap w:val="0"/>
            <w:vAlign w:val="center"/>
          </w:tcPr>
          <w:p w14:paraId="43DEE6C2">
            <w:pPr>
              <w:adjustRightInd w:val="0"/>
              <w:snapToGrid w:val="0"/>
              <w:jc w:val="center"/>
              <w:rPr>
                <w:color w:val="auto"/>
                <w:sz w:val="24"/>
                <w:highlight w:val="none"/>
              </w:rPr>
            </w:pPr>
          </w:p>
        </w:tc>
      </w:tr>
      <w:tr w14:paraId="0A96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E8B9191">
            <w:pPr>
              <w:adjustRightInd w:val="0"/>
              <w:snapToGrid w:val="0"/>
              <w:jc w:val="center"/>
              <w:rPr>
                <w:color w:val="auto"/>
                <w:sz w:val="24"/>
                <w:highlight w:val="none"/>
              </w:rPr>
            </w:pPr>
          </w:p>
        </w:tc>
        <w:tc>
          <w:tcPr>
            <w:tcW w:w="1482" w:type="dxa"/>
            <w:noWrap w:val="0"/>
            <w:vAlign w:val="center"/>
          </w:tcPr>
          <w:p w14:paraId="0070A74B">
            <w:pPr>
              <w:adjustRightInd w:val="0"/>
              <w:snapToGrid w:val="0"/>
              <w:jc w:val="center"/>
              <w:rPr>
                <w:color w:val="auto"/>
                <w:sz w:val="24"/>
                <w:highlight w:val="none"/>
              </w:rPr>
            </w:pPr>
          </w:p>
        </w:tc>
        <w:tc>
          <w:tcPr>
            <w:tcW w:w="2384" w:type="dxa"/>
            <w:noWrap w:val="0"/>
            <w:vAlign w:val="center"/>
          </w:tcPr>
          <w:p w14:paraId="132B0429">
            <w:pPr>
              <w:adjustRightInd w:val="0"/>
              <w:snapToGrid w:val="0"/>
              <w:jc w:val="center"/>
              <w:rPr>
                <w:color w:val="auto"/>
                <w:sz w:val="24"/>
                <w:highlight w:val="none"/>
              </w:rPr>
            </w:pPr>
          </w:p>
        </w:tc>
        <w:tc>
          <w:tcPr>
            <w:tcW w:w="2126" w:type="dxa"/>
            <w:noWrap w:val="0"/>
            <w:vAlign w:val="center"/>
          </w:tcPr>
          <w:p w14:paraId="57E8C96D">
            <w:pPr>
              <w:adjustRightInd w:val="0"/>
              <w:snapToGrid w:val="0"/>
              <w:jc w:val="center"/>
              <w:rPr>
                <w:color w:val="auto"/>
                <w:sz w:val="24"/>
                <w:highlight w:val="none"/>
              </w:rPr>
            </w:pPr>
          </w:p>
        </w:tc>
        <w:tc>
          <w:tcPr>
            <w:tcW w:w="1875" w:type="dxa"/>
            <w:noWrap w:val="0"/>
            <w:vAlign w:val="center"/>
          </w:tcPr>
          <w:p w14:paraId="3ACD862A">
            <w:pPr>
              <w:adjustRightInd w:val="0"/>
              <w:snapToGrid w:val="0"/>
              <w:jc w:val="center"/>
              <w:rPr>
                <w:color w:val="auto"/>
                <w:sz w:val="24"/>
                <w:highlight w:val="none"/>
              </w:rPr>
            </w:pPr>
          </w:p>
        </w:tc>
        <w:tc>
          <w:tcPr>
            <w:tcW w:w="1009" w:type="dxa"/>
            <w:noWrap w:val="0"/>
            <w:vAlign w:val="center"/>
          </w:tcPr>
          <w:p w14:paraId="04D4EC0E">
            <w:pPr>
              <w:adjustRightInd w:val="0"/>
              <w:snapToGrid w:val="0"/>
              <w:jc w:val="center"/>
              <w:rPr>
                <w:color w:val="auto"/>
                <w:sz w:val="24"/>
                <w:highlight w:val="none"/>
              </w:rPr>
            </w:pPr>
          </w:p>
        </w:tc>
      </w:tr>
      <w:tr w14:paraId="084E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188F243">
            <w:pPr>
              <w:adjustRightInd w:val="0"/>
              <w:snapToGrid w:val="0"/>
              <w:jc w:val="center"/>
              <w:rPr>
                <w:color w:val="auto"/>
                <w:sz w:val="24"/>
                <w:highlight w:val="none"/>
              </w:rPr>
            </w:pPr>
          </w:p>
        </w:tc>
        <w:tc>
          <w:tcPr>
            <w:tcW w:w="1482" w:type="dxa"/>
            <w:noWrap w:val="0"/>
            <w:vAlign w:val="center"/>
          </w:tcPr>
          <w:p w14:paraId="20462402">
            <w:pPr>
              <w:adjustRightInd w:val="0"/>
              <w:snapToGrid w:val="0"/>
              <w:jc w:val="center"/>
              <w:rPr>
                <w:color w:val="auto"/>
                <w:sz w:val="24"/>
                <w:highlight w:val="none"/>
              </w:rPr>
            </w:pPr>
          </w:p>
        </w:tc>
        <w:tc>
          <w:tcPr>
            <w:tcW w:w="2384" w:type="dxa"/>
            <w:noWrap w:val="0"/>
            <w:vAlign w:val="center"/>
          </w:tcPr>
          <w:p w14:paraId="028A83A4">
            <w:pPr>
              <w:adjustRightInd w:val="0"/>
              <w:snapToGrid w:val="0"/>
              <w:jc w:val="center"/>
              <w:rPr>
                <w:color w:val="auto"/>
                <w:sz w:val="24"/>
                <w:highlight w:val="none"/>
              </w:rPr>
            </w:pPr>
          </w:p>
        </w:tc>
        <w:tc>
          <w:tcPr>
            <w:tcW w:w="2126" w:type="dxa"/>
            <w:noWrap w:val="0"/>
            <w:vAlign w:val="center"/>
          </w:tcPr>
          <w:p w14:paraId="50DE47A2">
            <w:pPr>
              <w:adjustRightInd w:val="0"/>
              <w:snapToGrid w:val="0"/>
              <w:jc w:val="center"/>
              <w:rPr>
                <w:color w:val="auto"/>
                <w:sz w:val="24"/>
                <w:highlight w:val="none"/>
              </w:rPr>
            </w:pPr>
          </w:p>
        </w:tc>
        <w:tc>
          <w:tcPr>
            <w:tcW w:w="1875" w:type="dxa"/>
            <w:noWrap w:val="0"/>
            <w:vAlign w:val="center"/>
          </w:tcPr>
          <w:p w14:paraId="30E446D2">
            <w:pPr>
              <w:adjustRightInd w:val="0"/>
              <w:snapToGrid w:val="0"/>
              <w:jc w:val="center"/>
              <w:rPr>
                <w:color w:val="auto"/>
                <w:sz w:val="24"/>
                <w:highlight w:val="none"/>
              </w:rPr>
            </w:pPr>
          </w:p>
        </w:tc>
        <w:tc>
          <w:tcPr>
            <w:tcW w:w="1009" w:type="dxa"/>
            <w:noWrap w:val="0"/>
            <w:vAlign w:val="center"/>
          </w:tcPr>
          <w:p w14:paraId="6916DD2C">
            <w:pPr>
              <w:adjustRightInd w:val="0"/>
              <w:snapToGrid w:val="0"/>
              <w:jc w:val="center"/>
              <w:rPr>
                <w:color w:val="auto"/>
                <w:sz w:val="24"/>
                <w:highlight w:val="none"/>
              </w:rPr>
            </w:pPr>
          </w:p>
        </w:tc>
      </w:tr>
      <w:tr w14:paraId="1D3F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D5E4A02">
            <w:pPr>
              <w:adjustRightInd w:val="0"/>
              <w:snapToGrid w:val="0"/>
              <w:jc w:val="center"/>
              <w:rPr>
                <w:color w:val="auto"/>
                <w:sz w:val="24"/>
                <w:highlight w:val="none"/>
              </w:rPr>
            </w:pPr>
          </w:p>
        </w:tc>
        <w:tc>
          <w:tcPr>
            <w:tcW w:w="1482" w:type="dxa"/>
            <w:noWrap w:val="0"/>
            <w:vAlign w:val="center"/>
          </w:tcPr>
          <w:p w14:paraId="2B76BE9F">
            <w:pPr>
              <w:adjustRightInd w:val="0"/>
              <w:snapToGrid w:val="0"/>
              <w:jc w:val="center"/>
              <w:rPr>
                <w:color w:val="auto"/>
                <w:sz w:val="24"/>
                <w:highlight w:val="none"/>
              </w:rPr>
            </w:pPr>
          </w:p>
        </w:tc>
        <w:tc>
          <w:tcPr>
            <w:tcW w:w="2384" w:type="dxa"/>
            <w:noWrap w:val="0"/>
            <w:vAlign w:val="center"/>
          </w:tcPr>
          <w:p w14:paraId="39C9D774">
            <w:pPr>
              <w:adjustRightInd w:val="0"/>
              <w:snapToGrid w:val="0"/>
              <w:jc w:val="center"/>
              <w:rPr>
                <w:color w:val="auto"/>
                <w:sz w:val="24"/>
                <w:highlight w:val="none"/>
              </w:rPr>
            </w:pPr>
          </w:p>
        </w:tc>
        <w:tc>
          <w:tcPr>
            <w:tcW w:w="2126" w:type="dxa"/>
            <w:noWrap w:val="0"/>
            <w:vAlign w:val="center"/>
          </w:tcPr>
          <w:p w14:paraId="2869A1C1">
            <w:pPr>
              <w:adjustRightInd w:val="0"/>
              <w:snapToGrid w:val="0"/>
              <w:jc w:val="center"/>
              <w:rPr>
                <w:color w:val="auto"/>
                <w:sz w:val="24"/>
                <w:highlight w:val="none"/>
              </w:rPr>
            </w:pPr>
          </w:p>
        </w:tc>
        <w:tc>
          <w:tcPr>
            <w:tcW w:w="1875" w:type="dxa"/>
            <w:noWrap w:val="0"/>
            <w:vAlign w:val="center"/>
          </w:tcPr>
          <w:p w14:paraId="1D24D20D">
            <w:pPr>
              <w:adjustRightInd w:val="0"/>
              <w:snapToGrid w:val="0"/>
              <w:jc w:val="center"/>
              <w:rPr>
                <w:color w:val="auto"/>
                <w:sz w:val="24"/>
                <w:highlight w:val="none"/>
              </w:rPr>
            </w:pPr>
          </w:p>
        </w:tc>
        <w:tc>
          <w:tcPr>
            <w:tcW w:w="1009" w:type="dxa"/>
            <w:noWrap w:val="0"/>
            <w:vAlign w:val="center"/>
          </w:tcPr>
          <w:p w14:paraId="3D86C290">
            <w:pPr>
              <w:adjustRightInd w:val="0"/>
              <w:snapToGrid w:val="0"/>
              <w:jc w:val="center"/>
              <w:rPr>
                <w:color w:val="auto"/>
                <w:sz w:val="24"/>
                <w:highlight w:val="none"/>
              </w:rPr>
            </w:pPr>
          </w:p>
        </w:tc>
      </w:tr>
    </w:tbl>
    <w:p w14:paraId="0D00E55B">
      <w:pPr>
        <w:tabs>
          <w:tab w:val="left" w:pos="1800"/>
          <w:tab w:val="left" w:pos="5580"/>
        </w:tabs>
        <w:spacing w:line="360" w:lineRule="auto"/>
        <w:ind w:firstLine="360" w:firstLineChars="150"/>
        <w:jc w:val="left"/>
        <w:rPr>
          <w:color w:val="auto"/>
          <w:sz w:val="24"/>
          <w:highlight w:val="none"/>
          <w:u w:val="single"/>
        </w:rPr>
      </w:pPr>
    </w:p>
    <w:p w14:paraId="62C185AD">
      <w:pPr>
        <w:tabs>
          <w:tab w:val="left" w:pos="1800"/>
          <w:tab w:val="left" w:pos="5580"/>
        </w:tabs>
        <w:spacing w:line="360" w:lineRule="auto"/>
        <w:ind w:firstLine="360" w:firstLineChars="150"/>
        <w:jc w:val="left"/>
        <w:rPr>
          <w:color w:val="auto"/>
          <w:sz w:val="24"/>
          <w:highlight w:val="none"/>
          <w:u w:val="single"/>
        </w:rPr>
      </w:pPr>
    </w:p>
    <w:p w14:paraId="0613D823">
      <w:pPr>
        <w:tabs>
          <w:tab w:val="left" w:pos="1800"/>
          <w:tab w:val="left" w:pos="5580"/>
        </w:tabs>
        <w:jc w:val="left"/>
        <w:rPr>
          <w:color w:val="auto"/>
          <w:sz w:val="24"/>
          <w:highlight w:val="none"/>
        </w:rPr>
      </w:pPr>
      <w:r>
        <w:rPr>
          <w:color w:val="auto"/>
          <w:sz w:val="24"/>
          <w:highlight w:val="none"/>
        </w:rPr>
        <w:t>注：</w:t>
      </w:r>
    </w:p>
    <w:p w14:paraId="08E5315F">
      <w:pPr>
        <w:tabs>
          <w:tab w:val="left" w:pos="1800"/>
          <w:tab w:val="left" w:pos="5580"/>
        </w:tabs>
        <w:jc w:val="left"/>
        <w:rPr>
          <w:color w:val="auto"/>
          <w:sz w:val="24"/>
          <w:highlight w:val="none"/>
        </w:rPr>
      </w:pPr>
      <w:r>
        <w:rPr>
          <w:color w:val="auto"/>
          <w:sz w:val="24"/>
          <w:highlight w:val="none"/>
        </w:rPr>
        <w:t>1. “偏离情况”列应据实填写“无偏离”、“正偏离”或“负偏离”。</w:t>
      </w:r>
    </w:p>
    <w:p w14:paraId="5ACE5813">
      <w:pPr>
        <w:tabs>
          <w:tab w:val="left" w:pos="1800"/>
          <w:tab w:val="left" w:pos="5580"/>
        </w:tabs>
        <w:jc w:val="left"/>
        <w:rPr>
          <w:color w:val="auto"/>
          <w:sz w:val="24"/>
          <w:highlight w:val="none"/>
        </w:rPr>
      </w:pPr>
    </w:p>
    <w:p w14:paraId="3BEAC380">
      <w:pPr>
        <w:tabs>
          <w:tab w:val="left" w:pos="1800"/>
          <w:tab w:val="left" w:pos="5580"/>
        </w:tabs>
        <w:jc w:val="left"/>
        <w:rPr>
          <w:color w:val="auto"/>
          <w:sz w:val="24"/>
          <w:highlight w:val="none"/>
        </w:rPr>
      </w:pPr>
    </w:p>
    <w:p w14:paraId="79BF9252">
      <w:pPr>
        <w:rPr>
          <w:color w:val="auto"/>
          <w:sz w:val="24"/>
          <w:szCs w:val="20"/>
          <w:highlight w:val="none"/>
        </w:rPr>
      </w:pPr>
    </w:p>
    <w:p w14:paraId="43A6C925">
      <w:pPr>
        <w:autoSpaceDE w:val="0"/>
        <w:autoSpaceDN w:val="0"/>
        <w:adjustRightInd w:val="0"/>
        <w:snapToGrid w:val="0"/>
        <w:spacing w:before="25" w:after="25" w:line="360" w:lineRule="auto"/>
        <w:rPr>
          <w:color w:val="auto"/>
          <w:sz w:val="24"/>
          <w:highlight w:val="none"/>
          <w:lang w:val="zh-CN"/>
        </w:rPr>
      </w:pPr>
    </w:p>
    <w:p w14:paraId="589DEB13">
      <w:pPr>
        <w:autoSpaceDE w:val="0"/>
        <w:autoSpaceDN w:val="0"/>
        <w:adjustRightInd w:val="0"/>
        <w:snapToGrid w:val="0"/>
        <w:spacing w:before="25" w:after="25" w:line="360" w:lineRule="auto"/>
        <w:rPr>
          <w:color w:val="auto"/>
          <w:sz w:val="24"/>
          <w:highlight w:val="none"/>
          <w:lang w:val="zh-CN"/>
        </w:rPr>
      </w:pPr>
      <w:r>
        <w:rPr>
          <w:color w:val="auto"/>
          <w:sz w:val="24"/>
          <w:highlight w:val="none"/>
        </w:rPr>
        <w:t>投标人名称（加盖公章）</w:t>
      </w:r>
      <w:r>
        <w:rPr>
          <w:color w:val="auto"/>
          <w:sz w:val="24"/>
          <w:highlight w:val="none"/>
          <w:lang w:val="zh-CN"/>
        </w:rPr>
        <w:t>：    ____________</w:t>
      </w:r>
    </w:p>
    <w:p w14:paraId="43E3CA99">
      <w:pPr>
        <w:autoSpaceDE w:val="0"/>
        <w:autoSpaceDN w:val="0"/>
        <w:adjustRightInd w:val="0"/>
        <w:snapToGrid w:val="0"/>
        <w:spacing w:before="25" w:after="25" w:line="360" w:lineRule="auto"/>
        <w:rPr>
          <w:color w:val="auto"/>
          <w:sz w:val="24"/>
          <w:highlight w:val="none"/>
          <w:lang w:val="zh-CN"/>
        </w:rPr>
      </w:pPr>
      <w:r>
        <w:rPr>
          <w:color w:val="auto"/>
          <w:sz w:val="24"/>
          <w:szCs w:val="20"/>
          <w:highlight w:val="none"/>
        </w:rPr>
        <w:t xml:space="preserve">日期：_____年______月______日   </w:t>
      </w:r>
    </w:p>
    <w:p w14:paraId="05365911">
      <w:pPr>
        <w:numPr>
          <w:ilvl w:val="0"/>
          <w:numId w:val="33"/>
        </w:numPr>
        <w:tabs>
          <w:tab w:val="left" w:pos="360"/>
        </w:tabs>
        <w:snapToGrid w:val="0"/>
        <w:spacing w:line="360" w:lineRule="auto"/>
        <w:outlineLvl w:val="1"/>
        <w:rPr>
          <w:color w:val="auto"/>
          <w:sz w:val="24"/>
          <w:szCs w:val="20"/>
          <w:highlight w:val="none"/>
        </w:rPr>
      </w:pPr>
      <w:r>
        <w:rPr>
          <w:color w:val="auto"/>
          <w:sz w:val="24"/>
          <w:szCs w:val="20"/>
          <w:highlight w:val="none"/>
        </w:rPr>
        <w:br w:type="page"/>
      </w:r>
      <w:r>
        <w:rPr>
          <w:color w:val="auto"/>
          <w:sz w:val="24"/>
          <w:szCs w:val="20"/>
          <w:highlight w:val="none"/>
        </w:rPr>
        <w:t>中小企业证明文件</w:t>
      </w:r>
      <w:r>
        <w:rPr>
          <w:rFonts w:hint="eastAsia"/>
          <w:b/>
          <w:bCs/>
          <w:color w:val="auto"/>
          <w:sz w:val="24"/>
          <w:szCs w:val="20"/>
          <w:highlight w:val="none"/>
        </w:rPr>
        <w:t>（如涉及）</w:t>
      </w:r>
    </w:p>
    <w:p w14:paraId="33C4E3FC">
      <w:pPr>
        <w:tabs>
          <w:tab w:val="left" w:pos="5580"/>
        </w:tabs>
        <w:spacing w:line="360" w:lineRule="auto"/>
        <w:rPr>
          <w:color w:val="auto"/>
          <w:sz w:val="24"/>
          <w:highlight w:val="none"/>
        </w:rPr>
      </w:pPr>
      <w:r>
        <w:rPr>
          <w:color w:val="auto"/>
          <w:sz w:val="24"/>
          <w:highlight w:val="none"/>
        </w:rPr>
        <w:t>说明：</w:t>
      </w:r>
    </w:p>
    <w:p w14:paraId="33D8FD4D">
      <w:pPr>
        <w:tabs>
          <w:tab w:val="left" w:pos="5580"/>
        </w:tabs>
        <w:spacing w:line="360" w:lineRule="auto"/>
        <w:rPr>
          <w:color w:val="auto"/>
          <w:sz w:val="24"/>
          <w:highlight w:val="none"/>
        </w:rPr>
      </w:pPr>
      <w:r>
        <w:rPr>
          <w:color w:val="auto"/>
          <w:sz w:val="24"/>
          <w:highlight w:val="none"/>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FC75C25">
      <w:pPr>
        <w:tabs>
          <w:tab w:val="left" w:pos="5580"/>
        </w:tabs>
        <w:spacing w:line="360" w:lineRule="auto"/>
        <w:rPr>
          <w:color w:val="auto"/>
          <w:sz w:val="24"/>
          <w:highlight w:val="none"/>
        </w:rPr>
      </w:pPr>
      <w:r>
        <w:rPr>
          <w:color w:val="auto"/>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4E925FA">
      <w:pPr>
        <w:tabs>
          <w:tab w:val="left" w:pos="5580"/>
        </w:tabs>
        <w:spacing w:line="360" w:lineRule="auto"/>
        <w:rPr>
          <w:color w:val="auto"/>
          <w:sz w:val="24"/>
          <w:highlight w:val="none"/>
        </w:rPr>
      </w:pPr>
      <w:r>
        <w:rPr>
          <w:color w:val="auto"/>
          <w:sz w:val="24"/>
          <w:highlight w:val="none"/>
        </w:rPr>
        <w:t>3）对于多标的采购项目，投标人应充分、准确地了解所提供货物的制造企业、提供服务的承接企业信息。对相关情况了解不清楚的，不建议填报本声明函。</w:t>
      </w:r>
    </w:p>
    <w:p w14:paraId="54F80305">
      <w:pPr>
        <w:tabs>
          <w:tab w:val="left" w:pos="5580"/>
        </w:tabs>
        <w:spacing w:line="360" w:lineRule="auto"/>
        <w:rPr>
          <w:color w:val="auto"/>
          <w:sz w:val="24"/>
          <w:highlight w:val="none"/>
        </w:rPr>
      </w:pPr>
      <w:r>
        <w:rPr>
          <w:color w:val="auto"/>
          <w:sz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A8C7075">
      <w:pPr>
        <w:widowControl/>
        <w:jc w:val="left"/>
        <w:rPr>
          <w:b/>
          <w:bCs/>
          <w:color w:val="auto"/>
          <w:sz w:val="24"/>
          <w:highlight w:val="none"/>
        </w:rPr>
      </w:pPr>
      <w:r>
        <w:rPr>
          <w:b/>
          <w:bCs/>
          <w:color w:val="auto"/>
          <w:sz w:val="24"/>
          <w:highlight w:val="none"/>
        </w:rPr>
        <w:br w:type="page"/>
      </w:r>
    </w:p>
    <w:p w14:paraId="15FFEECE">
      <w:pPr>
        <w:spacing w:before="240" w:beforeLines="100" w:after="240" w:afterLines="100" w:line="360" w:lineRule="auto"/>
        <w:jc w:val="center"/>
        <w:rPr>
          <w:b/>
          <w:bCs/>
          <w:color w:val="auto"/>
          <w:sz w:val="36"/>
          <w:szCs w:val="36"/>
          <w:highlight w:val="none"/>
        </w:rPr>
      </w:pPr>
      <w:r>
        <w:rPr>
          <w:b/>
          <w:bCs/>
          <w:color w:val="auto"/>
          <w:sz w:val="36"/>
          <w:szCs w:val="36"/>
          <w:highlight w:val="none"/>
        </w:rPr>
        <w:t>中小企业声明函（工程、服务）格式</w:t>
      </w:r>
    </w:p>
    <w:p w14:paraId="62A2C337">
      <w:pPr>
        <w:autoSpaceDE w:val="0"/>
        <w:autoSpaceDN w:val="0"/>
        <w:spacing w:line="360" w:lineRule="auto"/>
        <w:ind w:left="220" w:right="415" w:firstLine="64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i/>
          <w:color w:val="auto"/>
          <w:kern w:val="0"/>
          <w:sz w:val="24"/>
          <w:highlight w:val="none"/>
          <w:u w:val="single"/>
        </w:rPr>
        <w:t>（单位名称）</w:t>
      </w:r>
      <w:r>
        <w:rPr>
          <w:color w:val="auto"/>
          <w:kern w:val="0"/>
          <w:sz w:val="24"/>
          <w:highlight w:val="none"/>
        </w:rPr>
        <w:t>的</w:t>
      </w:r>
      <w:r>
        <w:rPr>
          <w:i/>
          <w:color w:val="auto"/>
          <w:kern w:val="0"/>
          <w:sz w:val="24"/>
          <w:highlight w:val="none"/>
          <w:u w:val="single"/>
        </w:rPr>
        <w:t>（项目名称）</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C6C3B37">
      <w:pPr>
        <w:numPr>
          <w:ilvl w:val="0"/>
          <w:numId w:val="34"/>
        </w:numPr>
        <w:tabs>
          <w:tab w:val="left" w:pos="1276"/>
          <w:tab w:val="left" w:pos="5005"/>
          <w:tab w:val="left" w:pos="7227"/>
        </w:tabs>
        <w:autoSpaceDE w:val="0"/>
        <w:autoSpaceDN w:val="0"/>
        <w:spacing w:line="360" w:lineRule="auto"/>
        <w:ind w:left="284" w:right="236" w:firstLine="576"/>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w:t>
      </w:r>
      <w:r>
        <w:rPr>
          <w:color w:val="auto"/>
          <w:kern w:val="0"/>
          <w:sz w:val="24"/>
          <w:highlight w:val="none"/>
        </w:rPr>
        <w:t>；承建（承接）企业为</w:t>
      </w:r>
      <w:r>
        <w:rPr>
          <w:i/>
          <w:color w:val="auto"/>
          <w:kern w:val="0"/>
          <w:sz w:val="24"/>
          <w:highlight w:val="none"/>
          <w:u w:val="single"/>
        </w:rPr>
        <w:t>（企业名称）</w:t>
      </w:r>
      <w:r>
        <w:rPr>
          <w:color w:val="auto"/>
          <w:kern w:val="0"/>
          <w:sz w:val="24"/>
          <w:highlight w:val="none"/>
        </w:rPr>
        <w:t>，从业人员</w:t>
      </w:r>
      <w:r>
        <w:rPr>
          <w:color w:val="auto"/>
          <w:kern w:val="0"/>
          <w:sz w:val="24"/>
          <w:highlight w:val="none"/>
          <w:u w:val="single"/>
        </w:rPr>
        <w:tab/>
      </w:r>
      <w:r>
        <w:rPr>
          <w:color w:val="auto"/>
          <w:kern w:val="0"/>
          <w:sz w:val="24"/>
          <w:highlight w:val="none"/>
        </w:rPr>
        <w:t>人，营业收入为</w:t>
      </w:r>
      <w:r>
        <w:rPr>
          <w:color w:val="auto"/>
          <w:kern w:val="0"/>
          <w:sz w:val="24"/>
          <w:highlight w:val="none"/>
          <w:u w:val="single"/>
        </w:rPr>
        <w:tab/>
      </w:r>
      <w:r>
        <w:rPr>
          <w:color w:val="auto"/>
          <w:kern w:val="0"/>
          <w:sz w:val="24"/>
          <w:highlight w:val="none"/>
        </w:rPr>
        <w:t>万元，资产总额为</w:t>
      </w:r>
      <w:r>
        <w:rPr>
          <w:color w:val="auto"/>
          <w:kern w:val="0"/>
          <w:sz w:val="24"/>
          <w:highlight w:val="none"/>
          <w:u w:val="single"/>
        </w:rPr>
        <w:tab/>
      </w:r>
      <w:r>
        <w:rPr>
          <w:color w:val="auto"/>
          <w:kern w:val="0"/>
          <w:sz w:val="24"/>
          <w:highlight w:val="none"/>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color w:val="auto"/>
          <w:kern w:val="0"/>
          <w:position w:val="16"/>
          <w:sz w:val="24"/>
          <w:highlight w:val="none"/>
        </w:rPr>
        <w:t>1</w:t>
      </w:r>
      <w:r>
        <w:rPr>
          <w:color w:val="auto"/>
          <w:kern w:val="0"/>
          <w:position w:val="16"/>
          <w:sz w:val="24"/>
          <w:highlight w:val="none"/>
        </w:rPr>
        <w:fldChar w:fldCharType="end"/>
      </w:r>
      <w:r>
        <w:rPr>
          <w:color w:val="auto"/>
          <w:kern w:val="0"/>
          <w:sz w:val="24"/>
          <w:highlight w:val="none"/>
        </w:rPr>
        <w:t>，属于</w:t>
      </w:r>
      <w:r>
        <w:rPr>
          <w:i/>
          <w:color w:val="auto"/>
          <w:kern w:val="0"/>
          <w:sz w:val="24"/>
          <w:highlight w:val="none"/>
          <w:u w:val="single"/>
        </w:rPr>
        <w:t>（中型企业、小型企业、微型企业）</w:t>
      </w:r>
      <w:r>
        <w:rPr>
          <w:color w:val="auto"/>
          <w:kern w:val="0"/>
          <w:sz w:val="24"/>
          <w:highlight w:val="none"/>
        </w:rPr>
        <w:t>；</w:t>
      </w:r>
    </w:p>
    <w:p w14:paraId="4C090D1D">
      <w:pPr>
        <w:numPr>
          <w:ilvl w:val="0"/>
          <w:numId w:val="34"/>
        </w:numPr>
        <w:tabs>
          <w:tab w:val="left" w:pos="1243"/>
          <w:tab w:val="left" w:pos="1806"/>
          <w:tab w:val="left" w:pos="5005"/>
          <w:tab w:val="left" w:pos="7213"/>
        </w:tabs>
        <w:autoSpaceDE w:val="0"/>
        <w:autoSpaceDN w:val="0"/>
        <w:spacing w:line="360" w:lineRule="auto"/>
        <w:ind w:left="205" w:right="258" w:firstLine="655"/>
        <w:jc w:val="left"/>
        <w:rPr>
          <w:color w:val="auto"/>
          <w:kern w:val="0"/>
          <w:sz w:val="24"/>
          <w:highlight w:val="none"/>
        </w:rPr>
      </w:pPr>
      <w:r>
        <w:rPr>
          <w:i/>
          <w:color w:val="auto"/>
          <w:kern w:val="0"/>
          <w:sz w:val="24"/>
          <w:highlight w:val="none"/>
          <w:u w:val="single" w:color="000000"/>
        </w:rPr>
        <w:t>（标的名称）</w:t>
      </w:r>
      <w:r>
        <w:rPr>
          <w:color w:val="auto"/>
          <w:kern w:val="0"/>
          <w:sz w:val="24"/>
          <w:highlight w:val="none"/>
        </w:rPr>
        <w:t>，属于</w:t>
      </w:r>
      <w:r>
        <w:rPr>
          <w:i/>
          <w:color w:val="auto"/>
          <w:kern w:val="0"/>
          <w:sz w:val="24"/>
          <w:highlight w:val="none"/>
        </w:rPr>
        <w:t>（</w:t>
      </w:r>
      <w:r>
        <w:rPr>
          <w:i/>
          <w:color w:val="auto"/>
          <w:kern w:val="0"/>
          <w:sz w:val="24"/>
          <w:highlight w:val="none"/>
          <w:u w:val="single" w:color="000000"/>
        </w:rPr>
        <w:t>采购文件中明确的所属行业）</w:t>
      </w:r>
      <w:r>
        <w:rPr>
          <w:color w:val="auto"/>
          <w:kern w:val="0"/>
          <w:sz w:val="24"/>
          <w:highlight w:val="none"/>
        </w:rPr>
        <w:t>；承建（承接）企业为</w:t>
      </w:r>
      <w:r>
        <w:rPr>
          <w:i/>
          <w:color w:val="auto"/>
          <w:kern w:val="0"/>
          <w:sz w:val="24"/>
          <w:highlight w:val="none"/>
          <w:u w:val="single" w:color="000000"/>
        </w:rPr>
        <w:t>（企业名称）</w:t>
      </w:r>
      <w:r>
        <w:rPr>
          <w:color w:val="auto"/>
          <w:kern w:val="0"/>
          <w:sz w:val="24"/>
          <w:highlight w:val="none"/>
        </w:rPr>
        <w:t>，从业人员</w:t>
      </w:r>
      <w:r>
        <w:rPr>
          <w:color w:val="auto"/>
          <w:kern w:val="0"/>
          <w:sz w:val="24"/>
          <w:highlight w:val="none"/>
          <w:u w:val="single" w:color="000000"/>
        </w:rPr>
        <w:tab/>
      </w:r>
      <w:r>
        <w:rPr>
          <w:color w:val="auto"/>
          <w:kern w:val="0"/>
          <w:sz w:val="24"/>
          <w:highlight w:val="none"/>
        </w:rPr>
        <w:t>人，营业收入为</w:t>
      </w:r>
      <w:r>
        <w:rPr>
          <w:color w:val="auto"/>
          <w:kern w:val="0"/>
          <w:sz w:val="24"/>
          <w:highlight w:val="none"/>
          <w:u w:val="single" w:color="000000"/>
        </w:rPr>
        <w:tab/>
      </w:r>
      <w:r>
        <w:rPr>
          <w:color w:val="auto"/>
          <w:kern w:val="0"/>
          <w:sz w:val="24"/>
          <w:highlight w:val="none"/>
        </w:rPr>
        <w:t>万元，资产总额为</w:t>
      </w:r>
      <w:r>
        <w:rPr>
          <w:color w:val="auto"/>
          <w:kern w:val="0"/>
          <w:sz w:val="24"/>
          <w:highlight w:val="none"/>
          <w:u w:val="single" w:color="000000"/>
        </w:rPr>
        <w:tab/>
      </w:r>
      <w:r>
        <w:rPr>
          <w:color w:val="auto"/>
          <w:kern w:val="0"/>
          <w:sz w:val="24"/>
          <w:highlight w:val="none"/>
        </w:rPr>
        <w:t>万元，属于</w:t>
      </w:r>
      <w:r>
        <w:rPr>
          <w:i/>
          <w:color w:val="auto"/>
          <w:kern w:val="0"/>
          <w:sz w:val="24"/>
          <w:highlight w:val="none"/>
          <w:u w:val="single" w:color="000000"/>
        </w:rPr>
        <w:t>（中型企业、小型企业、微型企业）</w:t>
      </w:r>
      <w:r>
        <w:rPr>
          <w:color w:val="auto"/>
          <w:kern w:val="0"/>
          <w:sz w:val="24"/>
          <w:highlight w:val="none"/>
        </w:rPr>
        <w:t>；</w:t>
      </w:r>
    </w:p>
    <w:p w14:paraId="69A06AB1">
      <w:pPr>
        <w:autoSpaceDE w:val="0"/>
        <w:autoSpaceDN w:val="0"/>
        <w:spacing w:line="360" w:lineRule="auto"/>
        <w:ind w:left="860"/>
        <w:jc w:val="left"/>
        <w:rPr>
          <w:color w:val="auto"/>
          <w:kern w:val="0"/>
          <w:sz w:val="24"/>
          <w:highlight w:val="none"/>
        </w:rPr>
      </w:pPr>
      <w:r>
        <w:rPr>
          <w:color w:val="auto"/>
          <w:kern w:val="0"/>
          <w:sz w:val="24"/>
          <w:highlight w:val="none"/>
        </w:rPr>
        <w:t>……</w:t>
      </w:r>
    </w:p>
    <w:p w14:paraId="7D0B6F10">
      <w:pPr>
        <w:autoSpaceDE w:val="0"/>
        <w:autoSpaceDN w:val="0"/>
        <w:spacing w:line="360" w:lineRule="auto"/>
        <w:ind w:left="220" w:right="417" w:firstLine="645"/>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w:t>
      </w:r>
    </w:p>
    <w:p w14:paraId="1174C9E8">
      <w:pPr>
        <w:spacing w:line="360" w:lineRule="auto"/>
        <w:ind w:firstLine="504"/>
        <w:rPr>
          <w:color w:val="auto"/>
          <w:spacing w:val="6"/>
          <w:sz w:val="24"/>
          <w:highlight w:val="none"/>
        </w:rPr>
      </w:pPr>
      <w:r>
        <w:rPr>
          <w:color w:val="auto"/>
          <w:kern w:val="0"/>
          <w:sz w:val="24"/>
          <w:highlight w:val="none"/>
        </w:rPr>
        <w:t>本企业对上述声明内容的真实性负责。如有虚假，将依法承担相应责任。</w:t>
      </w:r>
    </w:p>
    <w:p w14:paraId="198F7090">
      <w:pPr>
        <w:spacing w:line="360" w:lineRule="auto"/>
        <w:ind w:firstLine="504"/>
        <w:rPr>
          <w:color w:val="auto"/>
          <w:spacing w:val="6"/>
          <w:sz w:val="24"/>
          <w:highlight w:val="none"/>
        </w:rPr>
      </w:pPr>
    </w:p>
    <w:p w14:paraId="4D0A39D6">
      <w:pPr>
        <w:spacing w:line="360" w:lineRule="auto"/>
        <w:ind w:right="360" w:firstLine="480"/>
        <w:jc w:val="right"/>
        <w:rPr>
          <w:color w:val="auto"/>
          <w:sz w:val="24"/>
          <w:highlight w:val="none"/>
        </w:rPr>
      </w:pPr>
    </w:p>
    <w:p w14:paraId="379A3484">
      <w:pPr>
        <w:spacing w:line="360" w:lineRule="auto"/>
        <w:ind w:right="360" w:firstLine="480"/>
        <w:jc w:val="right"/>
        <w:rPr>
          <w:color w:val="auto"/>
          <w:sz w:val="24"/>
          <w:highlight w:val="none"/>
        </w:rPr>
      </w:pPr>
      <w:r>
        <w:rPr>
          <w:color w:val="auto"/>
          <w:sz w:val="24"/>
          <w:highlight w:val="none"/>
        </w:rPr>
        <w:t>企业名称（盖章）：________</w:t>
      </w:r>
    </w:p>
    <w:p w14:paraId="014B66CD">
      <w:pPr>
        <w:spacing w:line="360" w:lineRule="auto"/>
        <w:ind w:right="360" w:firstLine="480"/>
        <w:jc w:val="right"/>
        <w:rPr>
          <w:color w:val="auto"/>
          <w:sz w:val="24"/>
          <w:highlight w:val="none"/>
        </w:rPr>
      </w:pPr>
      <w:r>
        <w:rPr>
          <w:color w:val="auto"/>
          <w:sz w:val="24"/>
          <w:highlight w:val="none"/>
        </w:rPr>
        <w:t>日 期：________</w:t>
      </w:r>
    </w:p>
    <w:p w14:paraId="79342731">
      <w:pPr>
        <w:spacing w:line="360" w:lineRule="auto"/>
        <w:ind w:right="360" w:firstLine="480"/>
        <w:jc w:val="right"/>
        <w:rPr>
          <w:color w:val="auto"/>
          <w:sz w:val="24"/>
          <w:highlight w:val="none"/>
        </w:rPr>
      </w:pPr>
    </w:p>
    <w:p w14:paraId="1D4EA8B3">
      <w:pPr>
        <w:adjustRightInd w:val="0"/>
        <w:snapToGrid w:val="0"/>
        <w:jc w:val="left"/>
        <w:rPr>
          <w:color w:val="auto"/>
          <w:sz w:val="24"/>
          <w:szCs w:val="21"/>
          <w:highlight w:val="none"/>
        </w:rPr>
      </w:pPr>
    </w:p>
    <w:tbl>
      <w:tblPr>
        <w:tblStyle w:val="43"/>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1B3CF07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DBBA4EA">
            <w:pPr>
              <w:adjustRightInd w:val="0"/>
              <w:snapToGrid w:val="0"/>
              <w:jc w:val="left"/>
              <w:rPr>
                <w:color w:val="auto"/>
                <w:szCs w:val="21"/>
                <w:highlight w:val="none"/>
              </w:rPr>
            </w:pPr>
            <w:r>
              <w:rPr>
                <w:color w:val="auto"/>
                <w:szCs w:val="21"/>
                <w:highlight w:val="none"/>
                <w:vertAlign w:val="superscript"/>
              </w:rPr>
              <w:t>1</w:t>
            </w:r>
            <w:r>
              <w:rPr>
                <w:color w:val="auto"/>
                <w:szCs w:val="21"/>
                <w:highlight w:val="none"/>
              </w:rPr>
              <w:t>从业人员、营业收入、资产总额填报上一年度数据，无上一年度数据的新成立企业可不填报。</w:t>
            </w:r>
          </w:p>
        </w:tc>
      </w:tr>
    </w:tbl>
    <w:p w14:paraId="303A9A8A">
      <w:pPr>
        <w:adjustRightInd w:val="0"/>
        <w:snapToGrid w:val="0"/>
        <w:jc w:val="left"/>
        <w:rPr>
          <w:color w:val="auto"/>
          <w:szCs w:val="21"/>
          <w:highlight w:val="none"/>
          <w:vertAlign w:val="superscript"/>
        </w:rPr>
      </w:pPr>
    </w:p>
    <w:p w14:paraId="3BCD5D7B">
      <w:pPr>
        <w:spacing w:line="360" w:lineRule="auto"/>
        <w:ind w:right="360" w:firstLine="480"/>
        <w:jc w:val="right"/>
        <w:rPr>
          <w:color w:val="auto"/>
          <w:sz w:val="24"/>
          <w:highlight w:val="none"/>
        </w:rPr>
      </w:pPr>
    </w:p>
    <w:p w14:paraId="2C352B8D">
      <w:pPr>
        <w:spacing w:line="360" w:lineRule="auto"/>
        <w:ind w:right="360" w:firstLine="480"/>
        <w:jc w:val="right"/>
        <w:rPr>
          <w:color w:val="auto"/>
          <w:sz w:val="24"/>
          <w:highlight w:val="none"/>
        </w:rPr>
      </w:pPr>
    </w:p>
    <w:p w14:paraId="6F51CAAD">
      <w:pPr>
        <w:spacing w:line="360" w:lineRule="auto"/>
        <w:outlineLvl w:val="2"/>
        <w:rPr>
          <w:color w:val="auto"/>
          <w:sz w:val="24"/>
          <w:szCs w:val="20"/>
          <w:highlight w:val="none"/>
        </w:rPr>
      </w:pPr>
      <w:r>
        <w:rPr>
          <w:color w:val="auto"/>
          <w:sz w:val="24"/>
          <w:szCs w:val="20"/>
          <w:highlight w:val="none"/>
        </w:rPr>
        <w:br w:type="page"/>
      </w:r>
    </w:p>
    <w:p w14:paraId="78BCEF19">
      <w:pPr>
        <w:spacing w:before="240" w:beforeLines="100" w:after="240" w:afterLines="100" w:line="360" w:lineRule="auto"/>
        <w:jc w:val="center"/>
        <w:rPr>
          <w:color w:val="auto"/>
          <w:sz w:val="36"/>
          <w:szCs w:val="36"/>
          <w:highlight w:val="none"/>
        </w:rPr>
      </w:pPr>
      <w:r>
        <w:rPr>
          <w:b/>
          <w:bCs/>
          <w:color w:val="auto"/>
          <w:sz w:val="36"/>
          <w:szCs w:val="36"/>
          <w:highlight w:val="none"/>
        </w:rPr>
        <w:t>残疾人福利性单位声明函格式</w:t>
      </w:r>
    </w:p>
    <w:p w14:paraId="2112911F">
      <w:pPr>
        <w:spacing w:line="588" w:lineRule="exact"/>
        <w:ind w:firstLine="504"/>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〔2017〕141</w:t>
      </w:r>
      <w:r>
        <w:rPr>
          <w:color w:val="auto"/>
          <w:spacing w:val="6"/>
          <w:sz w:val="24"/>
          <w:highlight w:val="none"/>
        </w:rPr>
        <w:t>号）的规定，本单位</w:t>
      </w:r>
      <w:r>
        <w:rPr>
          <w:b/>
          <w:color w:val="auto"/>
          <w:sz w:val="24"/>
          <w:highlight w:val="none"/>
        </w:rPr>
        <w:t>（请进行选择）</w:t>
      </w:r>
      <w:r>
        <w:rPr>
          <w:color w:val="auto"/>
          <w:spacing w:val="6"/>
          <w:sz w:val="24"/>
          <w:highlight w:val="none"/>
        </w:rPr>
        <w:t>：</w:t>
      </w:r>
    </w:p>
    <w:p w14:paraId="32D13BA6">
      <w:pPr>
        <w:spacing w:line="588" w:lineRule="exact"/>
        <w:ind w:firstLine="482"/>
        <w:rPr>
          <w:b/>
          <w:color w:val="auto"/>
          <w:spacing w:val="6"/>
          <w:sz w:val="24"/>
          <w:highlight w:val="none"/>
        </w:rPr>
      </w:pPr>
      <w:r>
        <w:rPr>
          <w:b/>
          <w:color w:val="auto"/>
          <w:sz w:val="24"/>
          <w:highlight w:val="none"/>
        </w:rPr>
        <w:t>□</w:t>
      </w:r>
      <w:r>
        <w:rPr>
          <w:b/>
          <w:color w:val="auto"/>
          <w:spacing w:val="6"/>
          <w:sz w:val="24"/>
          <w:highlight w:val="none"/>
        </w:rPr>
        <w:t>不属于符合条件的残疾人福利性单位。</w:t>
      </w:r>
    </w:p>
    <w:p w14:paraId="1218D3D8">
      <w:pPr>
        <w:spacing w:line="588" w:lineRule="exact"/>
        <w:ind w:firstLine="482"/>
        <w:rPr>
          <w:color w:val="auto"/>
          <w:spacing w:val="6"/>
          <w:sz w:val="24"/>
          <w:highlight w:val="none"/>
        </w:rPr>
      </w:pPr>
      <w:r>
        <w:rPr>
          <w:b/>
          <w:color w:val="auto"/>
          <w:sz w:val="24"/>
          <w:highlight w:val="none"/>
        </w:rPr>
        <w:t>□</w:t>
      </w:r>
      <w:r>
        <w:rPr>
          <w:b/>
          <w:color w:val="auto"/>
          <w:spacing w:val="6"/>
          <w:sz w:val="24"/>
          <w:highlight w:val="none"/>
        </w:rPr>
        <w:t>属于符合条件的残疾人福利性单位，</w:t>
      </w:r>
      <w:r>
        <w:rPr>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2D99AE48">
      <w:pPr>
        <w:spacing w:line="588" w:lineRule="exact"/>
        <w:ind w:firstLine="506" w:firstLineChars="200"/>
        <w:rPr>
          <w:color w:val="auto"/>
          <w:spacing w:val="6"/>
          <w:sz w:val="24"/>
          <w:highlight w:val="none"/>
        </w:rPr>
      </w:pPr>
      <w:r>
        <w:rPr>
          <w:b/>
          <w:color w:val="auto"/>
          <w:spacing w:val="6"/>
          <w:sz w:val="24"/>
          <w:highlight w:val="none"/>
        </w:rPr>
        <w:t>本单位对上述声明的真实性负责。如有虚假，将依法承担相应责任。</w:t>
      </w:r>
    </w:p>
    <w:p w14:paraId="61BF5016">
      <w:pPr>
        <w:spacing w:line="588" w:lineRule="exact"/>
        <w:ind w:firstLine="504" w:firstLineChars="200"/>
        <w:rPr>
          <w:color w:val="auto"/>
          <w:spacing w:val="6"/>
          <w:sz w:val="24"/>
          <w:highlight w:val="none"/>
        </w:rPr>
      </w:pPr>
    </w:p>
    <w:p w14:paraId="07683299">
      <w:pPr>
        <w:spacing w:line="588" w:lineRule="exact"/>
        <w:ind w:firstLine="504" w:firstLineChars="200"/>
        <w:rPr>
          <w:color w:val="auto"/>
          <w:spacing w:val="6"/>
          <w:sz w:val="24"/>
          <w:highlight w:val="none"/>
        </w:rPr>
      </w:pPr>
    </w:p>
    <w:p w14:paraId="3B3E5089">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14:paraId="42F3E565">
      <w:pP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p>
    <w:p w14:paraId="2337D412">
      <w:pPr>
        <w:numPr>
          <w:ilvl w:val="0"/>
          <w:numId w:val="33"/>
        </w:numPr>
        <w:tabs>
          <w:tab w:val="left" w:pos="360"/>
        </w:tabs>
        <w:snapToGrid w:val="0"/>
        <w:spacing w:line="360" w:lineRule="auto"/>
        <w:outlineLvl w:val="1"/>
        <w:rPr>
          <w:color w:val="auto"/>
          <w:sz w:val="24"/>
          <w:szCs w:val="20"/>
          <w:highlight w:val="none"/>
        </w:rPr>
      </w:pPr>
      <w:r>
        <w:rPr>
          <w:color w:val="auto"/>
          <w:szCs w:val="20"/>
          <w:highlight w:val="none"/>
        </w:rPr>
        <w:br w:type="page"/>
      </w:r>
      <w:r>
        <w:rPr>
          <w:color w:val="auto"/>
          <w:sz w:val="24"/>
          <w:szCs w:val="20"/>
          <w:highlight w:val="none"/>
        </w:rPr>
        <w:t>招标文件要求提供或投标人认为应附的其他材料</w:t>
      </w:r>
    </w:p>
    <w:p w14:paraId="3931011C">
      <w:pPr>
        <w:widowControl/>
        <w:jc w:val="left"/>
        <w:rPr>
          <w:b/>
          <w:color w:val="auto"/>
          <w:sz w:val="36"/>
          <w:szCs w:val="36"/>
          <w:highlight w:val="none"/>
        </w:rPr>
      </w:pPr>
    </w:p>
    <w:p w14:paraId="7A40F07A">
      <w:pPr>
        <w:widowControl/>
        <w:jc w:val="left"/>
        <w:rPr>
          <w:b/>
          <w:color w:val="auto"/>
          <w:sz w:val="36"/>
          <w:szCs w:val="36"/>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MingLiU">
    <w:altName w:val="PMingLiU-ExtB"/>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D907">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54</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7F74">
    <w:pPr>
      <w:pStyle w:val="29"/>
      <w:framePr w:wrap="around" w:vAnchor="text" w:hAnchor="margin" w:xAlign="right" w:y="1"/>
      <w:rPr>
        <w:rStyle w:val="48"/>
      </w:rPr>
    </w:pPr>
  </w:p>
  <w:p w14:paraId="424BFC91">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97F5">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6B73E2D8">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2E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97B3">
    <w:pPr>
      <w:pStyle w:val="30"/>
      <w:jc w:val="right"/>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7B80">
    <w:pPr>
      <w:pStyle w:val="30"/>
      <w:jc w:val="right"/>
      <w:rPr>
        <w:rFonts w:hint="eastAsia"/>
      </w:rPr>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232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3EA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F254"/>
    <w:multiLevelType w:val="singleLevel"/>
    <w:tmpl w:val="9B7EF254"/>
    <w:lvl w:ilvl="0" w:tentative="0">
      <w:start w:val="2"/>
      <w:numFmt w:val="decimal"/>
      <w:suff w:val="nothing"/>
      <w:lvlText w:val="%1、"/>
      <w:lvlJc w:val="left"/>
    </w:lvl>
  </w:abstractNum>
  <w:abstractNum w:abstractNumId="1">
    <w:nsid w:val="AC90A98F"/>
    <w:multiLevelType w:val="singleLevel"/>
    <w:tmpl w:val="AC90A98F"/>
    <w:lvl w:ilvl="0" w:tentative="0">
      <w:start w:val="1"/>
      <w:numFmt w:val="decimal"/>
      <w:lvlText w:val="(%1)"/>
      <w:lvlJc w:val="left"/>
      <w:pPr>
        <w:ind w:left="0" w:firstLine="0"/>
      </w:pPr>
      <w:rPr>
        <w:rFonts w:hint="default"/>
      </w:rPr>
    </w:lvl>
  </w:abstractNum>
  <w:abstractNum w:abstractNumId="2">
    <w:nsid w:val="B140F86D"/>
    <w:multiLevelType w:val="multilevel"/>
    <w:tmpl w:val="B140F86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6303AEE"/>
    <w:multiLevelType w:val="singleLevel"/>
    <w:tmpl w:val="D6303AEE"/>
    <w:lvl w:ilvl="0" w:tentative="0">
      <w:start w:val="1"/>
      <w:numFmt w:val="decimal"/>
      <w:suff w:val="nothing"/>
      <w:lvlText w:val="(%1)"/>
      <w:lvlJc w:val="left"/>
      <w:pPr>
        <w:ind w:left="0" w:firstLine="0"/>
      </w:pPr>
      <w:rPr>
        <w:rFonts w:hint="default"/>
      </w:rPr>
    </w:lvl>
  </w:abstractNum>
  <w:abstractNum w:abstractNumId="4">
    <w:nsid w:val="DD785D78"/>
    <w:multiLevelType w:val="singleLevel"/>
    <w:tmpl w:val="DD785D78"/>
    <w:lvl w:ilvl="0" w:tentative="0">
      <w:start w:val="1"/>
      <w:numFmt w:val="decimal"/>
      <w:lvlText w:val="(%1)"/>
      <w:lvlJc w:val="left"/>
      <w:pPr>
        <w:ind w:left="0" w:firstLine="0"/>
      </w:pPr>
      <w:rPr>
        <w:rFonts w:hint="default"/>
      </w:rPr>
    </w:lvl>
  </w:abstractNum>
  <w:abstractNum w:abstractNumId="5">
    <w:nsid w:val="F1DD0DFD"/>
    <w:multiLevelType w:val="singleLevel"/>
    <w:tmpl w:val="F1DD0DFD"/>
    <w:lvl w:ilvl="0" w:tentative="0">
      <w:start w:val="1"/>
      <w:numFmt w:val="decimal"/>
      <w:lvlText w:val="(%1)"/>
      <w:lvlJc w:val="left"/>
      <w:pPr>
        <w:ind w:left="0" w:firstLine="0"/>
      </w:pPr>
      <w:rPr>
        <w:rFonts w:hint="default"/>
      </w:rPr>
    </w:lvl>
  </w:abstractNum>
  <w:abstractNum w:abstractNumId="6">
    <w:nsid w:val="F6619DC9"/>
    <w:multiLevelType w:val="singleLevel"/>
    <w:tmpl w:val="F6619DC9"/>
    <w:lvl w:ilvl="0" w:tentative="0">
      <w:start w:val="1"/>
      <w:numFmt w:val="decimal"/>
      <w:suff w:val="nothing"/>
      <w:lvlText w:val="(%1)"/>
      <w:lvlJc w:val="left"/>
      <w:pPr>
        <w:ind w:left="0" w:firstLine="0"/>
      </w:pPr>
      <w:rPr>
        <w:rFonts w:hint="default"/>
      </w:rPr>
    </w:lvl>
  </w:abstractNum>
  <w:abstractNum w:abstractNumId="7">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8">
    <w:nsid w:val="0000000A"/>
    <w:multiLevelType w:val="multilevel"/>
    <w:tmpl w:val="0000000A"/>
    <w:lvl w:ilvl="0" w:tentative="0">
      <w:start w:val="1"/>
      <w:numFmt w:val="decimal"/>
      <w:pStyle w:val="17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00000013"/>
    <w:multiLevelType w:val="singleLevel"/>
    <w:tmpl w:val="00000013"/>
    <w:lvl w:ilvl="0" w:tentative="0">
      <w:start w:val="1"/>
      <w:numFmt w:val="decimal"/>
      <w:pStyle w:val="199"/>
      <w:lvlText w:val="%1."/>
      <w:lvlJc w:val="left"/>
      <w:pPr>
        <w:tabs>
          <w:tab w:val="left" w:pos="360"/>
        </w:tabs>
        <w:ind w:left="360" w:hanging="360"/>
      </w:pPr>
      <w:rPr>
        <w:rFonts w:hint="default"/>
      </w:rPr>
    </w:lvl>
  </w:abstractNum>
  <w:abstractNum w:abstractNumId="11">
    <w:nsid w:val="00000026"/>
    <w:multiLevelType w:val="multilevel"/>
    <w:tmpl w:val="00000026"/>
    <w:lvl w:ilvl="0" w:tentative="0">
      <w:start w:val="1"/>
      <w:numFmt w:val="decimal"/>
      <w:pStyle w:val="15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9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9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9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3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2">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6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tentative="0">
      <w:start w:val="1"/>
      <w:numFmt w:val="decimal"/>
      <w:pStyle w:val="17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6">
    <w:nsid w:val="02F1115B"/>
    <w:multiLevelType w:val="multilevel"/>
    <w:tmpl w:val="02F1115B"/>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E230849"/>
    <w:multiLevelType w:val="multilevel"/>
    <w:tmpl w:val="0E230849"/>
    <w:lvl w:ilvl="0" w:tentative="0">
      <w:start w:val="1"/>
      <w:numFmt w:val="decimal"/>
      <w:pStyle w:val="169"/>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8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8">
    <w:nsid w:val="107B0227"/>
    <w:multiLevelType w:val="multilevel"/>
    <w:tmpl w:val="107B0227"/>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46F13CB"/>
    <w:multiLevelType w:val="multilevel"/>
    <w:tmpl w:val="146F13CB"/>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82A5C4E"/>
    <w:multiLevelType w:val="singleLevel"/>
    <w:tmpl w:val="182A5C4E"/>
    <w:lvl w:ilvl="0" w:tentative="0">
      <w:start w:val="1"/>
      <w:numFmt w:val="decimal"/>
      <w:lvlText w:val="(%1)"/>
      <w:lvlJc w:val="left"/>
      <w:pPr>
        <w:ind w:left="425" w:hanging="425"/>
      </w:pPr>
      <w:rPr>
        <w:rFonts w:hint="default"/>
      </w:rPr>
    </w:lvl>
  </w:abstractNum>
  <w:abstractNum w:abstractNumId="23">
    <w:nsid w:val="1ED97944"/>
    <w:multiLevelType w:val="singleLevel"/>
    <w:tmpl w:val="1ED97944"/>
    <w:lvl w:ilvl="0" w:tentative="0">
      <w:start w:val="1"/>
      <w:numFmt w:val="decimal"/>
      <w:suff w:val="nothing"/>
      <w:lvlText w:val="(%1)"/>
      <w:lvlJc w:val="left"/>
      <w:pPr>
        <w:ind w:left="0" w:firstLine="0"/>
      </w:pPr>
      <w:rPr>
        <w:rFonts w:hint="default"/>
      </w:rPr>
    </w:lvl>
  </w:abstractNum>
  <w:abstractNum w:abstractNumId="2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5">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48860ECC"/>
    <w:multiLevelType w:val="multilevel"/>
    <w:tmpl w:val="48860ECC"/>
    <w:lvl w:ilvl="0" w:tentative="0">
      <w:start w:val="2"/>
      <w:numFmt w:val="decimal"/>
      <w:lvlText w:val="%1、"/>
      <w:lvlJc w:val="left"/>
      <w:pPr>
        <w:ind w:left="360" w:hanging="360"/>
      </w:pPr>
      <w:rPr>
        <w:rFonts w:hint="default"/>
        <w:b w:val="0"/>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9">
    <w:nsid w:val="61F3B510"/>
    <w:multiLevelType w:val="multilevel"/>
    <w:tmpl w:val="61F3B51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5F6560E"/>
    <w:multiLevelType w:val="multilevel"/>
    <w:tmpl w:val="65F6560E"/>
    <w:lvl w:ilvl="0" w:tentative="0">
      <w:start w:val="1"/>
      <w:numFmt w:val="decimal"/>
      <w:lvlText w:val="%1、"/>
      <w:lvlJc w:val="left"/>
      <w:pPr>
        <w:ind w:left="390" w:hanging="39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2">
    <w:nsid w:val="6ED933C6"/>
    <w:multiLevelType w:val="singleLevel"/>
    <w:tmpl w:val="6ED933C6"/>
    <w:lvl w:ilvl="0" w:tentative="0">
      <w:start w:val="1"/>
      <w:numFmt w:val="decimal"/>
      <w:suff w:val="nothing"/>
      <w:lvlText w:val="(%1)"/>
      <w:lvlJc w:val="left"/>
      <w:pPr>
        <w:ind w:left="0" w:firstLine="0"/>
      </w:pPr>
      <w:rPr>
        <w:rFonts w:hint="default"/>
      </w:rPr>
    </w:lvl>
  </w:abstractNum>
  <w:abstractNum w:abstractNumId="33">
    <w:nsid w:val="7C111CAE"/>
    <w:multiLevelType w:val="singleLevel"/>
    <w:tmpl w:val="7C111CAE"/>
    <w:lvl w:ilvl="0" w:tentative="0">
      <w:start w:val="1"/>
      <w:numFmt w:val="decimal"/>
      <w:lvlText w:val="(%1)"/>
      <w:lvlJc w:val="left"/>
      <w:pPr>
        <w:ind w:left="0" w:firstLine="0"/>
      </w:pPr>
      <w:rPr>
        <w:rFonts w:hint="default"/>
      </w:rPr>
    </w:lvl>
  </w:abstractNum>
  <w:num w:numId="1">
    <w:abstractNumId w:val="11"/>
  </w:num>
  <w:num w:numId="2">
    <w:abstractNumId w:val="12"/>
  </w:num>
  <w:num w:numId="3">
    <w:abstractNumId w:val="17"/>
  </w:num>
  <w:num w:numId="4">
    <w:abstractNumId w:val="14"/>
  </w:num>
  <w:num w:numId="5">
    <w:abstractNumId w:val="8"/>
  </w:num>
  <w:num w:numId="6">
    <w:abstractNumId w:val="9"/>
  </w:num>
  <w:num w:numId="7">
    <w:abstractNumId w:val="10"/>
  </w:num>
  <w:num w:numId="8">
    <w:abstractNumId w:val="13"/>
  </w:num>
  <w:num w:numId="9">
    <w:abstractNumId w:val="7"/>
  </w:num>
  <w:num w:numId="10">
    <w:abstractNumId w:val="26"/>
  </w:num>
  <w:num w:numId="11">
    <w:abstractNumId w:val="19"/>
  </w:num>
  <w:num w:numId="12">
    <w:abstractNumId w:val="31"/>
  </w:num>
  <w:num w:numId="13">
    <w:abstractNumId w:val="20"/>
  </w:num>
  <w:num w:numId="14">
    <w:abstractNumId w:val="27"/>
  </w:num>
  <w:num w:numId="15">
    <w:abstractNumId w:val="18"/>
  </w:num>
  <w:num w:numId="16">
    <w:abstractNumId w:val="2"/>
  </w:num>
  <w:num w:numId="17">
    <w:abstractNumId w:val="21"/>
  </w:num>
  <w:num w:numId="18">
    <w:abstractNumId w:val="16"/>
  </w:num>
  <w:num w:numId="19">
    <w:abstractNumId w:val="5"/>
  </w:num>
  <w:num w:numId="20">
    <w:abstractNumId w:val="4"/>
  </w:num>
  <w:num w:numId="21">
    <w:abstractNumId w:val="29"/>
  </w:num>
  <w:num w:numId="22">
    <w:abstractNumId w:val="6"/>
  </w:num>
  <w:num w:numId="23">
    <w:abstractNumId w:val="33"/>
  </w:num>
  <w:num w:numId="24">
    <w:abstractNumId w:val="30"/>
  </w:num>
  <w:num w:numId="25">
    <w:abstractNumId w:val="1"/>
  </w:num>
  <w:num w:numId="26">
    <w:abstractNumId w:val="3"/>
  </w:num>
  <w:num w:numId="27">
    <w:abstractNumId w:val="22"/>
  </w:num>
  <w:num w:numId="28">
    <w:abstractNumId w:val="32"/>
  </w:num>
  <w:num w:numId="29">
    <w:abstractNumId w:val="23"/>
  </w:num>
  <w:num w:numId="30">
    <w:abstractNumId w:val="0"/>
  </w:num>
  <w:num w:numId="31">
    <w:abstractNumId w:val="28"/>
  </w:num>
  <w:num w:numId="32">
    <w:abstractNumId w:val="24"/>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Q2YWU4ZmVkMTg2MmRlOGU2ZWVkODQzZWU5OTBiZD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A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40C"/>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889"/>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4C3A"/>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55"/>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1E"/>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729"/>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17"/>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D0A"/>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43F"/>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76"/>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96"/>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BE9"/>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4A"/>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4E72"/>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2C1"/>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47F"/>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873"/>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A3"/>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81"/>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118"/>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21"/>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CD1"/>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3E9E"/>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48"/>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3DC"/>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4B2"/>
    <w:rsid w:val="006A66D1"/>
    <w:rsid w:val="006A6958"/>
    <w:rsid w:val="006A6973"/>
    <w:rsid w:val="006A69FA"/>
    <w:rsid w:val="006A6A37"/>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9B6"/>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072"/>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65A"/>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38B"/>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140"/>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EFD"/>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47"/>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9F"/>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E6"/>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01"/>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91"/>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5B"/>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7FC"/>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0E8"/>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6D3"/>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D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71"/>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3DA"/>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7BA"/>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602"/>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464"/>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3D6"/>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3C"/>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CB3"/>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0F3"/>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772"/>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5DC"/>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86C"/>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5E"/>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54E"/>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9C"/>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9F0"/>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C4B"/>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34"/>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4CF0510"/>
    <w:rsid w:val="06620B88"/>
    <w:rsid w:val="06CB6337"/>
    <w:rsid w:val="070E460D"/>
    <w:rsid w:val="07AD5B25"/>
    <w:rsid w:val="07B554F2"/>
    <w:rsid w:val="07E33CE1"/>
    <w:rsid w:val="08B412FA"/>
    <w:rsid w:val="090221EB"/>
    <w:rsid w:val="09511B54"/>
    <w:rsid w:val="099E3CC2"/>
    <w:rsid w:val="09F4731D"/>
    <w:rsid w:val="09F86665"/>
    <w:rsid w:val="09FF63E3"/>
    <w:rsid w:val="0B204D9D"/>
    <w:rsid w:val="0B660C1A"/>
    <w:rsid w:val="0C2F0FD0"/>
    <w:rsid w:val="0CDE19EA"/>
    <w:rsid w:val="0D4C6E52"/>
    <w:rsid w:val="0DD31EDE"/>
    <w:rsid w:val="0EB6616F"/>
    <w:rsid w:val="0F4C2412"/>
    <w:rsid w:val="0F85566D"/>
    <w:rsid w:val="0FED3432"/>
    <w:rsid w:val="0FF3221D"/>
    <w:rsid w:val="1004335A"/>
    <w:rsid w:val="11560C7E"/>
    <w:rsid w:val="126057A9"/>
    <w:rsid w:val="13460BA8"/>
    <w:rsid w:val="13554B2C"/>
    <w:rsid w:val="13B16412"/>
    <w:rsid w:val="140E18FD"/>
    <w:rsid w:val="140E7C96"/>
    <w:rsid w:val="152A1523"/>
    <w:rsid w:val="153B4FFF"/>
    <w:rsid w:val="15CF5805"/>
    <w:rsid w:val="16427843"/>
    <w:rsid w:val="17795D6B"/>
    <w:rsid w:val="17F93E0B"/>
    <w:rsid w:val="180D7978"/>
    <w:rsid w:val="18420464"/>
    <w:rsid w:val="18B76B4E"/>
    <w:rsid w:val="18DA6CE0"/>
    <w:rsid w:val="193C6818"/>
    <w:rsid w:val="19EF5E0F"/>
    <w:rsid w:val="1AC31932"/>
    <w:rsid w:val="1B217891"/>
    <w:rsid w:val="1C455CA5"/>
    <w:rsid w:val="1CAA096F"/>
    <w:rsid w:val="1D191C65"/>
    <w:rsid w:val="1D2C69D2"/>
    <w:rsid w:val="1D7E66D6"/>
    <w:rsid w:val="1D9B4C90"/>
    <w:rsid w:val="1DEA52D0"/>
    <w:rsid w:val="1ED81325"/>
    <w:rsid w:val="1F031CF9"/>
    <w:rsid w:val="1F560005"/>
    <w:rsid w:val="20C314AD"/>
    <w:rsid w:val="22F170E8"/>
    <w:rsid w:val="236F2853"/>
    <w:rsid w:val="239E00B4"/>
    <w:rsid w:val="243005BF"/>
    <w:rsid w:val="251E74A4"/>
    <w:rsid w:val="26A8236B"/>
    <w:rsid w:val="26E320E4"/>
    <w:rsid w:val="27843CE5"/>
    <w:rsid w:val="28FD6271"/>
    <w:rsid w:val="2A824AC9"/>
    <w:rsid w:val="2B4E4E51"/>
    <w:rsid w:val="2BBB37A4"/>
    <w:rsid w:val="2D835686"/>
    <w:rsid w:val="2E3B162A"/>
    <w:rsid w:val="2ED95618"/>
    <w:rsid w:val="2FA957BC"/>
    <w:rsid w:val="2FB745FA"/>
    <w:rsid w:val="30F3368E"/>
    <w:rsid w:val="31736083"/>
    <w:rsid w:val="32EB653A"/>
    <w:rsid w:val="3381627F"/>
    <w:rsid w:val="33FC45C9"/>
    <w:rsid w:val="34763909"/>
    <w:rsid w:val="351B0C52"/>
    <w:rsid w:val="35647C06"/>
    <w:rsid w:val="35FB2318"/>
    <w:rsid w:val="36620671"/>
    <w:rsid w:val="371A7498"/>
    <w:rsid w:val="3BCB6780"/>
    <w:rsid w:val="3CCD3451"/>
    <w:rsid w:val="3CE0538B"/>
    <w:rsid w:val="3D083663"/>
    <w:rsid w:val="3D8A5D30"/>
    <w:rsid w:val="3DA82FD0"/>
    <w:rsid w:val="3DBF63B1"/>
    <w:rsid w:val="3E524A9F"/>
    <w:rsid w:val="3F18675B"/>
    <w:rsid w:val="3F7A07E0"/>
    <w:rsid w:val="4006561B"/>
    <w:rsid w:val="40503C7B"/>
    <w:rsid w:val="408F069D"/>
    <w:rsid w:val="40DB5220"/>
    <w:rsid w:val="41087697"/>
    <w:rsid w:val="4260376D"/>
    <w:rsid w:val="42CD0A98"/>
    <w:rsid w:val="431A0C09"/>
    <w:rsid w:val="43B404E0"/>
    <w:rsid w:val="44A24C3B"/>
    <w:rsid w:val="44A616A1"/>
    <w:rsid w:val="45252F0E"/>
    <w:rsid w:val="46182CC2"/>
    <w:rsid w:val="468E3CE9"/>
    <w:rsid w:val="47C41530"/>
    <w:rsid w:val="47E32A9D"/>
    <w:rsid w:val="480E2158"/>
    <w:rsid w:val="48C91E02"/>
    <w:rsid w:val="49CB343D"/>
    <w:rsid w:val="4A4200BE"/>
    <w:rsid w:val="4A740975"/>
    <w:rsid w:val="4B65373A"/>
    <w:rsid w:val="4C8B403C"/>
    <w:rsid w:val="4D00163A"/>
    <w:rsid w:val="4E23535D"/>
    <w:rsid w:val="4EB66D2F"/>
    <w:rsid w:val="4EEB0BA5"/>
    <w:rsid w:val="4F0F5BE3"/>
    <w:rsid w:val="4F3062A5"/>
    <w:rsid w:val="4FB90C50"/>
    <w:rsid w:val="503B1FAE"/>
    <w:rsid w:val="50B703F0"/>
    <w:rsid w:val="515E6785"/>
    <w:rsid w:val="523F62DA"/>
    <w:rsid w:val="52417145"/>
    <w:rsid w:val="52422029"/>
    <w:rsid w:val="52A60C9F"/>
    <w:rsid w:val="537D5FC3"/>
    <w:rsid w:val="539E0EC2"/>
    <w:rsid w:val="54984B35"/>
    <w:rsid w:val="54F33CD6"/>
    <w:rsid w:val="55040901"/>
    <w:rsid w:val="55A75279"/>
    <w:rsid w:val="55E70413"/>
    <w:rsid w:val="56DF05DE"/>
    <w:rsid w:val="5757109B"/>
    <w:rsid w:val="57A47E06"/>
    <w:rsid w:val="57C34999"/>
    <w:rsid w:val="57FC6189"/>
    <w:rsid w:val="58006EC2"/>
    <w:rsid w:val="5A2A3573"/>
    <w:rsid w:val="5B0942E0"/>
    <w:rsid w:val="5B486DCE"/>
    <w:rsid w:val="5CFF6EA1"/>
    <w:rsid w:val="5D281862"/>
    <w:rsid w:val="5E3F64CF"/>
    <w:rsid w:val="5E71529B"/>
    <w:rsid w:val="5F073306"/>
    <w:rsid w:val="5F5F73B9"/>
    <w:rsid w:val="5FF84D87"/>
    <w:rsid w:val="616434A5"/>
    <w:rsid w:val="619D0903"/>
    <w:rsid w:val="61FB637A"/>
    <w:rsid w:val="62476CFC"/>
    <w:rsid w:val="63281A35"/>
    <w:rsid w:val="639D19D8"/>
    <w:rsid w:val="64A81938"/>
    <w:rsid w:val="64EE2261"/>
    <w:rsid w:val="665B4F0D"/>
    <w:rsid w:val="665E3732"/>
    <w:rsid w:val="6680669A"/>
    <w:rsid w:val="6838144E"/>
    <w:rsid w:val="68442DFB"/>
    <w:rsid w:val="68654B0A"/>
    <w:rsid w:val="686B321E"/>
    <w:rsid w:val="68AA7398"/>
    <w:rsid w:val="6B0A20DA"/>
    <w:rsid w:val="6BC46D4B"/>
    <w:rsid w:val="6E401CD1"/>
    <w:rsid w:val="6E82467D"/>
    <w:rsid w:val="6FA7439C"/>
    <w:rsid w:val="70D869D4"/>
    <w:rsid w:val="71403969"/>
    <w:rsid w:val="7207582E"/>
    <w:rsid w:val="72A2225D"/>
    <w:rsid w:val="72C708B1"/>
    <w:rsid w:val="73C025D8"/>
    <w:rsid w:val="73EF1E6D"/>
    <w:rsid w:val="742C597A"/>
    <w:rsid w:val="758B493B"/>
    <w:rsid w:val="763503FC"/>
    <w:rsid w:val="764826A3"/>
    <w:rsid w:val="76B11550"/>
    <w:rsid w:val="774E09AA"/>
    <w:rsid w:val="77F87471"/>
    <w:rsid w:val="782970A8"/>
    <w:rsid w:val="793317DB"/>
    <w:rsid w:val="79FF4237"/>
    <w:rsid w:val="7A8C2B0C"/>
    <w:rsid w:val="7A97325F"/>
    <w:rsid w:val="7B130F00"/>
    <w:rsid w:val="7BDC7CDB"/>
    <w:rsid w:val="7CA135D6"/>
    <w:rsid w:val="7DA02201"/>
    <w:rsid w:val="7E214F97"/>
    <w:rsid w:val="7E4E6516"/>
    <w:rsid w:val="7F076C05"/>
    <w:rsid w:val="7F773CD3"/>
    <w:rsid w:val="7FD02445"/>
    <w:rsid w:val="7FF779E8"/>
    <w:rsid w:val="FBFD6B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uiPriority w:val="1"/>
  </w:style>
  <w:style w:type="table" w:default="1" w:styleId="43">
    <w:name w:val="Normal Table"/>
    <w:unhideWhenUsed/>
    <w:qFormat/>
    <w:uiPriority w:val="99"/>
    <w:tblPr>
      <w:tblStyle w:val="43"/>
      <w:tblCellMar>
        <w:top w:w="0" w:type="dxa"/>
        <w:left w:w="108" w:type="dxa"/>
        <w:bottom w:w="0" w:type="dxa"/>
        <w:right w:w="108" w:type="dxa"/>
      </w:tblCellMar>
    </w:tblPr>
  </w:style>
  <w:style w:type="paragraph" w:styleId="5">
    <w:name w:val="Normal Indent"/>
    <w:basedOn w:val="1"/>
    <w:link w:val="57"/>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next w:val="18"/>
    <w:link w:val="67"/>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Calibri" w:hAnsi="Calibri" w:cs="Calibri"/>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5"/>
    <w:next w:val="15"/>
    <w:link w:val="78"/>
    <w:qFormat/>
    <w:uiPriority w:val="0"/>
    <w:rPr>
      <w:b/>
      <w:bCs/>
    </w:rPr>
  </w:style>
  <w:style w:type="paragraph" w:styleId="42">
    <w:name w:val="Body Text First Indent 2"/>
    <w:basedOn w:val="19"/>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Style w:val="4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5">
    <w:name w:val="Medium Grid 1 Accent 2"/>
    <w:basedOn w:val="43"/>
    <w:qFormat/>
    <w:uiPriority w:val="0"/>
    <w:rPr>
      <w:kern w:val="2"/>
      <w:sz w:val="21"/>
      <w:szCs w:val="24"/>
    </w:rPr>
    <w:tblPr>
      <w:tblStyle w:val="43"/>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Pr>
        <w:tblStyle w:val="43"/>
      </w:tblPr>
    </w:tblStylePr>
    <w:tblStylePr w:type="lastRow">
      <w:rPr>
        <w:b/>
        <w:bCs/>
      </w:rPr>
      <w:tblPr>
        <w:tblStyle w:val="43"/>
      </w:tblPr>
      <w:tcPr>
        <w:tcBorders>
          <w:top w:val="single" w:color="CF7B79" w:sz="18" w:space="0"/>
          <w:left w:val="nil"/>
          <w:bottom w:val="nil"/>
          <w:right w:val="nil"/>
          <w:insideH w:val="nil"/>
          <w:insideV w:val="nil"/>
          <w:tl2br w:val="nil"/>
          <w:tr2bl w:val="nil"/>
        </w:tcBorders>
      </w:tcPr>
    </w:tblStylePr>
    <w:tblStylePr w:type="firstCol">
      <w:rPr>
        <w:b/>
        <w:bCs/>
      </w:rPr>
      <w:tblPr>
        <w:tblStyle w:val="43"/>
      </w:tblPr>
    </w:tblStylePr>
    <w:tblStylePr w:type="lastCol">
      <w:rPr>
        <w:b/>
        <w:bCs/>
      </w:rPr>
      <w:tblPr>
        <w:tblStyle w:val="43"/>
      </w:tblPr>
    </w:tblStylePr>
    <w:tblStylePr w:type="band1Vert">
      <w:tblPr>
        <w:tblStyle w:val="43"/>
      </w:tblPr>
      <w:tcPr>
        <w:shd w:val="clear" w:color="auto" w:fill="DFA7A6"/>
      </w:tcPr>
    </w:tblStylePr>
    <w:tblStylePr w:type="band1Horz">
      <w:tblPr>
        <w:tblStyle w:val="43"/>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Char"/>
    <w:link w:val="2"/>
    <w:qFormat/>
    <w:uiPriority w:val="0"/>
    <w:rPr>
      <w:rFonts w:ascii="宋体"/>
      <w:b/>
      <w:kern w:val="44"/>
      <w:sz w:val="32"/>
    </w:rPr>
  </w:style>
  <w:style w:type="character" w:customStyle="1" w:styleId="55">
    <w:name w:val="标题 2 Char1"/>
    <w:link w:val="3"/>
    <w:qFormat/>
    <w:uiPriority w:val="0"/>
    <w:rPr>
      <w:rFonts w:ascii="Arial" w:hAnsi="Arial" w:eastAsia="黑体"/>
      <w:b/>
      <w:sz w:val="30"/>
      <w:lang w:val="en-US" w:eastAsia="zh-CN" w:bidi="ar-SA"/>
    </w:rPr>
  </w:style>
  <w:style w:type="character" w:customStyle="1" w:styleId="56">
    <w:name w:val="标题 3 Char1"/>
    <w:link w:val="4"/>
    <w:qFormat/>
    <w:uiPriority w:val="0"/>
    <w:rPr>
      <w:rFonts w:ascii="宋体" w:eastAsia="宋体"/>
      <w:b/>
      <w:sz w:val="24"/>
      <w:u w:val="single"/>
      <w:lang w:val="en-US" w:eastAsia="zh-CN" w:bidi="ar-SA"/>
    </w:rPr>
  </w:style>
  <w:style w:type="character" w:customStyle="1" w:styleId="57">
    <w:name w:val="正文缩进 Char1"/>
    <w:link w:val="5"/>
    <w:qFormat/>
    <w:uiPriority w:val="0"/>
    <w:rPr>
      <w:rFonts w:ascii="宋体" w:eastAsia="宋体"/>
      <w:kern w:val="2"/>
      <w:sz w:val="24"/>
      <w:szCs w:val="24"/>
      <w:lang w:val="en-US" w:eastAsia="zh-CN" w:bidi="ar-SA"/>
    </w:rPr>
  </w:style>
  <w:style w:type="character" w:customStyle="1" w:styleId="58">
    <w:name w:val="标题 4 Char"/>
    <w:link w:val="6"/>
    <w:qFormat/>
    <w:uiPriority w:val="0"/>
    <w:rPr>
      <w:sz w:val="24"/>
    </w:rPr>
  </w:style>
  <w:style w:type="character" w:customStyle="1" w:styleId="59">
    <w:name w:val="标题 5 Char"/>
    <w:link w:val="7"/>
    <w:qFormat/>
    <w:uiPriority w:val="0"/>
    <w:rPr>
      <w:b/>
      <w:sz w:val="28"/>
    </w:rPr>
  </w:style>
  <w:style w:type="character" w:customStyle="1" w:styleId="60">
    <w:name w:val="标题 6 Char"/>
    <w:link w:val="8"/>
    <w:qFormat/>
    <w:uiPriority w:val="0"/>
    <w:rPr>
      <w:rFonts w:ascii="Arial" w:hAnsi="Arial" w:eastAsia="黑体"/>
      <w:b/>
      <w:sz w:val="24"/>
    </w:rPr>
  </w:style>
  <w:style w:type="character" w:customStyle="1" w:styleId="61">
    <w:name w:val="标题 7 Char"/>
    <w:link w:val="9"/>
    <w:qFormat/>
    <w:uiPriority w:val="0"/>
    <w:rPr>
      <w:b/>
      <w:sz w:val="24"/>
    </w:rPr>
  </w:style>
  <w:style w:type="character" w:customStyle="1" w:styleId="62">
    <w:name w:val="标题 8 Char"/>
    <w:link w:val="10"/>
    <w:qFormat/>
    <w:uiPriority w:val="0"/>
    <w:rPr>
      <w:rFonts w:ascii="Arial" w:hAnsi="Arial" w:eastAsia="黑体"/>
      <w:sz w:val="24"/>
    </w:rPr>
  </w:style>
  <w:style w:type="character" w:customStyle="1" w:styleId="63">
    <w:name w:val="标题 9 Char"/>
    <w:link w:val="11"/>
    <w:qFormat/>
    <w:uiPriority w:val="0"/>
    <w:rPr>
      <w:rFonts w:ascii="Arial" w:hAnsi="Arial" w:eastAsia="黑体"/>
      <w:sz w:val="21"/>
    </w:rPr>
  </w:style>
  <w:style w:type="character" w:customStyle="1" w:styleId="64">
    <w:name w:val="文档结构图 Char"/>
    <w:link w:val="14"/>
    <w:qFormat/>
    <w:uiPriority w:val="0"/>
    <w:rPr>
      <w:kern w:val="2"/>
      <w:sz w:val="21"/>
      <w:szCs w:val="24"/>
      <w:shd w:val="clear" w:color="auto" w:fill="000080"/>
    </w:rPr>
  </w:style>
  <w:style w:type="character" w:customStyle="1" w:styleId="65">
    <w:name w:val="批注文字 Char1"/>
    <w:link w:val="15"/>
    <w:qFormat/>
    <w:uiPriority w:val="99"/>
    <w:rPr>
      <w:kern w:val="2"/>
      <w:sz w:val="21"/>
      <w:szCs w:val="24"/>
    </w:rPr>
  </w:style>
  <w:style w:type="character" w:customStyle="1" w:styleId="66">
    <w:name w:val="正文文本 3 Char"/>
    <w:link w:val="16"/>
    <w:qFormat/>
    <w:uiPriority w:val="0"/>
    <w:rPr>
      <w:kern w:val="2"/>
      <w:sz w:val="16"/>
      <w:szCs w:val="16"/>
    </w:rPr>
  </w:style>
  <w:style w:type="character" w:customStyle="1" w:styleId="67">
    <w:name w:val="正文文本 Char"/>
    <w:link w:val="17"/>
    <w:qFormat/>
    <w:uiPriority w:val="0"/>
    <w:rPr>
      <w:rFonts w:ascii="宋体" w:hAnsi="宋体"/>
      <w:kern w:val="2"/>
      <w:sz w:val="24"/>
      <w:szCs w:val="24"/>
    </w:rPr>
  </w:style>
  <w:style w:type="character" w:customStyle="1" w:styleId="68">
    <w:name w:val="正文文本缩进 Char2"/>
    <w:link w:val="19"/>
    <w:qFormat/>
    <w:uiPriority w:val="0"/>
    <w:rPr>
      <w:rFonts w:eastAsia="宋体"/>
      <w:kern w:val="2"/>
      <w:sz w:val="24"/>
      <w:szCs w:val="24"/>
      <w:lang w:val="en-US" w:eastAsia="zh-CN" w:bidi="ar-SA"/>
    </w:rPr>
  </w:style>
  <w:style w:type="character" w:customStyle="1" w:styleId="69">
    <w:name w:val="纯文本 Char"/>
    <w:link w:val="24"/>
    <w:qFormat/>
    <w:uiPriority w:val="0"/>
    <w:rPr>
      <w:rFonts w:hint="eastAsia" w:ascii="宋体" w:hAnsi="Courier New" w:eastAsia="宋体" w:cs="宋体"/>
      <w:kern w:val="2"/>
      <w:sz w:val="21"/>
    </w:rPr>
  </w:style>
  <w:style w:type="character" w:customStyle="1" w:styleId="70">
    <w:name w:val="日期 Char"/>
    <w:link w:val="26"/>
    <w:qFormat/>
    <w:uiPriority w:val="0"/>
    <w:rPr>
      <w:rFonts w:ascii="仿宋_GB2312" w:hAnsi="宋体" w:eastAsia="仿宋_GB2312"/>
      <w:color w:val="000000"/>
      <w:kern w:val="2"/>
      <w:sz w:val="24"/>
      <w:szCs w:val="24"/>
    </w:rPr>
  </w:style>
  <w:style w:type="character" w:customStyle="1" w:styleId="71">
    <w:name w:val="正文文本缩进 2 Char"/>
    <w:link w:val="27"/>
    <w:qFormat/>
    <w:uiPriority w:val="0"/>
    <w:rPr>
      <w:rFonts w:ascii="仿宋_GB2312" w:eastAsia="仿宋_GB2312"/>
      <w:kern w:val="2"/>
      <w:sz w:val="24"/>
      <w:szCs w:val="24"/>
    </w:rPr>
  </w:style>
  <w:style w:type="character" w:customStyle="1" w:styleId="72">
    <w:name w:val="批注框文本 Char"/>
    <w:link w:val="28"/>
    <w:qFormat/>
    <w:uiPriority w:val="0"/>
    <w:rPr>
      <w:kern w:val="2"/>
      <w:sz w:val="18"/>
      <w:szCs w:val="18"/>
    </w:rPr>
  </w:style>
  <w:style w:type="character" w:customStyle="1" w:styleId="73">
    <w:name w:val="页脚 Char1"/>
    <w:link w:val="29"/>
    <w:qFormat/>
    <w:uiPriority w:val="99"/>
    <w:rPr>
      <w:rFonts w:ascii="宋体" w:eastAsia="宋体"/>
      <w:sz w:val="18"/>
      <w:lang w:val="en-US" w:eastAsia="zh-CN" w:bidi="ar-SA"/>
    </w:rPr>
  </w:style>
  <w:style w:type="character" w:customStyle="1" w:styleId="74">
    <w:name w:val="页眉 Char1"/>
    <w:link w:val="30"/>
    <w:qFormat/>
    <w:uiPriority w:val="0"/>
    <w:rPr>
      <w:rFonts w:eastAsia="宋体"/>
      <w:kern w:val="2"/>
      <w:sz w:val="18"/>
      <w:szCs w:val="18"/>
      <w:lang w:val="en-US" w:eastAsia="zh-CN" w:bidi="ar-SA"/>
    </w:rPr>
  </w:style>
  <w:style w:type="character" w:customStyle="1" w:styleId="75">
    <w:name w:val="正文文本缩进 3 Char"/>
    <w:link w:val="34"/>
    <w:qFormat/>
    <w:uiPriority w:val="0"/>
    <w:rPr>
      <w:rFonts w:ascii="宋体"/>
      <w:sz w:val="24"/>
    </w:rPr>
  </w:style>
  <w:style w:type="character" w:customStyle="1" w:styleId="76">
    <w:name w:val="HTML 预设格式 Char"/>
    <w:link w:val="37"/>
    <w:qFormat/>
    <w:uiPriority w:val="0"/>
    <w:rPr>
      <w:rFonts w:ascii="宋体" w:hAnsi="宋体" w:cs="宋体"/>
      <w:sz w:val="24"/>
      <w:szCs w:val="24"/>
    </w:rPr>
  </w:style>
  <w:style w:type="character" w:customStyle="1" w:styleId="77">
    <w:name w:val="标题 Char1"/>
    <w:link w:val="40"/>
    <w:qFormat/>
    <w:uiPriority w:val="0"/>
    <w:rPr>
      <w:b/>
      <w:kern w:val="2"/>
      <w:sz w:val="32"/>
    </w:rPr>
  </w:style>
  <w:style w:type="character" w:customStyle="1" w:styleId="78">
    <w:name w:val="批注主题 Char"/>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正文首行缩进 2 Char"/>
    <w:link w:val="42"/>
    <w:qFormat/>
    <w:uiPriority w:val="0"/>
    <w:rPr>
      <w:rFonts w:eastAsia="宋体"/>
      <w:kern w:val="2"/>
      <w:sz w:val="24"/>
      <w:szCs w:val="24"/>
      <w:lang w:val="en-US" w:eastAsia="zh-CN" w:bidi="ar-SA"/>
    </w:rPr>
  </w:style>
  <w:style w:type="character" w:customStyle="1" w:styleId="80">
    <w:name w:val="chanpin1"/>
    <w:qFormat/>
    <w:uiPriority w:val="0"/>
    <w:rPr>
      <w:rFonts w:hint="default" w:ascii="ˎ̥" w:hAnsi="ˎ̥"/>
      <w:color w:val="000000"/>
      <w:sz w:val="20"/>
      <w:szCs w:val="20"/>
      <w:u w:val="none"/>
    </w:rPr>
  </w:style>
  <w:style w:type="character" w:customStyle="1" w:styleId="81">
    <w:name w:val="纯文本 字符1"/>
    <w:qFormat/>
    <w:uiPriority w:val="0"/>
    <w:rPr>
      <w:rFonts w:ascii="宋体" w:hAnsi="Courier New"/>
    </w:rPr>
  </w:style>
  <w:style w:type="character" w:customStyle="1" w:styleId="82">
    <w:name w:val="标题 3 Char"/>
    <w:qFormat/>
    <w:uiPriority w:val="0"/>
    <w:rPr>
      <w:rFonts w:ascii="宋体" w:eastAsia="宋体"/>
      <w:b/>
      <w:sz w:val="24"/>
      <w:u w:val="single"/>
      <w:lang w:val="en-US" w:eastAsia="zh-CN" w:bidi="ar-SA"/>
    </w:rPr>
  </w:style>
  <w:style w:type="character" w:customStyle="1" w:styleId="83">
    <w:name w:val="Char Char11"/>
    <w:qFormat/>
    <w:uiPriority w:val="0"/>
    <w:rPr>
      <w:rFonts w:ascii="宋体" w:eastAsia="宋体"/>
      <w:b/>
      <w:sz w:val="24"/>
      <w:u w:val="single"/>
      <w:lang w:val="en-US" w:eastAsia="zh-CN" w:bidi="ar-SA"/>
    </w:rPr>
  </w:style>
  <w:style w:type="character" w:customStyle="1" w:styleId="84">
    <w:name w:val="apple-style-span"/>
    <w:qFormat/>
    <w:uiPriority w:val="0"/>
    <w:rPr>
      <w:rFonts w:cs="Times New Roman"/>
    </w:rPr>
  </w:style>
  <w:style w:type="character" w:customStyle="1" w:styleId="85">
    <w:name w:val="标题 3 Char Char"/>
    <w:qFormat/>
    <w:uiPriority w:val="0"/>
    <w:rPr>
      <w:rFonts w:eastAsia="宋体"/>
      <w:b/>
      <w:bCs/>
      <w:kern w:val="2"/>
      <w:sz w:val="32"/>
      <w:szCs w:val="32"/>
      <w:lang w:val="en-US" w:eastAsia="zh-CN" w:bidi="ar-SA"/>
    </w:rPr>
  </w:style>
  <w:style w:type="character" w:customStyle="1" w:styleId="86">
    <w:name w:val="列出段落 Char"/>
    <w:qFormat/>
    <w:uiPriority w:val="0"/>
    <w:rPr>
      <w:rFonts w:ascii="Calibri" w:hAnsi="Calibri" w:eastAsia="宋体"/>
      <w:kern w:val="2"/>
      <w:sz w:val="21"/>
      <w:szCs w:val="22"/>
      <w:lang w:val="en-US" w:eastAsia="zh-CN" w:bidi="ar-SA"/>
    </w:rPr>
  </w:style>
  <w:style w:type="character" w:customStyle="1" w:styleId="87">
    <w:name w:val="批注文字 Char"/>
    <w:qFormat/>
    <w:uiPriority w:val="99"/>
    <w:rPr>
      <w:kern w:val="2"/>
      <w:sz w:val="21"/>
      <w:szCs w:val="24"/>
    </w:rPr>
  </w:style>
  <w:style w:type="character" w:customStyle="1" w:styleId="88">
    <w:name w:val="正文重点 Char"/>
    <w:link w:val="89"/>
    <w:qFormat/>
    <w:uiPriority w:val="0"/>
    <w:rPr>
      <w:b/>
      <w:sz w:val="24"/>
    </w:rPr>
  </w:style>
  <w:style w:type="paragraph" w:customStyle="1" w:styleId="89">
    <w:name w:val="正文重点"/>
    <w:basedOn w:val="1"/>
    <w:link w:val="88"/>
    <w:qFormat/>
    <w:uiPriority w:val="0"/>
    <w:pPr>
      <w:adjustRightInd w:val="0"/>
      <w:spacing w:line="360" w:lineRule="auto"/>
      <w:ind w:firstLine="482" w:firstLineChars="200"/>
      <w:jc w:val="left"/>
      <w:textAlignment w:val="baseline"/>
    </w:pPr>
    <w:rPr>
      <w:b/>
      <w:kern w:val="0"/>
      <w:sz w:val="24"/>
      <w:szCs w:val="20"/>
    </w:rPr>
  </w:style>
  <w:style w:type="character" w:customStyle="1" w:styleId="90">
    <w:name w:val="正文小标题 Char"/>
    <w:link w:val="91"/>
    <w:qFormat/>
    <w:uiPriority w:val="0"/>
    <w:rPr>
      <w:rFonts w:ascii="宋体" w:hAnsi="宋体"/>
      <w:b/>
      <w:i/>
      <w:color w:val="FF0000"/>
      <w:kern w:val="2"/>
      <w:sz w:val="24"/>
    </w:rPr>
  </w:style>
  <w:style w:type="paragraph" w:customStyle="1" w:styleId="91">
    <w:name w:val="正文小标题"/>
    <w:basedOn w:val="1"/>
    <w:next w:val="5"/>
    <w:link w:val="90"/>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92">
    <w:name w:val="中等深浅网格 1 - 强调文字颜色 2 Char"/>
    <w:link w:val="93"/>
    <w:qFormat/>
    <w:uiPriority w:val="0"/>
    <w:rPr>
      <w:kern w:val="2"/>
      <w:sz w:val="21"/>
      <w:szCs w:val="24"/>
      <w:lang w:val="zh-CN" w:eastAsia="zh-CN"/>
    </w:rPr>
  </w:style>
  <w:style w:type="paragraph" w:customStyle="1" w:styleId="93">
    <w:name w:val="1"/>
    <w:link w:val="92"/>
    <w:qFormat/>
    <w:uiPriority w:val="0"/>
    <w:rPr>
      <w:kern w:val="2"/>
      <w:sz w:val="21"/>
      <w:szCs w:val="24"/>
      <w:lang w:val="zh-CN" w:eastAsia="zh-CN" w:bidi="ar-SA"/>
    </w:rPr>
  </w:style>
  <w:style w:type="character" w:customStyle="1" w:styleId="94">
    <w:name w:val="title4"/>
    <w:qFormat/>
    <w:uiPriority w:val="0"/>
    <w:rPr>
      <w:b/>
      <w:bCs/>
      <w:color w:val="1D87B3"/>
      <w:sz w:val="15"/>
      <w:szCs w:val="15"/>
    </w:rPr>
  </w:style>
  <w:style w:type="character" w:customStyle="1" w:styleId="95">
    <w:name w:val="纯文本 字符"/>
    <w:qFormat/>
    <w:uiPriority w:val="99"/>
    <w:rPr>
      <w:rFonts w:ascii="宋体" w:hAnsi="Courier New" w:eastAsia="宋体" w:cs="Times New Roman"/>
      <w:kern w:val="2"/>
      <w:sz w:val="21"/>
      <w:szCs w:val="21"/>
      <w:lang w:val="en-US" w:eastAsia="zh-CN" w:bidi="ar-SA"/>
    </w:rPr>
  </w:style>
  <w:style w:type="character" w:customStyle="1" w:styleId="96">
    <w:name w:val="c21"/>
    <w:qFormat/>
    <w:uiPriority w:val="0"/>
    <w:rPr>
      <w:rFonts w:hint="default" w:ascii="ˎ̥" w:hAnsi="ˎ̥"/>
      <w:color w:val="000000"/>
      <w:sz w:val="20"/>
      <w:szCs w:val="20"/>
      <w:u w:val="none"/>
    </w:rPr>
  </w:style>
  <w:style w:type="character" w:customStyle="1" w:styleId="97">
    <w:name w:val="street-address"/>
    <w:qFormat/>
    <w:uiPriority w:val="0"/>
  </w:style>
  <w:style w:type="character" w:customStyle="1" w:styleId="98">
    <w:name w:val="Char Char111"/>
    <w:qFormat/>
    <w:uiPriority w:val="0"/>
    <w:rPr>
      <w:rFonts w:ascii="宋体" w:eastAsia="宋体"/>
      <w:b/>
      <w:sz w:val="24"/>
      <w:u w:val="single"/>
      <w:lang w:val="en-US" w:eastAsia="zh-CN" w:bidi="ar-SA"/>
    </w:rPr>
  </w:style>
  <w:style w:type="character" w:customStyle="1" w:styleId="99">
    <w:name w:val="bjh-p"/>
    <w:qFormat/>
    <w:uiPriority w:val="0"/>
  </w:style>
  <w:style w:type="character" w:customStyle="1" w:styleId="100">
    <w:name w:val="段1 Char"/>
    <w:qFormat/>
    <w:uiPriority w:val="0"/>
    <w:rPr>
      <w:rFonts w:ascii="宋体" w:eastAsia="宋体"/>
      <w:sz w:val="24"/>
      <w:lang w:val="en-US" w:eastAsia="zh-CN" w:bidi="ar-SA"/>
    </w:rPr>
  </w:style>
  <w:style w:type="character" w:customStyle="1" w:styleId="101">
    <w:name w:val="页脚 Char"/>
    <w:qFormat/>
    <w:uiPriority w:val="0"/>
    <w:rPr>
      <w:rFonts w:ascii="宋体" w:eastAsia="宋体"/>
      <w:sz w:val="18"/>
      <w:lang w:val="en-US" w:eastAsia="zh-CN" w:bidi="ar-SA"/>
    </w:rPr>
  </w:style>
  <w:style w:type="character" w:customStyle="1" w:styleId="102">
    <w:name w:val="页眉 Char"/>
    <w:qFormat/>
    <w:uiPriority w:val="0"/>
    <w:rPr>
      <w:rFonts w:eastAsia="宋体"/>
      <w:kern w:val="2"/>
      <w:sz w:val="18"/>
      <w:szCs w:val="18"/>
      <w:lang w:val="en-US" w:eastAsia="zh-CN" w:bidi="ar-SA"/>
    </w:rPr>
  </w:style>
  <w:style w:type="character" w:customStyle="1" w:styleId="103">
    <w:name w:val="locality"/>
    <w:qFormat/>
    <w:uiPriority w:val="0"/>
  </w:style>
  <w:style w:type="character" w:customStyle="1" w:styleId="104">
    <w:name w:val="正文大标题 Char"/>
    <w:link w:val="105"/>
    <w:qFormat/>
    <w:uiPriority w:val="0"/>
    <w:rPr>
      <w:rFonts w:ascii="宋体" w:hAnsi="宋体"/>
      <w:b/>
      <w:color w:val="000000"/>
      <w:kern w:val="2"/>
      <w:sz w:val="28"/>
      <w:szCs w:val="21"/>
    </w:rPr>
  </w:style>
  <w:style w:type="paragraph" w:customStyle="1" w:styleId="105">
    <w:name w:val="正文大标题"/>
    <w:basedOn w:val="91"/>
    <w:next w:val="5"/>
    <w:link w:val="104"/>
    <w:qFormat/>
    <w:uiPriority w:val="0"/>
    <w:pPr>
      <w:jc w:val="center"/>
    </w:pPr>
    <w:rPr>
      <w:i w:val="0"/>
      <w:color w:val="000000"/>
      <w:sz w:val="28"/>
      <w:szCs w:val="21"/>
    </w:rPr>
  </w:style>
  <w:style w:type="character" w:customStyle="1" w:styleId="106">
    <w:name w:val="列出段落 Char1"/>
    <w:link w:val="107"/>
    <w:qFormat/>
    <w:uiPriority w:val="34"/>
    <w:rPr>
      <w:rFonts w:ascii="Calibri" w:hAnsi="Calibri" w:eastAsia="宋体"/>
      <w:kern w:val="2"/>
      <w:sz w:val="21"/>
      <w:szCs w:val="22"/>
      <w:lang w:val="en-US" w:eastAsia="zh-CN" w:bidi="ar-SA"/>
    </w:rPr>
  </w:style>
  <w:style w:type="paragraph" w:styleId="107">
    <w:name w:val="List Paragraph"/>
    <w:basedOn w:val="1"/>
    <w:link w:val="106"/>
    <w:qFormat/>
    <w:uiPriority w:val="34"/>
    <w:pPr>
      <w:ind w:firstLine="420" w:firstLineChars="200"/>
    </w:pPr>
    <w:rPr>
      <w:rFonts w:ascii="Calibri" w:hAnsi="Calibri"/>
      <w:szCs w:val="22"/>
    </w:rPr>
  </w:style>
  <w:style w:type="character" w:customStyle="1" w:styleId="108">
    <w:name w:val="标题 2 Char Char"/>
    <w:qFormat/>
    <w:uiPriority w:val="0"/>
    <w:rPr>
      <w:rFonts w:ascii="Arial" w:hAnsi="Arial" w:eastAsia="黑体"/>
      <w:b/>
      <w:bCs/>
      <w:kern w:val="2"/>
      <w:sz w:val="32"/>
      <w:szCs w:val="32"/>
      <w:lang w:val="en-US" w:eastAsia="zh-CN" w:bidi="ar-SA"/>
    </w:rPr>
  </w:style>
  <w:style w:type="character" w:customStyle="1" w:styleId="109">
    <w:name w:val="black1"/>
    <w:qFormat/>
    <w:uiPriority w:val="0"/>
    <w:rPr>
      <w:color w:val="000000"/>
    </w:rPr>
  </w:style>
  <w:style w:type="character" w:customStyle="1" w:styleId="110">
    <w:name w:val="纯文本 Char1"/>
    <w:qFormat/>
    <w:uiPriority w:val="0"/>
    <w:rPr>
      <w:rFonts w:ascii="宋体" w:hAnsi="Courier New" w:eastAsia="宋体"/>
      <w:kern w:val="2"/>
      <w:sz w:val="21"/>
      <w:lang w:val="en-US" w:eastAsia="zh-CN" w:bidi="ar-SA"/>
    </w:rPr>
  </w:style>
  <w:style w:type="character" w:customStyle="1" w:styleId="111">
    <w:name w:val="正文缩进 Char"/>
    <w:qFormat/>
    <w:uiPriority w:val="0"/>
    <w:rPr>
      <w:rFonts w:ascii="宋体" w:eastAsia="宋体"/>
      <w:kern w:val="2"/>
      <w:sz w:val="24"/>
      <w:szCs w:val="24"/>
      <w:lang w:val="en-US" w:eastAsia="zh-CN" w:bidi="ar-SA"/>
    </w:rPr>
  </w:style>
  <w:style w:type="character" w:customStyle="1" w:styleId="112">
    <w:name w:val="正文文本缩进 Char"/>
    <w:qFormat/>
    <w:uiPriority w:val="0"/>
    <w:rPr>
      <w:rFonts w:eastAsia="宋体"/>
      <w:kern w:val="2"/>
      <w:sz w:val="24"/>
      <w:szCs w:val="24"/>
      <w:lang w:val="en-US" w:eastAsia="zh-CN" w:bidi="ar-SA"/>
    </w:rPr>
  </w:style>
  <w:style w:type="character" w:customStyle="1" w:styleId="113">
    <w:name w:val="正文格式 Char"/>
    <w:link w:val="114"/>
    <w:qFormat/>
    <w:locked/>
    <w:uiPriority w:val="0"/>
    <w:rPr>
      <w:rFonts w:ascii="宋体" w:hAnsi="宋体"/>
      <w:sz w:val="24"/>
      <w:szCs w:val="24"/>
      <w:lang w:val="en-GB"/>
    </w:rPr>
  </w:style>
  <w:style w:type="paragraph" w:customStyle="1" w:styleId="114">
    <w:name w:val="正文格式"/>
    <w:basedOn w:val="1"/>
    <w:link w:val="113"/>
    <w:qFormat/>
    <w:uiPriority w:val="0"/>
    <w:pPr>
      <w:spacing w:beforeLines="50" w:line="360" w:lineRule="auto"/>
      <w:ind w:firstLine="480" w:firstLineChars="200"/>
    </w:pPr>
    <w:rPr>
      <w:rFonts w:ascii="宋体" w:hAnsi="宋体"/>
      <w:kern w:val="0"/>
      <w:sz w:val="24"/>
      <w:lang w:val="en-GB"/>
    </w:rPr>
  </w:style>
  <w:style w:type="character" w:customStyle="1" w:styleId="115">
    <w:name w:val="正文表格 Char"/>
    <w:link w:val="116"/>
    <w:qFormat/>
    <w:uiPriority w:val="0"/>
    <w:rPr>
      <w:rFonts w:ascii="宋体" w:hAnsi="宋体"/>
      <w:color w:val="000000"/>
      <w:kern w:val="2"/>
      <w:sz w:val="21"/>
      <w:szCs w:val="21"/>
    </w:rPr>
  </w:style>
  <w:style w:type="paragraph" w:customStyle="1" w:styleId="116">
    <w:name w:val="正文表格"/>
    <w:basedOn w:val="1"/>
    <w:link w:val="115"/>
    <w:qFormat/>
    <w:uiPriority w:val="0"/>
    <w:pPr>
      <w:adjustRightInd w:val="0"/>
      <w:snapToGrid w:val="0"/>
      <w:jc w:val="left"/>
    </w:pPr>
    <w:rPr>
      <w:rFonts w:ascii="宋体" w:hAnsi="宋体"/>
      <w:color w:val="000000"/>
      <w:szCs w:val="21"/>
    </w:rPr>
  </w:style>
  <w:style w:type="character" w:customStyle="1" w:styleId="117">
    <w:name w:val="正文缩进 Char Char"/>
    <w:link w:val="118"/>
    <w:qFormat/>
    <w:uiPriority w:val="0"/>
    <w:rPr>
      <w:rFonts w:ascii="宋体" w:eastAsia="宋体"/>
      <w:snapToGrid w:val="0"/>
      <w:color w:val="000000"/>
      <w:kern w:val="28"/>
      <w:sz w:val="28"/>
      <w:lang w:bidi="ar-SA"/>
    </w:rPr>
  </w:style>
  <w:style w:type="paragraph" w:customStyle="1" w:styleId="118">
    <w:name w:val="正文缩进1"/>
    <w:basedOn w:val="1"/>
    <w:link w:val="11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9">
    <w:name w:val="注释 Char"/>
    <w:link w:val="120"/>
    <w:qFormat/>
    <w:uiPriority w:val="0"/>
    <w:rPr>
      <w:rFonts w:ascii="宋体" w:hAnsi="宋体"/>
      <w:kern w:val="2"/>
      <w:sz w:val="21"/>
      <w:szCs w:val="21"/>
    </w:rPr>
  </w:style>
  <w:style w:type="paragraph" w:customStyle="1" w:styleId="120">
    <w:name w:val="注释"/>
    <w:basedOn w:val="1"/>
    <w:link w:val="119"/>
    <w:qFormat/>
    <w:uiPriority w:val="0"/>
    <w:pPr>
      <w:adjustRightInd w:val="0"/>
      <w:snapToGrid w:val="0"/>
      <w:ind w:left="420" w:hanging="420" w:hangingChars="200"/>
      <w:jc w:val="left"/>
    </w:pPr>
    <w:rPr>
      <w:rFonts w:ascii="宋体" w:hAnsi="宋体"/>
      <w:szCs w:val="21"/>
    </w:rPr>
  </w:style>
  <w:style w:type="character" w:customStyle="1" w:styleId="121">
    <w:name w:val="chanpin拷贝"/>
    <w:qFormat/>
    <w:uiPriority w:val="0"/>
  </w:style>
  <w:style w:type="character" w:customStyle="1" w:styleId="122">
    <w:name w:val="txt"/>
    <w:qFormat/>
    <w:uiPriority w:val="0"/>
  </w:style>
  <w:style w:type="character" w:customStyle="1" w:styleId="123">
    <w:name w:val="标题 2 Char"/>
    <w:qFormat/>
    <w:uiPriority w:val="0"/>
    <w:rPr>
      <w:rFonts w:ascii="Arial" w:hAnsi="Arial" w:eastAsia="黑体"/>
      <w:b/>
      <w:sz w:val="30"/>
      <w:lang w:val="en-US" w:eastAsia="zh-CN" w:bidi="ar-SA"/>
    </w:rPr>
  </w:style>
  <w:style w:type="character" w:customStyle="1" w:styleId="124">
    <w:name w:val="正文文本缩进 Char1"/>
    <w:link w:val="125"/>
    <w:qFormat/>
    <w:uiPriority w:val="0"/>
    <w:rPr>
      <w:rFonts w:ascii="宋体" w:hAnsi="宋体" w:eastAsia="宋体"/>
      <w:sz w:val="24"/>
      <w:szCs w:val="24"/>
      <w:lang w:bidi="ar-SA"/>
    </w:rPr>
  </w:style>
  <w:style w:type="paragraph" w:customStyle="1" w:styleId="125">
    <w:name w:val="正文文本缩进1"/>
    <w:basedOn w:val="1"/>
    <w:link w:val="124"/>
    <w:qFormat/>
    <w:uiPriority w:val="0"/>
    <w:pPr>
      <w:spacing w:line="480" w:lineRule="exact"/>
      <w:ind w:firstLine="480" w:firstLineChars="200"/>
    </w:pPr>
    <w:rPr>
      <w:rFonts w:ascii="宋体" w:hAnsi="宋体"/>
      <w:kern w:val="0"/>
      <w:sz w:val="24"/>
    </w:rPr>
  </w:style>
  <w:style w:type="character" w:customStyle="1" w:styleId="126">
    <w:name w:val="普通文字1 Char1"/>
    <w:qFormat/>
    <w:uiPriority w:val="0"/>
    <w:rPr>
      <w:rFonts w:ascii="宋体" w:hAnsi="Courier New" w:eastAsia="宋体"/>
      <w:kern w:val="2"/>
      <w:sz w:val="21"/>
      <w:lang w:val="en-US" w:eastAsia="zh-CN" w:bidi="ar-SA"/>
    </w:rPr>
  </w:style>
  <w:style w:type="character" w:customStyle="1" w:styleId="127">
    <w:name w:val="批注文字 字符"/>
    <w:qFormat/>
    <w:uiPriority w:val="99"/>
    <w:rPr>
      <w:rFonts w:ascii="Times New Roman" w:hAnsi="Times New Roman" w:eastAsia="宋体" w:cs="Times New Roman"/>
      <w:sz w:val="24"/>
      <w:lang w:val="en-US" w:eastAsia="zh-CN" w:bidi="ar-SA"/>
    </w:rPr>
  </w:style>
  <w:style w:type="character" w:customStyle="1" w:styleId="128">
    <w:name w:val="标题 Char"/>
    <w:qFormat/>
    <w:uiPriority w:val="0"/>
    <w:rPr>
      <w:b/>
      <w:kern w:val="2"/>
      <w:sz w:val="32"/>
    </w:rPr>
  </w:style>
  <w:style w:type="paragraph" w:customStyle="1" w:styleId="129">
    <w:name w:val="TOC 标题1"/>
    <w:basedOn w:val="2"/>
    <w:next w:val="1"/>
    <w:unhideWhenUsed/>
    <w:qFormat/>
    <w:uiPriority w:val="39"/>
    <w:pPr>
      <w:outlineLvl w:val="9"/>
    </w:pPr>
    <w:rPr>
      <w:sz w:val="28"/>
      <w:szCs w:val="24"/>
    </w:rPr>
  </w:style>
  <w:style w:type="paragraph" w:customStyle="1" w:styleId="130">
    <w:name w:val="Char22"/>
    <w:basedOn w:val="1"/>
    <w:qFormat/>
    <w:uiPriority w:val="0"/>
    <w:rPr>
      <w:rFonts w:ascii="Tahoma" w:hAnsi="Tahoma"/>
      <w:sz w:val="24"/>
      <w:szCs w:val="20"/>
    </w:rPr>
  </w:style>
  <w:style w:type="paragraph" w:customStyle="1" w:styleId="131">
    <w:name w:val="Char2 Char Char Char Char Char Char1"/>
    <w:basedOn w:val="1"/>
    <w:qFormat/>
    <w:uiPriority w:val="0"/>
    <w:pPr>
      <w:widowControl/>
      <w:spacing w:line="400" w:lineRule="exact"/>
      <w:jc w:val="center"/>
    </w:pPr>
  </w:style>
  <w:style w:type="paragraph" w:customStyle="1" w:styleId="13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3">
    <w:name w:val="Char Char41"/>
    <w:basedOn w:val="1"/>
    <w:qFormat/>
    <w:uiPriority w:val="0"/>
    <w:pPr>
      <w:widowControl/>
      <w:spacing w:line="400" w:lineRule="exact"/>
      <w:jc w:val="center"/>
    </w:p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 Char Char Char Char Char Char Char Char2"/>
    <w:basedOn w:val="1"/>
    <w:qFormat/>
    <w:uiPriority w:val="0"/>
    <w:rPr>
      <w:rFonts w:ascii="宋体" w:hAnsi="宋体" w:cs="Courier New"/>
      <w:sz w:val="32"/>
      <w:szCs w:val="32"/>
    </w:rPr>
  </w:style>
  <w:style w:type="paragraph" w:customStyle="1" w:styleId="1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40">
    <w:name w:val="默认段落字体 Para Char Char Char Char"/>
    <w:basedOn w:val="1"/>
    <w:qFormat/>
    <w:uiPriority w:val="0"/>
    <w:rPr>
      <w:rFonts w:ascii="Arial" w:hAnsi="Arial" w:cs="Arial"/>
      <w:szCs w:val="21"/>
    </w:rPr>
  </w:style>
  <w:style w:type="paragraph" w:customStyle="1" w:styleId="141">
    <w:name w:val="Char Char Char2"/>
    <w:basedOn w:val="1"/>
    <w:qFormat/>
    <w:uiPriority w:val="0"/>
    <w:rPr>
      <w:rFonts w:ascii="Tahoma" w:hAnsi="Tahoma"/>
      <w:sz w:val="24"/>
      <w:szCs w:val="20"/>
    </w:rPr>
  </w:style>
  <w:style w:type="paragraph" w:customStyle="1" w:styleId="142">
    <w:name w:val="图文"/>
    <w:basedOn w:val="1"/>
    <w:qFormat/>
    <w:uiPriority w:val="0"/>
    <w:pPr>
      <w:adjustRightInd w:val="0"/>
      <w:snapToGrid w:val="0"/>
      <w:spacing w:after="50" w:line="360" w:lineRule="auto"/>
    </w:pPr>
    <w:rPr>
      <w:sz w:val="24"/>
    </w:rPr>
  </w:style>
  <w:style w:type="paragraph" w:customStyle="1" w:styleId="143">
    <w:name w:val="Char Char Char1"/>
    <w:basedOn w:val="1"/>
    <w:qFormat/>
    <w:uiPriority w:val="0"/>
    <w:rPr>
      <w:rFonts w:ascii="Tahoma" w:hAnsi="Tahoma"/>
      <w:sz w:val="24"/>
      <w:szCs w:val="20"/>
    </w:rPr>
  </w:style>
  <w:style w:type="paragraph" w:customStyle="1" w:styleId="144">
    <w:name w:val="Char1 Char Char Char1"/>
    <w:basedOn w:val="1"/>
    <w:qFormat/>
    <w:uiPriority w:val="0"/>
    <w:rPr>
      <w:rFonts w:ascii="Tahoma" w:hAnsi="Tahoma" w:cs="仿宋_GB2312"/>
      <w:sz w:val="24"/>
      <w:szCs w:val="28"/>
    </w:rPr>
  </w:style>
  <w:style w:type="paragraph" w:customStyle="1" w:styleId="145">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4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4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2"/>
    <w:basedOn w:val="1"/>
    <w:qFormat/>
    <w:uiPriority w:val="0"/>
    <w:rPr>
      <w:rFonts w:ascii="Tahoma" w:hAnsi="Tahoma"/>
      <w:sz w:val="24"/>
      <w:szCs w:val="20"/>
    </w:rPr>
  </w:style>
  <w:style w:type="paragraph" w:customStyle="1" w:styleId="149">
    <w:name w:val="列出段落2"/>
    <w:basedOn w:val="1"/>
    <w:qFormat/>
    <w:uiPriority w:val="0"/>
    <w:pPr>
      <w:ind w:firstLine="420" w:firstLineChars="200"/>
    </w:pPr>
    <w:rPr>
      <w:rFonts w:ascii="Calibri" w:hAnsi="Calibri"/>
      <w:szCs w:val="22"/>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55">
    <w:name w:val="Char21"/>
    <w:basedOn w:val="1"/>
    <w:qFormat/>
    <w:uiPriority w:val="0"/>
    <w:rPr>
      <w:rFonts w:ascii="Tahoma" w:hAnsi="Tahoma"/>
      <w:sz w:val="24"/>
      <w:szCs w:val="20"/>
    </w:rPr>
  </w:style>
  <w:style w:type="paragraph" w:customStyle="1" w:styleId="156">
    <w:name w:val="修订2"/>
    <w:unhideWhenUsed/>
    <w:qFormat/>
    <w:uiPriority w:val="99"/>
    <w:rPr>
      <w:kern w:val="2"/>
      <w:sz w:val="21"/>
      <w:szCs w:val="24"/>
      <w:lang w:val="en-US" w:eastAsia="zh-CN" w:bidi="ar-SA"/>
    </w:rPr>
  </w:style>
  <w:style w:type="paragraph" w:customStyle="1" w:styleId="15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58">
    <w:name w:val="一级条标题"/>
    <w:basedOn w:val="159"/>
    <w:next w:val="1"/>
    <w:qFormat/>
    <w:uiPriority w:val="0"/>
    <w:pPr>
      <w:numPr>
        <w:ilvl w:val="1"/>
      </w:numPr>
      <w:tabs>
        <w:tab w:val="left" w:pos="360"/>
        <w:tab w:val="left" w:pos="840"/>
      </w:tabs>
      <w:ind w:left="0" w:hanging="840"/>
      <w:outlineLvl w:val="1"/>
    </w:pPr>
  </w:style>
  <w:style w:type="paragraph" w:customStyle="1" w:styleId="159">
    <w:name w:val="章标题"/>
    <w:next w:val="1"/>
    <w:qFormat/>
    <w:uiPriority w:val="0"/>
    <w:pPr>
      <w:numPr>
        <w:ilvl w:val="0"/>
        <w:numId w:val="1"/>
      </w:numPr>
      <w:spacing w:beforeLines="50" w:afterLines="50" w:line="460" w:lineRule="exact"/>
      <w:ind w:left="0"/>
      <w:jc w:val="both"/>
      <w:outlineLvl w:val="0"/>
    </w:pPr>
    <w:rPr>
      <w:rFonts w:ascii="黑体" w:eastAsia="黑体"/>
      <w:b/>
      <w:sz w:val="28"/>
      <w:lang w:val="en-US" w:eastAsia="zh-CN" w:bidi="ar-SA"/>
    </w:rPr>
  </w:style>
  <w:style w:type="paragraph" w:customStyle="1" w:styleId="160">
    <w:name w:val="正文 + 楷体_GB2312"/>
    <w:basedOn w:val="1"/>
    <w:qFormat/>
    <w:uiPriority w:val="0"/>
    <w:pPr>
      <w:widowControl/>
      <w:jc w:val="left"/>
    </w:pPr>
    <w:rPr>
      <w:rFonts w:ascii="楷体_GB2312" w:eastAsia="楷体_GB2312" w:cs="Arial"/>
      <w:kern w:val="0"/>
      <w:sz w:val="24"/>
    </w:rPr>
  </w:style>
  <w:style w:type="paragraph" w:customStyle="1" w:styleId="161">
    <w:name w:val="_Style 3"/>
    <w:basedOn w:val="1"/>
    <w:qFormat/>
    <w:uiPriority w:val="34"/>
    <w:pPr>
      <w:ind w:firstLine="420" w:firstLineChars="200"/>
    </w:pPr>
    <w:rPr>
      <w:rFonts w:ascii="Calibri" w:hAnsi="Calibri"/>
      <w:szCs w:val="22"/>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4">
    <w:name w:val="_Style 2"/>
    <w:basedOn w:val="1"/>
    <w:qFormat/>
    <w:uiPriority w:val="34"/>
    <w:pPr>
      <w:ind w:firstLine="420" w:firstLineChars="200"/>
    </w:pPr>
    <w:rPr>
      <w:rFonts w:ascii="Calibri" w:hAnsi="Calibri"/>
      <w:szCs w:val="22"/>
    </w:rPr>
  </w:style>
  <w:style w:type="paragraph" w:customStyle="1" w:styleId="165">
    <w:name w:val="样式 标题 2 + 宋体 五号 行距: 单倍行距"/>
    <w:basedOn w:val="3"/>
    <w:qFormat/>
    <w:uiPriority w:val="0"/>
    <w:pPr>
      <w:numPr>
        <w:ilvl w:val="1"/>
        <w:numId w:val="2"/>
      </w:numPr>
      <w:autoSpaceDE/>
      <w:autoSpaceDN/>
      <w:spacing w:before="260" w:after="260" w:line="240" w:lineRule="auto"/>
      <w:jc w:val="left"/>
      <w:textAlignment w:val="baseline"/>
    </w:pPr>
    <w:rPr>
      <w:rFonts w:ascii="宋体" w:hAnsi="宋体" w:eastAsia="宋体"/>
      <w:bCs/>
      <w:sz w:val="21"/>
    </w:rPr>
  </w:style>
  <w:style w:type="paragraph" w:customStyle="1" w:styleId="16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67">
    <w:name w:val="Char Char Char Char Char Char Char Char Char Char"/>
    <w:basedOn w:val="1"/>
    <w:qFormat/>
    <w:uiPriority w:val="0"/>
  </w:style>
  <w:style w:type="paragraph" w:customStyle="1" w:styleId="16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9">
    <w:name w:val="正文须知-1级"/>
    <w:basedOn w:val="1"/>
    <w:next w:val="1"/>
    <w:qFormat/>
    <w:uiPriority w:val="0"/>
    <w:pPr>
      <w:numPr>
        <w:ilvl w:val="0"/>
        <w:numId w:val="3"/>
      </w:numPr>
      <w:adjustRightInd w:val="0"/>
      <w:snapToGrid w:val="0"/>
      <w:spacing w:line="300" w:lineRule="auto"/>
    </w:pPr>
    <w:rPr>
      <w:rFonts w:ascii="宋体" w:hAnsi="Calibri"/>
      <w:sz w:val="24"/>
      <w:szCs w:val="21"/>
    </w:rPr>
  </w:style>
  <w:style w:type="paragraph" w:customStyle="1" w:styleId="170">
    <w:name w:val="Char Char Char"/>
    <w:basedOn w:val="1"/>
    <w:qFormat/>
    <w:uiPriority w:val="0"/>
    <w:rPr>
      <w:rFonts w:ascii="Tahoma" w:hAnsi="Tahoma"/>
      <w:sz w:val="24"/>
      <w:szCs w:val="20"/>
    </w:rPr>
  </w:style>
  <w:style w:type="paragraph" w:customStyle="1" w:styleId="171">
    <w:name w:val="图中文字"/>
    <w:basedOn w:val="1"/>
    <w:qFormat/>
    <w:uiPriority w:val="0"/>
    <w:pPr>
      <w:adjustRightInd w:val="0"/>
      <w:snapToGrid w:val="0"/>
      <w:spacing w:line="0" w:lineRule="atLeast"/>
      <w:jc w:val="center"/>
    </w:pPr>
    <w:rPr>
      <w:sz w:val="24"/>
      <w:szCs w:val="20"/>
    </w:rPr>
  </w:style>
  <w:style w:type="paragraph" w:customStyle="1" w:styleId="17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3">
    <w:name w:val="Char3 Char Char Char1"/>
    <w:basedOn w:val="1"/>
    <w:qFormat/>
    <w:uiPriority w:val="0"/>
    <w:rPr>
      <w:rFonts w:ascii="Tahoma" w:hAnsi="Tahoma"/>
      <w:sz w:val="24"/>
      <w:szCs w:val="20"/>
    </w:rPr>
  </w:style>
  <w:style w:type="paragraph" w:customStyle="1" w:styleId="17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5">
    <w:name w:val="项目编号2"/>
    <w:basedOn w:val="176"/>
    <w:qFormat/>
    <w:uiPriority w:val="0"/>
    <w:pPr>
      <w:numPr>
        <w:numId w:val="4"/>
      </w:numPr>
    </w:pPr>
  </w:style>
  <w:style w:type="paragraph" w:customStyle="1" w:styleId="176">
    <w:name w:val="项目编号1"/>
    <w:basedOn w:val="1"/>
    <w:qFormat/>
    <w:uiPriority w:val="0"/>
    <w:pPr>
      <w:numPr>
        <w:ilvl w:val="0"/>
        <w:numId w:val="5"/>
      </w:numPr>
      <w:spacing w:before="100" w:beforeAutospacing="1" w:after="100" w:afterAutospacing="1" w:line="360" w:lineRule="auto"/>
    </w:pPr>
    <w:rPr>
      <w:sz w:val="24"/>
    </w:rPr>
  </w:style>
  <w:style w:type="paragraph" w:customStyle="1" w:styleId="177">
    <w:name w:val="Char3 Char Char Char2"/>
    <w:basedOn w:val="1"/>
    <w:qFormat/>
    <w:uiPriority w:val="0"/>
    <w:rPr>
      <w:rFonts w:ascii="Tahoma" w:hAnsi="Tahoma"/>
      <w:sz w:val="24"/>
      <w:szCs w:val="20"/>
    </w:rPr>
  </w:style>
  <w:style w:type="paragraph" w:customStyle="1" w:styleId="178">
    <w:name w:val="字元 字元1"/>
    <w:basedOn w:val="1"/>
    <w:qFormat/>
    <w:uiPriority w:val="0"/>
    <w:rPr>
      <w:rFonts w:ascii="Tahoma" w:hAnsi="Tahoma"/>
      <w:sz w:val="24"/>
      <w:szCs w:val="20"/>
    </w:rPr>
  </w:style>
  <w:style w:type="paragraph" w:customStyle="1" w:styleId="17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0">
    <w:name w:val="正文须知-3级"/>
    <w:basedOn w:val="1"/>
    <w:qFormat/>
    <w:uiPriority w:val="0"/>
    <w:pPr>
      <w:numPr>
        <w:ilvl w:val="2"/>
        <w:numId w:val="3"/>
      </w:numPr>
      <w:adjustRightInd w:val="0"/>
      <w:snapToGrid w:val="0"/>
      <w:spacing w:line="300" w:lineRule="auto"/>
      <w:ind w:hanging="355" w:hangingChars="355"/>
    </w:pPr>
    <w:rPr>
      <w:rFonts w:ascii="宋体" w:hAnsi="Calibri"/>
      <w:sz w:val="24"/>
      <w:szCs w:val="21"/>
    </w:rPr>
  </w:style>
  <w:style w:type="paragraph" w:customStyle="1" w:styleId="181">
    <w:name w:val="无标题条"/>
    <w:next w:val="1"/>
    <w:qFormat/>
    <w:uiPriority w:val="0"/>
    <w:pPr>
      <w:jc w:val="both"/>
    </w:pPr>
    <w:rPr>
      <w:sz w:val="21"/>
      <w:lang w:val="en-US" w:eastAsia="zh-CN" w:bidi="ar-SA"/>
    </w:rPr>
  </w:style>
  <w:style w:type="paragraph" w:customStyle="1" w:styleId="18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84">
    <w:name w:val="图例"/>
    <w:basedOn w:val="1"/>
    <w:qFormat/>
    <w:uiPriority w:val="0"/>
    <w:pPr>
      <w:spacing w:before="120" w:after="120" w:line="360" w:lineRule="auto"/>
      <w:jc w:val="center"/>
    </w:pPr>
    <w:rPr>
      <w:rFonts w:eastAsia="仿宋_GB2312"/>
      <w:b/>
      <w:sz w:val="24"/>
      <w:szCs w:val="20"/>
    </w:rPr>
  </w:style>
  <w:style w:type="paragraph" w:customStyle="1" w:styleId="18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7">
    <w:name w:val="Default"/>
    <w:qFormat/>
    <w:uiPriority w:val="0"/>
    <w:pPr>
      <w:widowControl w:val="0"/>
      <w:autoSpaceDE w:val="0"/>
      <w:autoSpaceDN w:val="0"/>
      <w:adjustRightInd w:val="0"/>
    </w:pPr>
    <w:rPr>
      <w:rFonts w:ascii="Symbol" w:hAnsi="Symbol" w:cs="Symbol"/>
      <w:color w:val="000000"/>
      <w:sz w:val="24"/>
      <w:szCs w:val="24"/>
      <w:lang w:val="en-US" w:eastAsia="zh-CN" w:bidi="ar-SA"/>
    </w:rPr>
  </w:style>
  <w:style w:type="paragraph" w:customStyle="1" w:styleId="18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89">
    <w:name w:val="项目编号3"/>
    <w:basedOn w:val="190"/>
    <w:qFormat/>
    <w:uiPriority w:val="0"/>
    <w:pPr>
      <w:numPr>
        <w:ilvl w:val="0"/>
        <w:numId w:val="6"/>
      </w:numPr>
    </w:pPr>
  </w:style>
  <w:style w:type="paragraph" w:customStyle="1" w:styleId="190">
    <w:name w:val="正文文本样式"/>
    <w:basedOn w:val="1"/>
    <w:qFormat/>
    <w:uiPriority w:val="0"/>
    <w:pPr>
      <w:spacing w:line="360" w:lineRule="auto"/>
      <w:ind w:firstLine="482"/>
    </w:pPr>
    <w:rPr>
      <w:rFonts w:cs="宋体"/>
      <w:sz w:val="24"/>
      <w:szCs w:val="20"/>
    </w:rPr>
  </w:style>
  <w:style w:type="paragraph" w:customStyle="1" w:styleId="191">
    <w:name w:val="正文须知-2级"/>
    <w:basedOn w:val="1"/>
    <w:qFormat/>
    <w:uiPriority w:val="0"/>
    <w:pPr>
      <w:numPr>
        <w:ilvl w:val="1"/>
        <w:numId w:val="3"/>
      </w:numPr>
      <w:adjustRightInd w:val="0"/>
      <w:snapToGrid w:val="0"/>
      <w:spacing w:line="300" w:lineRule="auto"/>
    </w:pPr>
    <w:rPr>
      <w:rFonts w:ascii="宋体" w:hAnsi="Calibri"/>
      <w:sz w:val="24"/>
      <w:szCs w:val="21"/>
    </w:rPr>
  </w:style>
  <w:style w:type="paragraph" w:customStyle="1" w:styleId="192">
    <w:name w:val="五级条标题"/>
    <w:basedOn w:val="193"/>
    <w:next w:val="1"/>
    <w:qFormat/>
    <w:uiPriority w:val="0"/>
    <w:pPr>
      <w:numPr>
        <w:ilvl w:val="5"/>
      </w:numPr>
      <w:tabs>
        <w:tab w:val="left" w:pos="360"/>
        <w:tab w:val="left" w:pos="840"/>
      </w:tabs>
      <w:ind w:left="0" w:hanging="840"/>
      <w:outlineLvl w:val="5"/>
    </w:pPr>
  </w:style>
  <w:style w:type="paragraph" w:customStyle="1" w:styleId="193">
    <w:name w:val="四级条标题"/>
    <w:basedOn w:val="194"/>
    <w:next w:val="1"/>
    <w:qFormat/>
    <w:uiPriority w:val="0"/>
    <w:pPr>
      <w:numPr>
        <w:ilvl w:val="4"/>
      </w:numPr>
      <w:tabs>
        <w:tab w:val="left" w:pos="360"/>
        <w:tab w:val="left" w:pos="840"/>
      </w:tabs>
      <w:ind w:left="0" w:hanging="840"/>
      <w:outlineLvl w:val="4"/>
    </w:pPr>
  </w:style>
  <w:style w:type="paragraph" w:customStyle="1" w:styleId="194">
    <w:name w:val="三级条标题"/>
    <w:basedOn w:val="195"/>
    <w:next w:val="1"/>
    <w:qFormat/>
    <w:uiPriority w:val="0"/>
    <w:pPr>
      <w:numPr>
        <w:ilvl w:val="3"/>
        <w:numId w:val="1"/>
      </w:numPr>
      <w:tabs>
        <w:tab w:val="left" w:pos="360"/>
        <w:tab w:val="left" w:pos="840"/>
      </w:tabs>
      <w:ind w:left="0" w:hanging="840"/>
      <w:outlineLvl w:val="3"/>
    </w:pPr>
  </w:style>
  <w:style w:type="paragraph" w:customStyle="1" w:styleId="195">
    <w:name w:val="二级条标题"/>
    <w:basedOn w:val="158"/>
    <w:next w:val="1"/>
    <w:qFormat/>
    <w:uiPriority w:val="0"/>
    <w:pPr>
      <w:numPr>
        <w:ilvl w:val="0"/>
        <w:numId w:val="0"/>
      </w:numPr>
      <w:ind w:hanging="840"/>
      <w:outlineLvl w:val="2"/>
    </w:pPr>
    <w:rPr>
      <w:rFonts w:ascii="宋体" w:eastAsia="宋体"/>
      <w:b w:val="0"/>
    </w:rPr>
  </w:style>
  <w:style w:type="paragraph" w:customStyle="1" w:styleId="196">
    <w:name w:val="Char Char4"/>
    <w:basedOn w:val="1"/>
    <w:qFormat/>
    <w:uiPriority w:val="0"/>
    <w:pPr>
      <w:widowControl/>
      <w:spacing w:line="400" w:lineRule="exact"/>
      <w:jc w:val="center"/>
    </w:pPr>
  </w:style>
  <w:style w:type="paragraph" w:customStyle="1" w:styleId="1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9">
    <w:name w:val="1名"/>
    <w:basedOn w:val="1"/>
    <w:qFormat/>
    <w:uiPriority w:val="0"/>
    <w:pPr>
      <w:numPr>
        <w:ilvl w:val="0"/>
        <w:numId w:val="7"/>
      </w:numPr>
      <w:spacing w:before="120"/>
    </w:pPr>
    <w:rPr>
      <w:rFonts w:ascii="宋体"/>
      <w:sz w:val="28"/>
      <w:szCs w:val="20"/>
    </w:rPr>
  </w:style>
  <w:style w:type="paragraph" w:customStyle="1" w:styleId="200">
    <w:name w:val="正文文本样式 加粗"/>
    <w:basedOn w:val="190"/>
    <w:qFormat/>
    <w:uiPriority w:val="0"/>
    <w:rPr>
      <w:b/>
    </w:rPr>
  </w:style>
  <w:style w:type="paragraph" w:customStyle="1" w:styleId="20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2">
    <w:name w:val="List Paragraph1"/>
    <w:basedOn w:val="1"/>
    <w:qFormat/>
    <w:uiPriority w:val="0"/>
    <w:pPr>
      <w:ind w:firstLine="420" w:firstLineChars="200"/>
    </w:pPr>
    <w:rPr>
      <w:rFonts w:ascii="Calibri" w:hAnsi="Calibri"/>
      <w:szCs w:val="22"/>
    </w:rPr>
  </w:style>
  <w:style w:type="paragraph" w:customStyle="1" w:styleId="203">
    <w:name w:val="font8"/>
    <w:basedOn w:val="1"/>
    <w:qFormat/>
    <w:uiPriority w:val="0"/>
    <w:pPr>
      <w:widowControl/>
      <w:spacing w:before="100" w:beforeAutospacing="1" w:after="100" w:afterAutospacing="1"/>
      <w:jc w:val="left"/>
    </w:pPr>
    <w:rPr>
      <w:kern w:val="0"/>
      <w:sz w:val="36"/>
      <w:szCs w:val="36"/>
    </w:rPr>
  </w:style>
  <w:style w:type="paragraph" w:customStyle="1" w:styleId="204">
    <w:name w:val="样式2"/>
    <w:basedOn w:val="39"/>
    <w:qFormat/>
    <w:uiPriority w:val="0"/>
    <w:pPr>
      <w:spacing w:line="360" w:lineRule="auto"/>
      <w:jc w:val="center"/>
    </w:pPr>
    <w:rPr>
      <w:sz w:val="24"/>
    </w:rPr>
  </w:style>
  <w:style w:type="paragraph" w:customStyle="1" w:styleId="205">
    <w:name w:val="Char3 Char Char Char"/>
    <w:basedOn w:val="1"/>
    <w:qFormat/>
    <w:uiPriority w:val="0"/>
    <w:rPr>
      <w:rFonts w:ascii="Tahoma" w:hAnsi="Tahoma"/>
      <w:sz w:val="24"/>
      <w:szCs w:val="20"/>
    </w:rPr>
  </w:style>
  <w:style w:type="paragraph" w:customStyle="1" w:styleId="20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07">
    <w:name w:val="缺省文本"/>
    <w:basedOn w:val="1"/>
    <w:qFormat/>
    <w:uiPriority w:val="0"/>
    <w:pPr>
      <w:autoSpaceDE w:val="0"/>
      <w:autoSpaceDN w:val="0"/>
      <w:adjustRightInd w:val="0"/>
      <w:jc w:val="left"/>
    </w:pPr>
    <w:rPr>
      <w:kern w:val="0"/>
      <w:sz w:val="24"/>
    </w:rPr>
  </w:style>
  <w:style w:type="paragraph" w:customStyle="1" w:styleId="208">
    <w:name w:val="字元 字元"/>
    <w:basedOn w:val="1"/>
    <w:qFormat/>
    <w:uiPriority w:val="0"/>
    <w:rPr>
      <w:rFonts w:ascii="Tahoma" w:hAnsi="Tahoma"/>
      <w:sz w:val="24"/>
      <w:szCs w:val="20"/>
    </w:rPr>
  </w:style>
  <w:style w:type="paragraph" w:customStyle="1" w:styleId="2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0">
    <w:name w:val="Char Char Char1 Char2"/>
    <w:basedOn w:val="1"/>
    <w:qFormat/>
    <w:uiPriority w:val="0"/>
    <w:rPr>
      <w:rFonts w:ascii="Tahoma" w:hAnsi="Tahoma"/>
      <w:sz w:val="24"/>
      <w:szCs w:val="20"/>
    </w:rPr>
  </w:style>
  <w:style w:type="paragraph" w:customStyle="1" w:styleId="21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12">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3">
    <w:name w:val="Char Char Char1 Char1"/>
    <w:basedOn w:val="1"/>
    <w:qFormat/>
    <w:uiPriority w:val="0"/>
    <w:rPr>
      <w:rFonts w:ascii="Tahoma" w:hAnsi="Tahoma"/>
      <w:sz w:val="24"/>
      <w:szCs w:val="20"/>
    </w:rPr>
  </w:style>
  <w:style w:type="paragraph" w:customStyle="1" w:styleId="2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5">
    <w:name w:val="Char1"/>
    <w:basedOn w:val="1"/>
    <w:qFormat/>
    <w:uiPriority w:val="0"/>
    <w:pPr>
      <w:tabs>
        <w:tab w:val="left" w:pos="360"/>
      </w:tabs>
    </w:pPr>
    <w:rPr>
      <w:sz w:val="24"/>
    </w:rPr>
  </w:style>
  <w:style w:type="paragraph" w:customStyle="1" w:styleId="21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17">
    <w:name w:val="Char Char Char Char Char Char Char Char Char Char1"/>
    <w:basedOn w:val="1"/>
    <w:qFormat/>
    <w:uiPriority w:val="0"/>
    <w:rPr>
      <w:rFonts w:ascii="宋体" w:hAnsi="宋体" w:cs="Courier New"/>
      <w:sz w:val="32"/>
      <w:szCs w:val="32"/>
    </w:rPr>
  </w:style>
  <w:style w:type="paragraph" w:customStyle="1" w:styleId="2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1">
    <w:name w:val="文档正文"/>
    <w:basedOn w:val="1"/>
    <w:qFormat/>
    <w:uiPriority w:val="0"/>
    <w:pPr>
      <w:snapToGrid w:val="0"/>
      <w:spacing w:before="120" w:after="120" w:line="180" w:lineRule="auto"/>
    </w:pPr>
    <w:rPr>
      <w:rFonts w:ascii="Arial" w:hAnsi="Arial"/>
      <w:szCs w:val="20"/>
    </w:rPr>
  </w:style>
  <w:style w:type="paragraph" w:customStyle="1" w:styleId="22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5">
    <w:name w:val="修订1"/>
    <w:qFormat/>
    <w:uiPriority w:val="0"/>
    <w:rPr>
      <w:kern w:val="2"/>
      <w:sz w:val="21"/>
      <w:szCs w:val="24"/>
      <w:lang w:val="en-US" w:eastAsia="zh-CN" w:bidi="ar-SA"/>
    </w:rPr>
  </w:style>
  <w:style w:type="paragraph" w:customStyle="1" w:styleId="2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7">
    <w:name w:val="字元 字元2"/>
    <w:basedOn w:val="1"/>
    <w:qFormat/>
    <w:uiPriority w:val="0"/>
    <w:rPr>
      <w:rFonts w:ascii="Tahoma" w:hAnsi="Tahoma"/>
      <w:sz w:val="24"/>
      <w:szCs w:val="20"/>
    </w:rPr>
  </w:style>
  <w:style w:type="paragraph" w:customStyle="1" w:styleId="228">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229">
    <w:name w:val="1 Char Char Char Char"/>
    <w:basedOn w:val="1"/>
    <w:qFormat/>
    <w:uiPriority w:val="0"/>
    <w:rPr>
      <w:rFonts w:ascii="Tahoma" w:hAnsi="Tahoma"/>
      <w:sz w:val="24"/>
      <w:szCs w:val="20"/>
    </w:rPr>
  </w:style>
  <w:style w:type="paragraph" w:customStyle="1" w:styleId="2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1">
    <w:name w:val="Char Char Char1 Char"/>
    <w:basedOn w:val="1"/>
    <w:qFormat/>
    <w:uiPriority w:val="0"/>
    <w:rPr>
      <w:rFonts w:ascii="Tahoma" w:hAnsi="Tahoma"/>
      <w:sz w:val="24"/>
      <w:szCs w:val="20"/>
    </w:rPr>
  </w:style>
  <w:style w:type="paragraph" w:customStyle="1" w:styleId="23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3">
    <w:name w:val="Char"/>
    <w:basedOn w:val="1"/>
    <w:qFormat/>
    <w:uiPriority w:val="0"/>
    <w:pPr>
      <w:tabs>
        <w:tab w:val="left" w:pos="360"/>
      </w:tabs>
    </w:pPr>
    <w:rPr>
      <w:sz w:val="24"/>
    </w:rPr>
  </w:style>
  <w:style w:type="paragraph" w:customStyle="1" w:styleId="234">
    <w:name w:val="列出段落1"/>
    <w:basedOn w:val="1"/>
    <w:qFormat/>
    <w:uiPriority w:val="0"/>
    <w:pPr>
      <w:ind w:firstLine="420" w:firstLineChars="200"/>
    </w:pPr>
    <w:rPr>
      <w:rFonts w:ascii="Calibri" w:hAnsi="Calibri"/>
      <w:szCs w:val="22"/>
    </w:rPr>
  </w:style>
  <w:style w:type="paragraph" w:customStyle="1" w:styleId="2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3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40">
    <w:name w:val="Char2 Char Char Char Char Char Char"/>
    <w:basedOn w:val="1"/>
    <w:qFormat/>
    <w:uiPriority w:val="0"/>
    <w:pPr>
      <w:widowControl/>
      <w:spacing w:line="400" w:lineRule="exact"/>
      <w:jc w:val="center"/>
    </w:pPr>
  </w:style>
  <w:style w:type="paragraph" w:customStyle="1" w:styleId="241">
    <w:name w:val="Char3"/>
    <w:basedOn w:val="1"/>
    <w:qFormat/>
    <w:uiPriority w:val="0"/>
    <w:pPr>
      <w:tabs>
        <w:tab w:val="left" w:pos="360"/>
      </w:tabs>
    </w:pPr>
    <w:rPr>
      <w:sz w:val="24"/>
    </w:rPr>
  </w:style>
  <w:style w:type="paragraph" w:customStyle="1" w:styleId="24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43">
    <w:name w:val="标题1-附件"/>
    <w:basedOn w:val="2"/>
    <w:qFormat/>
    <w:uiPriority w:val="0"/>
    <w:pPr>
      <w:jc w:val="left"/>
    </w:pPr>
    <w:rPr>
      <w:sz w:val="24"/>
      <w:szCs w:val="24"/>
    </w:rPr>
  </w:style>
  <w:style w:type="paragraph" w:styleId="244">
    <w:name w:val="No Spacing"/>
    <w:qFormat/>
    <w:uiPriority w:val="0"/>
    <w:pPr>
      <w:widowControl w:val="0"/>
      <w:jc w:val="both"/>
    </w:pPr>
    <w:rPr>
      <w:kern w:val="2"/>
      <w:sz w:val="21"/>
      <w:szCs w:val="24"/>
      <w:lang w:val="en-US" w:eastAsia="zh-CN" w:bidi="ar-SA"/>
    </w:rPr>
  </w:style>
  <w:style w:type="paragraph" w:customStyle="1" w:styleId="245">
    <w:name w:val="Char Char1"/>
    <w:basedOn w:val="14"/>
    <w:qFormat/>
    <w:uiPriority w:val="0"/>
    <w:rPr>
      <w:rFonts w:ascii="Tahoma" w:hAnsi="Tahoma"/>
      <w:sz w:val="24"/>
    </w:rPr>
  </w:style>
  <w:style w:type="paragraph" w:customStyle="1" w:styleId="246">
    <w:name w:val="表格1"/>
    <w:basedOn w:val="1"/>
    <w:qFormat/>
    <w:uiPriority w:val="0"/>
    <w:pPr>
      <w:ind w:firstLine="480" w:firstLineChars="200"/>
      <w:jc w:val="center"/>
    </w:pPr>
    <w:rPr>
      <w:sz w:val="24"/>
      <w:szCs w:val="20"/>
    </w:rPr>
  </w:style>
  <w:style w:type="paragraph" w:customStyle="1" w:styleId="2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项目符号1"/>
    <w:basedOn w:val="190"/>
    <w:qFormat/>
    <w:uiPriority w:val="0"/>
    <w:pPr>
      <w:ind w:left="-25" w:firstLine="0"/>
    </w:pPr>
  </w:style>
  <w:style w:type="paragraph" w:customStyle="1" w:styleId="249">
    <w:name w:val="_Style 160"/>
    <w:qFormat/>
    <w:uiPriority w:val="0"/>
    <w:rPr>
      <w:kern w:val="2"/>
      <w:sz w:val="21"/>
      <w:szCs w:val="24"/>
      <w:lang w:val="en-US" w:eastAsia="zh-CN" w:bidi="ar-SA"/>
    </w:rPr>
  </w:style>
  <w:style w:type="paragraph" w:customStyle="1" w:styleId="25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table" w:customStyle="1" w:styleId="252">
    <w:name w:val="Table Normal"/>
    <w:unhideWhenUsed/>
    <w:qFormat/>
    <w:uiPriority w:val="2"/>
    <w:pPr>
      <w:widowControl w:val="0"/>
      <w:autoSpaceDE w:val="0"/>
      <w:autoSpaceDN w:val="0"/>
    </w:pPr>
    <w:rPr>
      <w:sz w:val="22"/>
      <w:szCs w:val="22"/>
      <w:lang w:val="en-US" w:eastAsia="en-US" w:bidi="ar-SA"/>
    </w:rPr>
    <w:tblPr>
      <w:tblStyle w:val="43"/>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86</Pages>
  <Words>49304</Words>
  <Characters>51238</Characters>
  <Lines>384</Lines>
  <Paragraphs>108</Paragraphs>
  <TotalTime>1</TotalTime>
  <ScaleCrop>false</ScaleCrop>
  <LinksUpToDate>false</LinksUpToDate>
  <CharactersWithSpaces>51904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2024-09-02T07:58:00Z</dcterms:created>
  <dc:creator>尹皓</dc:creator>
  <cp:lastModifiedBy>卓</cp:lastModifiedBy>
  <cp:lastPrinted>2024-08-30T07:17:00Z</cp:lastPrinted>
  <dcterms:modified xsi:type="dcterms:W3CDTF">2024-09-03T07:30:49Z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961AA031842045849FA14805C0A3E925_13</vt:lpwstr>
  </property>
</Properties>
</file>