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582F">
      <w:pPr>
        <w:pStyle w:val="2"/>
        <w:widowControl/>
        <w:shd w:val="clear" w:color="auto" w:fill="FFFFFF"/>
        <w:snapToGrid w:val="0"/>
        <w:spacing w:beforeAutospacing="0" w:afterAutospacing="0" w:line="560" w:lineRule="exact"/>
        <w:jc w:val="center"/>
        <w:rPr>
          <w:rFonts w:ascii="方正小标宋简体" w:hAnsi="微软雅黑" w:eastAsia="方正小标宋简体" w:cs="微软雅黑"/>
          <w:b w:val="0"/>
          <w:color w:val="333333"/>
          <w:sz w:val="44"/>
          <w:szCs w:val="44"/>
          <w:highlight w:val="none"/>
        </w:rPr>
      </w:pPr>
      <w:r>
        <w:rPr>
          <w:rFonts w:ascii="方正小标宋简体" w:hAnsi="微软雅黑" w:eastAsia="方正小标宋简体" w:cs="微软雅黑"/>
          <w:b w:val="0"/>
          <w:color w:val="333333"/>
          <w:sz w:val="44"/>
          <w:szCs w:val="44"/>
          <w:highlight w:val="none"/>
          <w:shd w:val="clear" w:color="auto" w:fill="FFFFFF"/>
        </w:rPr>
        <w:t>中华人民共和国财政部令第110号</w:t>
      </w:r>
    </w:p>
    <w:p w14:paraId="3F942738">
      <w:pPr>
        <w:widowControl/>
        <w:shd w:val="clear" w:color="auto" w:fill="FFFFFF"/>
        <w:snapToGrid w:val="0"/>
        <w:spacing w:line="560" w:lineRule="exact"/>
        <w:jc w:val="center"/>
        <w:rPr>
          <w:rFonts w:hint="eastAsia" w:ascii="方正小标宋简体" w:hAnsi="微软雅黑" w:eastAsia="方正小标宋简体" w:cs="微软雅黑"/>
          <w:color w:val="333333"/>
          <w:sz w:val="44"/>
          <w:szCs w:val="44"/>
          <w:highlight w:val="none"/>
        </w:rPr>
      </w:pPr>
      <w:r>
        <w:rPr>
          <w:rFonts w:hint="eastAsia" w:ascii="方正小标宋简体" w:hAnsi="微软雅黑" w:eastAsia="方正小标宋简体" w:cs="微软雅黑"/>
          <w:color w:val="333333"/>
          <w:kern w:val="0"/>
          <w:sz w:val="44"/>
          <w:szCs w:val="44"/>
          <w:highlight w:val="none"/>
          <w:shd w:val="clear" w:color="auto" w:fill="FFFFFF"/>
          <w:lang w:bidi="ar"/>
        </w:rPr>
        <w:t>--政府采购框架协议采购方式管理暂行办法</w:t>
      </w:r>
    </w:p>
    <w:p w14:paraId="1B4DCBE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w:t>
      </w:r>
    </w:p>
    <w:p w14:paraId="7FF8ED99">
      <w:pPr>
        <w:pStyle w:val="5"/>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宋体" w:eastAsia="仿宋_GB2312" w:cs="宋体"/>
          <w:sz w:val="32"/>
          <w:szCs w:val="32"/>
          <w:highlight w:val="none"/>
        </w:rPr>
      </w:pPr>
      <w:r>
        <w:rPr>
          <w:rFonts w:hint="eastAsia" w:ascii="仿宋_GB2312" w:hAnsi="Arial" w:eastAsia="仿宋_GB2312" w:cs="Arial"/>
          <w:color w:val="333333"/>
          <w:sz w:val="32"/>
          <w:szCs w:val="32"/>
          <w:highlight w:val="none"/>
          <w:shd w:val="clear" w:color="auto" w:fill="FFFFFF"/>
        </w:rPr>
        <w:t>《</w:t>
      </w:r>
      <w:r>
        <w:rPr>
          <w:rFonts w:hint="eastAsia" w:ascii="仿宋_GB2312" w:hAnsi="宋体" w:eastAsia="仿宋_GB2312" w:cs="宋体"/>
          <w:color w:val="333333"/>
          <w:sz w:val="32"/>
          <w:szCs w:val="32"/>
          <w:highlight w:val="none"/>
          <w:shd w:val="clear" w:color="auto" w:fill="FFFFFF"/>
        </w:rPr>
        <w:t>政府采购框架协议采购方式管理暂行办法</w:t>
      </w:r>
      <w:r>
        <w:rPr>
          <w:rFonts w:hint="eastAsia" w:ascii="仿宋_GB2312" w:hAnsi="Arial" w:eastAsia="仿宋_GB2312" w:cs="Arial"/>
          <w:color w:val="333333"/>
          <w:sz w:val="32"/>
          <w:szCs w:val="32"/>
          <w:highlight w:val="none"/>
          <w:shd w:val="clear" w:color="auto" w:fill="FFFFFF"/>
        </w:rPr>
        <w:t>》已经2021年12月31日部务会议审议通过，现予公布，自2022年3月1日起施行。</w:t>
      </w:r>
    </w:p>
    <w:p w14:paraId="73BA5E12">
      <w:pPr>
        <w:pStyle w:val="5"/>
        <w:widowControl/>
        <w:wordWrap w:val="0"/>
        <w:snapToGrid w:val="0"/>
        <w:spacing w:beforeAutospacing="0" w:afterAutospacing="0" w:line="560" w:lineRule="exact"/>
        <w:jc w:val="center"/>
        <w:rPr>
          <w:rFonts w:hint="eastAsia" w:ascii="仿宋_GB2312" w:hAnsi="Arial" w:eastAsia="仿宋_GB2312" w:cs="Arial"/>
          <w:sz w:val="32"/>
          <w:szCs w:val="32"/>
          <w:highlight w:val="none"/>
        </w:rPr>
      </w:pPr>
      <w:r>
        <w:rPr>
          <w:rFonts w:hint="eastAsia" w:ascii="仿宋_GB2312" w:hAnsi="宋体" w:eastAsia="仿宋_GB2312" w:cs="宋体"/>
          <w:color w:val="333333"/>
          <w:sz w:val="32"/>
          <w:szCs w:val="32"/>
          <w:highlight w:val="none"/>
          <w:shd w:val="clear" w:color="auto" w:fill="FFFFFF"/>
          <w:lang w:val="en-US" w:eastAsia="zh-CN"/>
        </w:rPr>
        <w:t xml:space="preserve">                                     </w:t>
      </w:r>
      <w:bookmarkStart w:id="0" w:name="_GoBack"/>
      <w:bookmarkEnd w:id="0"/>
      <w:r>
        <w:rPr>
          <w:rFonts w:hint="eastAsia" w:ascii="仿宋_GB2312" w:hAnsi="宋体" w:eastAsia="仿宋_GB2312" w:cs="宋体"/>
          <w:color w:val="333333"/>
          <w:sz w:val="32"/>
          <w:szCs w:val="32"/>
          <w:highlight w:val="none"/>
          <w:shd w:val="clear" w:color="auto" w:fill="FFFFFF"/>
        </w:rPr>
        <w:t xml:space="preserve">部 长 刘昆 </w:t>
      </w:r>
      <w:r>
        <w:rPr>
          <w:rFonts w:ascii="仿宋_GB2312" w:hAnsi="宋体" w:eastAsia="仿宋_GB2312" w:cs="宋体"/>
          <w:color w:val="333333"/>
          <w:sz w:val="32"/>
          <w:szCs w:val="32"/>
          <w:highlight w:val="none"/>
          <w:shd w:val="clear" w:color="auto" w:fill="FFFFFF"/>
        </w:rPr>
        <w:t xml:space="preserve">     </w:t>
      </w:r>
    </w:p>
    <w:p w14:paraId="6B7B77B9">
      <w:pPr>
        <w:pStyle w:val="5"/>
        <w:widowControl/>
        <w:wordWrap w:val="0"/>
        <w:snapToGrid w:val="0"/>
        <w:spacing w:beforeAutospacing="0" w:afterAutospacing="0" w:line="560" w:lineRule="exact"/>
        <w:jc w:val="right"/>
        <w:rPr>
          <w:rFonts w:hint="eastAsia" w:ascii="仿宋_GB2312" w:hAnsi="Arial" w:eastAsia="仿宋_GB2312" w:cs="Arial"/>
          <w:sz w:val="32"/>
          <w:szCs w:val="32"/>
          <w:highlight w:val="none"/>
        </w:rPr>
      </w:pPr>
      <w:r>
        <w:rPr>
          <w:rFonts w:hint="eastAsia" w:ascii="仿宋_GB2312" w:hAnsi="宋体" w:eastAsia="仿宋_GB2312" w:cs="宋体"/>
          <w:color w:val="333333"/>
          <w:sz w:val="32"/>
          <w:szCs w:val="32"/>
          <w:highlight w:val="none"/>
          <w:shd w:val="clear" w:color="auto" w:fill="FFFFFF"/>
        </w:rPr>
        <w:t xml:space="preserve">　　2022年1月14日   </w:t>
      </w:r>
      <w:r>
        <w:rPr>
          <w:rFonts w:ascii="仿宋_GB2312" w:hAnsi="宋体" w:eastAsia="仿宋_GB2312" w:cs="宋体"/>
          <w:color w:val="333333"/>
          <w:sz w:val="32"/>
          <w:szCs w:val="32"/>
          <w:highlight w:val="none"/>
          <w:shd w:val="clear" w:color="auto" w:fill="FFFFFF"/>
        </w:rPr>
        <w:t xml:space="preserve"> </w:t>
      </w:r>
    </w:p>
    <w:p w14:paraId="553A614A">
      <w:pPr>
        <w:pStyle w:val="5"/>
        <w:widowControl/>
        <w:snapToGrid w:val="0"/>
        <w:spacing w:beforeAutospacing="0" w:afterAutospacing="0" w:line="560" w:lineRule="exact"/>
        <w:rPr>
          <w:rFonts w:hint="eastAsia" w:ascii="仿宋_GB2312" w:hAnsi="宋体" w:eastAsia="仿宋_GB2312" w:cs="宋体"/>
          <w:sz w:val="32"/>
          <w:szCs w:val="32"/>
          <w:highlight w:val="none"/>
        </w:rPr>
      </w:pPr>
    </w:p>
    <w:p w14:paraId="73F383E3">
      <w:pPr>
        <w:widowControl/>
        <w:shd w:val="clear" w:color="auto" w:fill="FFFFFF"/>
        <w:snapToGrid w:val="0"/>
        <w:spacing w:line="560" w:lineRule="exact"/>
        <w:jc w:val="left"/>
        <w:rPr>
          <w:rFonts w:hint="eastAsia" w:ascii="仿宋_GB2312" w:hAnsi="宋体" w:eastAsia="仿宋_GB2312" w:cs="宋体"/>
          <w:color w:val="333333"/>
          <w:sz w:val="32"/>
          <w:szCs w:val="32"/>
          <w:highlight w:val="none"/>
        </w:rPr>
      </w:pPr>
    </w:p>
    <w:p w14:paraId="3BBC0B21">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第一章 总则 </w:t>
      </w:r>
    </w:p>
    <w:p w14:paraId="22819023">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第一条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为了规范多频次、小额度采购活动，提高政府采购项目绩效，根据《中华人民共和国政府采购法》、《中华人民共和国政府采购法实施条例》等法律法规规定，制定本办法。 </w:t>
      </w:r>
    </w:p>
    <w:p w14:paraId="4ADAC13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14:paraId="5C65D32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前款所称主管预算单位是指负有编制部门预算职责，向本级财政部门申报预算的国家机关、事业单位和团体组织。 </w:t>
      </w:r>
    </w:p>
    <w:p w14:paraId="5AC96E0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第三条 符合下列情形之一的，可以采用框架协议采购方式采购： </w:t>
      </w:r>
    </w:p>
    <w:p w14:paraId="5B3D3C1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（一）集中采购目录以内品目，以及与之配套的必要耗材、配件等，属于小额零星采购的； </w:t>
      </w:r>
    </w:p>
    <w:p w14:paraId="7B384E7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（二）集中采购目录以外，采购限额标准以上，本部门、本系统行政管理所需的法律、评估、会计、审计等鉴证咨询服务，属于小额零星采购的； </w:t>
      </w:r>
    </w:p>
    <w:p w14:paraId="7030335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（三）集中采购目录以外，采购限额标准以上，为本部门、本系统以外的服务对象提供服务的政府购买服务项目，需要确定2家以上供应商由服务对象自主选择的； </w:t>
      </w:r>
    </w:p>
    <w:p w14:paraId="1FF9928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（四）国务院财政部门规定的其他情形。 </w:t>
      </w:r>
    </w:p>
    <w:p w14:paraId="4BC93F2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前款所称采购限额标准以上，是指同一品目或者同一类别的货物、服务年度采购预算达到采购限额标准以上。 </w:t>
      </w:r>
    </w:p>
    <w:p w14:paraId="0D85589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属于本条第一款第二项情形，主管预算单位能够归集需求形成单一项目进行采购，通过签订时间、地点、数量不确定的采购合同满足需求的，不得采用框架协议采购方式。 </w:t>
      </w:r>
    </w:p>
    <w:p w14:paraId="58EC984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第四条 框架协议采购包括封闭式框架协议采购和开放式框架协议采购。 </w:t>
      </w:r>
    </w:p>
    <w:p w14:paraId="10B0B2A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封闭式框架协议采购是框架协议采购的主要形式。除法律、行政法规或者本办法另有规定外，框架协议采购应当采用封闭式框架协议采购。 </w:t>
      </w:r>
    </w:p>
    <w:p w14:paraId="7C2CBEC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第五条 集中采购目录以内品目以及与之配套的必要耗材、配件等，采用框架协议采购的，由集中采购机构负责征集程序和订立框架协议。 </w:t>
      </w:r>
    </w:p>
    <w:p w14:paraId="07CF3A3F">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14:paraId="3E73E86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主管预算单位可以委托采购代理机构代理框架协议采购，采购代理机构应当在委托的范围内依法开展采购活动。 </w:t>
      </w:r>
    </w:p>
    <w:p w14:paraId="4C116A8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集中采购机构、主管预算单位及其委托的采购代理机构，本办法统称征集人。 </w:t>
      </w:r>
    </w:p>
    <w:p w14:paraId="1B79E14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第六条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框架协议采购遵循竞争择优、讲求绩效的原则，应当有明确的采购标的和定价机制，不得采用供应商符合资格条件即入围的方法。 </w:t>
      </w:r>
    </w:p>
    <w:p w14:paraId="450A53A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第七条 框架协议采购应当实行电子化采购。 </w:t>
      </w:r>
    </w:p>
    <w:p w14:paraId="4DB9EEF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第八条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集中采购机构采用框架协议采购的，应当拟定采购方案，报本级财政部门审核后实施。主管预算单位采用框架协议采购的，应当在采购活动开始前将采购方案报本级财政部门备案。 </w:t>
      </w:r>
    </w:p>
    <w:p w14:paraId="5065201A">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第二章 一般规定 </w:t>
      </w:r>
    </w:p>
    <w:p w14:paraId="3D11634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第九条 封闭式框架协议采购是指符合本办法第三条规定情形，通过公开竞争订立框架协议后，除经过框架协议约定的补充征集程序外，不得增加协议供应商的框架协议采购。 </w:t>
      </w:r>
    </w:p>
    <w:p w14:paraId="4878C04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封闭式框架协议的公开征集程序，按照政府采购公开招标的规定执行，本办法另有规定的，从其规定。 </w:t>
      </w:r>
    </w:p>
    <w:p w14:paraId="7DE9B20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14:paraId="18E4DD4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符合下列情形之一的，可以采用开放式框架协议采购： </w:t>
      </w:r>
    </w:p>
    <w:p w14:paraId="6216001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（一）本办法第三条第一款第一项规定的情形，因执行政府采购政策不宜淘汰供应商的，或者受基础设施、行政许可、知识产权等限制，供应商数量在3家以下且不宜淘汰供应商的； </w:t>
      </w:r>
    </w:p>
    <w:p w14:paraId="459A1CA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（二）本办法第三条第一款第三项规定的情形，能够确定统一付费标准，因地域等服务便利性要求，需要接纳所有愿意接受协议条件的供应商加入框架协议，以供服务对象自主选择的。 </w:t>
      </w:r>
    </w:p>
    <w:p w14:paraId="2BF8175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第十一条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集中采购机构或者主管预算单位应当确定框架协议采购需求。框架协议采购需求在框架协议有效期内不得变动。 </w:t>
      </w:r>
    </w:p>
    <w:p w14:paraId="02035F9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确定框架协议采购需求应当开展需求调查，听取采购人、供应商和专家等意见。面向采购人和供应商开展需求调查时，应当选择具有代表性的调查对象，调查对象一般各不少于3个。 </w:t>
      </w:r>
    </w:p>
    <w:p w14:paraId="4129443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第十二条 框架协议采购需求应当符合以下规定： </w:t>
      </w:r>
    </w:p>
    <w:p w14:paraId="6E94E5F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（一）满足采购人和服务对象实际需要，符合市场供应状况和市场公允标准，在确保功能、性能和必要采购要求的情况下促进竞争； </w:t>
      </w:r>
    </w:p>
    <w:p w14:paraId="69C0369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（二）符合预算标准、资产配置标准等有关规定，厉行节约，不得超标准采购； </w:t>
      </w:r>
    </w:p>
    <w:p w14:paraId="29C58A1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（三）按照《政府采购品目分类目录》，将采购标的细化到底级品目，并细分不同等次、规格或者标准的采购需求，合理设置采购包； </w:t>
      </w:r>
    </w:p>
    <w:p w14:paraId="30C9699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（四）货物项目应当明确货物的技术和商务要求，包括功能、性能、材料、结构、外观、安全、包装、交货期限、交货的地域范围、售后服务等； </w:t>
      </w:r>
    </w:p>
    <w:p w14:paraId="2B420B1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（五）服务项目应当明确服务内容、服务标准、技术保障、服务人员组成、服务交付或者实施的地域范围，以及所涉及的货物的质量标准、服务工作量的计量方式等。 </w:t>
      </w:r>
    </w:p>
    <w:p w14:paraId="5191D7B3">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第十三条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14:paraId="560A5AB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最高限制单价是供应商第一阶段响应报价的最高限价。入围供应商第一阶段响应报价（有量价关系折扣的，包括量价关系折扣，以下统称协议价格）是采购人或者服务对象确定第二阶段成交供应商的最高限价。 </w:t>
      </w:r>
    </w:p>
    <w:p w14:paraId="73CE70F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14:paraId="6431651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14:paraId="310CF98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第十四条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框架协议应当包括以下内容： </w:t>
      </w:r>
    </w:p>
    <w:p w14:paraId="3214502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（一）集中采购机构或者主管预算单位以及入围供应商的名称、地址和联系方式； </w:t>
      </w:r>
    </w:p>
    <w:p w14:paraId="2733C50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（二）采购项目名称、编号； </w:t>
      </w:r>
    </w:p>
    <w:p w14:paraId="53141D3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（三）采购需求以及最高限制单价； </w:t>
      </w:r>
    </w:p>
    <w:p w14:paraId="2A7FAA99">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（四）封闭式框架协议第一阶段的入围产品详细技术规格或者服务内容、服务标准，协议价格； </w:t>
      </w:r>
    </w:p>
    <w:p w14:paraId="5314E84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（五）入围产品升级换代规则； </w:t>
      </w:r>
    </w:p>
    <w:p w14:paraId="23C599B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（六）确定第二阶段成交供应商的方式； </w:t>
      </w:r>
    </w:p>
    <w:p w14:paraId="037ACD7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（七）适用框架协议的采购人或者服务对象范围，以及履行合同的地域范围； </w:t>
      </w:r>
    </w:p>
    <w:p w14:paraId="1B13070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（八）资金支付方式、时间和条件； </w:t>
      </w:r>
    </w:p>
    <w:p w14:paraId="139FAC7F">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（九）采购合同文本，包括根据需要约定适用的简式合同或者具有合同性质的凭单、订单； </w:t>
      </w:r>
    </w:p>
    <w:p w14:paraId="0AA68EA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（十）框架协议期限； </w:t>
      </w:r>
    </w:p>
    <w:p w14:paraId="21C69F9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（十一）入围供应商清退和补充规则； </w:t>
      </w:r>
    </w:p>
    <w:p w14:paraId="7357CF89">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（十二）协议方的权利和义务; </w:t>
      </w:r>
    </w:p>
    <w:p w14:paraId="495188E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（十三）需要约定的其他事项。 </w:t>
      </w:r>
    </w:p>
    <w:p w14:paraId="4FDD024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第十五条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集中采购机构或者主管预算单位应当根据工作需要和采购标的市场供应及价格变化情况，科学合理确定框架协议期限。货物项目框架协议有效期一般不超过1年，服务项目框架协议有效期一般不超过2年。 </w:t>
      </w:r>
    </w:p>
    <w:p w14:paraId="226B9BE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第十六条 集中采购机构或者主管预算单位应当根据框架协议约定，组织落实框架协议的履行，并履行下列职责： </w:t>
      </w:r>
    </w:p>
    <w:p w14:paraId="6BBC035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（一）为第二阶段合同授予提供工作便利； </w:t>
      </w:r>
    </w:p>
    <w:p w14:paraId="3F49A47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（二）对第二阶段最高限价和需求标准执行情况进行管理； </w:t>
      </w:r>
    </w:p>
    <w:p w14:paraId="7278C714">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（三）对第二阶段确定成交供应商情况进行管理； </w:t>
      </w:r>
    </w:p>
    <w:p w14:paraId="79C23EB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（四）根据框架协议约定，在质量不降低、价格不提高的前提下，对入围供应商因产品升级换代、用新产品替代原入围产品的情形进行审核； </w:t>
      </w:r>
    </w:p>
    <w:p w14:paraId="5F9916B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（五）建立用户反馈和评价机制，接受采购人和服务对象对入围供应商履行框架协议和采购合同情况的反馈与评价，并将用户反馈和评价情况向采购人和服务对象公开，作为第二阶段直接选定成交供应商的参考； </w:t>
      </w:r>
    </w:p>
    <w:p w14:paraId="7D66B73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（六）公开封闭式框架协议的第二阶段成交结果； </w:t>
      </w:r>
    </w:p>
    <w:p w14:paraId="56D4286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（七）办理入围供应商清退和补充相关事宜。 </w:t>
      </w:r>
    </w:p>
    <w:p w14:paraId="78121FD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第十七条 采购人或者服务对象采购框架协议约定的货物、服务，应当将第二阶段的采购合同授予入围供应商，但是本办法第三十七条另有规定的除外。 </w:t>
      </w:r>
    </w:p>
    <w:p w14:paraId="79CB381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同一框架协议采购应当使用统一的采购合同文本，采购人、服务对象和供应商不得擅自改变框架协议约定的合同实质性条款。 </w:t>
      </w:r>
    </w:p>
    <w:p w14:paraId="69D6A36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第十八条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14:paraId="53AC620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第十九条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入围供应商有下列情形之一，尚未签订框架协议的，取消其入围资格；已经签订框架协议的，解除与其签订的框架协议： </w:t>
      </w:r>
    </w:p>
    <w:p w14:paraId="6DE15B5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（一）恶意串通谋取入围或者合同成交的； </w:t>
      </w:r>
    </w:p>
    <w:p w14:paraId="2AE7D2F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（二）提供虚假材料谋取入围或者合同成交的； </w:t>
      </w:r>
    </w:p>
    <w:p w14:paraId="6C6C4BB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（三）无正当理由拒不接受合同授予的； </w:t>
      </w:r>
    </w:p>
    <w:p w14:paraId="1634284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（四）不履行合同义务或者履行合同义务不符合约定，经采购人请求履行后仍不履行或者仍未按约定履行的； </w:t>
      </w:r>
    </w:p>
    <w:p w14:paraId="2F31F7E9">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（五）框架协议有效期内，因违法行为被禁止或限制参加政府采购活动的； </w:t>
      </w:r>
    </w:p>
    <w:p w14:paraId="7E69F0D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（六）框架协议约定的其他情形。 </w:t>
      </w:r>
    </w:p>
    <w:p w14:paraId="1437A16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被取消入围资格或者被解除框架协议的供应商不得参加同一封闭式框架协议补充征集，或者重新申请加入同一开放式框架协议。 </w:t>
      </w:r>
    </w:p>
    <w:p w14:paraId="490DCF8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封闭式框架协议入围供应商无正当理由，不得主动放弃入围资格或者退出框架协议。 </w:t>
      </w:r>
    </w:p>
    <w:p w14:paraId="666195E9">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开放式框架协议入围供应商可以随时申请退出框架协议。集中采购机构或者主管预算单位应当在收到退出申请2个工作日内，发布入围供应商退出公告。 </w:t>
      </w:r>
    </w:p>
    <w:p w14:paraId="4D9EEEC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第二十一条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征集人应当建立真实完整的框架协议采购档案，妥善保存每项采购活动的采购文件资料。除征集人和采购人另有约定外，合同授予的采购文件资料由采购人负责保存。 </w:t>
      </w:r>
    </w:p>
    <w:p w14:paraId="01CE4124">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采购档案可以采用电子形式保存，电子档案和纸质档案具有同等效力。 </w:t>
      </w:r>
    </w:p>
    <w:p w14:paraId="575AFA21">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第三章 封闭式框架协议采购 </w:t>
      </w:r>
    </w:p>
    <w:p w14:paraId="0CB625C7">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第一节 封闭式框架协议的订立 </w:t>
      </w:r>
    </w:p>
    <w:p w14:paraId="709B9E5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第二十二条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征集人应当发布征集公告。征集公告应当包括以下主要内容： </w:t>
      </w:r>
    </w:p>
    <w:p w14:paraId="1440D59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（一）征集人的名称、地址、联系人和联系方式； </w:t>
      </w:r>
    </w:p>
    <w:p w14:paraId="4989C13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（二）采购项目名称、编号，采购需求以及最高限制单价，适用框架协议的采购人或者服务对象范围，能预估采购数量的，还应当明确预估采购数量； </w:t>
      </w:r>
    </w:p>
    <w:p w14:paraId="65C88C2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（三）供应商的资格条件； </w:t>
      </w:r>
    </w:p>
    <w:p w14:paraId="09F972B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（四）框架协议的期限； </w:t>
      </w:r>
    </w:p>
    <w:p w14:paraId="7013465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（五）获取征集文件的时间、地点和方式； </w:t>
      </w:r>
    </w:p>
    <w:p w14:paraId="4EE9738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（六）响应文件的提交方式、提交截止时间和地点，开启方式、时间和地点； </w:t>
      </w:r>
    </w:p>
    <w:p w14:paraId="7A0C143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（七）公告期限； </w:t>
      </w:r>
    </w:p>
    <w:p w14:paraId="686D48E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（八）省级以上财政部门规定的其他事项。 </w:t>
      </w:r>
    </w:p>
    <w:p w14:paraId="1EF3121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第二十三条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征集人应当编制征集文件。征集文件应当包括以下主要内容： </w:t>
      </w:r>
    </w:p>
    <w:p w14:paraId="7428FE9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（一）参加征集活动的邀请； </w:t>
      </w:r>
    </w:p>
    <w:p w14:paraId="2C148CF9">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（二）供应商应当提交的资格材料； </w:t>
      </w:r>
    </w:p>
    <w:p w14:paraId="2F110D5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（三）资格审查方法和标准； </w:t>
      </w:r>
    </w:p>
    <w:p w14:paraId="5636DDA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（四）采购需求以及最高限制单价； </w:t>
      </w:r>
    </w:p>
    <w:p w14:paraId="6F9356B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（五）政府采购政策要求以及政策执行措施； </w:t>
      </w:r>
    </w:p>
    <w:p w14:paraId="21FCEB5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（六）框架协议的期限； </w:t>
      </w:r>
    </w:p>
    <w:p w14:paraId="4BF52A33">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（七）报价要求； </w:t>
      </w:r>
    </w:p>
    <w:p w14:paraId="33171AD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（八）确定第一阶段入围供应商的评审方法、评审标准、确定入围供应商的淘汰率或者入围供应商数量上限和响应文件无效情形； </w:t>
      </w:r>
    </w:p>
    <w:p w14:paraId="62FE7C7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（九）响应文件的编制要求，提交方式、提交截止时间和地点，开启方式、时间和地点，以及响应文件有效期； </w:t>
      </w:r>
    </w:p>
    <w:p w14:paraId="2B9EDED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（十）拟签订的框架协议文本和采购合同文本； </w:t>
      </w:r>
    </w:p>
    <w:p w14:paraId="64A9C10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（十一）确定第二阶段成交供应商的方式； </w:t>
      </w:r>
    </w:p>
    <w:p w14:paraId="35A10CA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（十二）采购资金的支付方式、时间和条件； </w:t>
      </w:r>
    </w:p>
    <w:p w14:paraId="42EA19D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（十三）入围产品升级换代规则； </w:t>
      </w:r>
    </w:p>
    <w:p w14:paraId="5B3A8FB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（十四）用户反馈和评价机制； </w:t>
      </w:r>
    </w:p>
    <w:p w14:paraId="13E903D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（十五）入围供应商的清退和补充规则； </w:t>
      </w:r>
    </w:p>
    <w:p w14:paraId="5771745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（十六）供应商信用信息查询渠道及截止时点、信用信息查询记录和证据留存的具体方式、信用信息的使用规则等； </w:t>
      </w:r>
    </w:p>
    <w:p w14:paraId="6994746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（十七）采购代理机构代理费用的收取标准和方式； </w:t>
      </w:r>
    </w:p>
    <w:p w14:paraId="44B459F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（十八）省级以上财政部门规定的其他事项。 </w:t>
      </w:r>
    </w:p>
    <w:p w14:paraId="78E0F7C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第二十四条 供应商应当按照征集文件要求编制响应文件，对响应文件的真实性和合法性承担法律责任。 </w:t>
      </w:r>
    </w:p>
    <w:p w14:paraId="3289270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14:paraId="48EA553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第二十五条 确定第一阶段入围供应商的评审方法包括价格优先法和质量优先法。 </w:t>
      </w:r>
    </w:p>
    <w:p w14:paraId="6F97DD9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价格优先法是指对满足采购需求且响应报价不超过最高限制单价的货物、服务，按照响应报价从低到高排序，根据征集文件规定的淘汰率或者入围供应商数量上限，确定入围供应商的评审方法。 </w:t>
      </w:r>
    </w:p>
    <w:p w14:paraId="540BC36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14:paraId="493EE5E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有政府定价、政府指导价的项目，以及对质量有特别要求的检测、实验等仪器设备，可以采用质量优先法，其他项目应当采用价格优先法。 </w:t>
      </w:r>
    </w:p>
    <w:p w14:paraId="7770C44F">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14:paraId="78C455A4">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征集人应当在征集文件、框架协议和采购合同中规定，入围供应商在约定期限内，应当以不高于其报价的价格向适用框架协议的采购人供应专用耗材。 </w:t>
      </w:r>
    </w:p>
    <w:p w14:paraId="1583E9B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第二十七条 确定第一阶段入围供应商时，提交响应文件和符合资格条件、实质性要求的供应商应当均不少于2家，淘汰比例一般不得低于20%，且至少淘汰一家供应商。 </w:t>
      </w:r>
    </w:p>
    <w:p w14:paraId="41688654">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采用质量优先法的检测、实验等仪器设备采购，淘汰比例不得低于40%，且至少淘汰一家供应商。 </w:t>
      </w:r>
    </w:p>
    <w:p w14:paraId="6022D4F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第二十八条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入围结果公告应当包括以下主要内容： </w:t>
      </w:r>
    </w:p>
    <w:p w14:paraId="198A51F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（一）采购项目名称、编号； </w:t>
      </w:r>
    </w:p>
    <w:p w14:paraId="5E30386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（二）征集人的名称、地址、联系人和联系方式； </w:t>
      </w:r>
    </w:p>
    <w:p w14:paraId="065AD45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（三）入围供应商名称、地址及排序； </w:t>
      </w:r>
    </w:p>
    <w:p w14:paraId="6A3E0F1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（四）最高入围价格或者最低入围分值； </w:t>
      </w:r>
    </w:p>
    <w:p w14:paraId="099D951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（五）入围产品名称、规格型号或者主要服务内容及服务标准，入围单价； </w:t>
      </w:r>
    </w:p>
    <w:p w14:paraId="75F76BB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（六）评审小组成员名单； </w:t>
      </w:r>
    </w:p>
    <w:p w14:paraId="62DE50C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（七）采购代理服务收费标准及金额； </w:t>
      </w:r>
    </w:p>
    <w:p w14:paraId="5530FB73">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（八）公告期限； </w:t>
      </w:r>
    </w:p>
    <w:p w14:paraId="5E4E1F2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（九）省级以上财政部门规定的其他事项。 </w:t>
      </w:r>
    </w:p>
    <w:p w14:paraId="6447692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第二十九条 集中采购机构或者主管预算单位应当在入围通知书发出之日起30日内和入围供应商签订框架协议，并在框架协议签订后7个工作日内，将框架协议副本报本级财政部门备案。 </w:t>
      </w:r>
    </w:p>
    <w:p w14:paraId="24BC816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框架协议不得对征集文件确定的事项以及入围供应商的响应文件作实质性修改。 </w:t>
      </w:r>
    </w:p>
    <w:p w14:paraId="5D958734">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第三十条 征集人应当在框架协议签订后3个工作日内通过电子化采购系统将入围信息告知适用框架协议的所有采购人或者服务对象。 </w:t>
      </w:r>
    </w:p>
    <w:p w14:paraId="6F20611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入围信息应当包括所有入围供应商的名称、地址、联系方式、入围产品信息和协议价格等内容。入围产品信息应当详细列明技术规格或者服务内容、服务标准等能反映产品质量特点的内容。 </w:t>
      </w:r>
    </w:p>
    <w:p w14:paraId="65BF34A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征集人应当确保征集文件和入围信息在整个框架协议有效期内随时可供公众查阅。 </w:t>
      </w:r>
    </w:p>
    <w:p w14:paraId="392F06CF">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第三十一条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除剩余入围供应商不足入围供应商总数70%且影响框架协议执行的情形外，框架协议有效期内，征集人不得补充征集供应商。 </w:t>
      </w:r>
    </w:p>
    <w:p w14:paraId="2762DEC3">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征集人补充征集供应商的，补充征集规则应当在框架协议中约定，补充征集的条件、程序、评审方法和淘汰比例应当与初次征集相同。补充征集应当遵守原框架协议的有效期。补充征集期间，原框架协议继续履行。 </w:t>
      </w:r>
    </w:p>
    <w:p w14:paraId="01A898E7">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第二节 采购合同的授予 </w:t>
      </w:r>
    </w:p>
    <w:p w14:paraId="2D2FBE4F">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第三十二条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确定第二阶段成交供应商的方式包括直接选定、二次竞价和顺序轮候。 </w:t>
      </w:r>
    </w:p>
    <w:p w14:paraId="3049E09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14:paraId="66FE338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第三十三条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14:paraId="37076E4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进行二次竞价应当给予供应商必要的响应时间。 </w:t>
      </w:r>
    </w:p>
    <w:p w14:paraId="04E8B04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二次竞价一般适用于采用价格优先法的采购项目。 </w:t>
      </w:r>
    </w:p>
    <w:p w14:paraId="7DADE04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第三十四条 顺序轮候方式是指根据征集文件中确定的轮候顺序规则，对所有入围供应商依次授予采购合同的方式。 </w:t>
      </w:r>
    </w:p>
    <w:p w14:paraId="6C7D511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每个入围供应商在一个顺序轮候期内，只有一次获得合同授予的机会。合同授予顺序确定后，应当书面告知所有入围供应商。除清退入围供应商和补充征集外，框架协议有效期内不得调整合同授予顺序。 </w:t>
      </w:r>
    </w:p>
    <w:p w14:paraId="3A89DDA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顺序轮候一般适用于服务项目。 </w:t>
      </w:r>
    </w:p>
    <w:p w14:paraId="10F6AD6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第三十五条 以二次竞价或者顺序轮候方式确定成交供应商的，征集人应当在确定成交供应商后2个工作日内逐笔发布成交结果公告。 </w:t>
      </w:r>
    </w:p>
    <w:p w14:paraId="773366FC">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14:paraId="301CAC9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（一）采购人的名称、地址和联系方式； </w:t>
      </w:r>
    </w:p>
    <w:p w14:paraId="5DDF67A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（二）框架协议采购项目名称、编号； </w:t>
      </w:r>
    </w:p>
    <w:p w14:paraId="49859254">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（三）成交供应商名称、地址和成交金额； </w:t>
      </w:r>
    </w:p>
    <w:p w14:paraId="29439EE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（四）成交标的名称、规格型号或者主要服务内容及服务标准、数量、单价； </w:t>
      </w:r>
    </w:p>
    <w:p w14:paraId="07764C03">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（五）公告期限。 </w:t>
      </w:r>
    </w:p>
    <w:p w14:paraId="79A00E5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征集人应当在框架协议有效期满后10个工作日内发布成交结果汇总公告。汇总公告应当包括前款第一项、第二项内容和所有成交供应商的名称、地址及其成交合同总数和总金额。 </w:t>
      </w:r>
    </w:p>
    <w:p w14:paraId="19DFE1D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第三十六条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框架协议采购应当订立固定价格合同。 </w:t>
      </w:r>
    </w:p>
    <w:p w14:paraId="7416F9C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14:paraId="725CF2C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第三十七条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采购人证明能够以更低价格向非入围供应商采购相同货物，且入围供应商不同意将价格降至非入围供应商以下的，可以将合同授予非入围供应商。 </w:t>
      </w:r>
    </w:p>
    <w:p w14:paraId="6AB8031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采购项目适用前款规定的，征集人应当在征集文件中载明并在框架协议中约定。 </w:t>
      </w:r>
    </w:p>
    <w:p w14:paraId="778A293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采购人将合同授予非入围供应商的，应当在确定成交供应商后1个工作日内，将成交结果抄送征集人，由征集人按照单笔公告要求发布成交结果公告。采购人应当将相关证明材料和采购合同一并存档备查。 </w:t>
      </w:r>
    </w:p>
    <w:p w14:paraId="1F821A97">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第四章 开放式框架协议采购 </w:t>
      </w:r>
    </w:p>
    <w:p w14:paraId="392C8C1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第三十八条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订立开放式框架协议的，征集人应当发布征集公告，邀请供应商加入框架协议。征集公告应当包括以下主要内容： </w:t>
      </w:r>
    </w:p>
    <w:p w14:paraId="418772D0">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（一）本办法第二十二条第一项至四项和第二十三条第二项至三项、第十三项至十六项内容； </w:t>
      </w:r>
    </w:p>
    <w:p w14:paraId="283009F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（二）订立开放式框架协议的邀请； </w:t>
      </w:r>
    </w:p>
    <w:p w14:paraId="02133FE5">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（三）供应商提交加入框架协议申请的方式、地点，以及对申请文件的要求； </w:t>
      </w:r>
    </w:p>
    <w:p w14:paraId="31E72E1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（四）履行合同的地域范围、协议方的权利和义务、入围供应商的清退机制等框架协议内容； </w:t>
      </w:r>
    </w:p>
    <w:p w14:paraId="7BC3D91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（五）采购合同文本； </w:t>
      </w:r>
    </w:p>
    <w:p w14:paraId="0EB66437">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（六）付费标准，费用结算及支付方式； </w:t>
      </w:r>
    </w:p>
    <w:p w14:paraId="04A22C9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（七）省级以上财政部门规定的其他事项。 </w:t>
      </w:r>
    </w:p>
    <w:p w14:paraId="7BFC6EAE">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第三十九条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征集公告发布后至框架协议期满前，供应商可以按照征集公告要求，随时提交加入框架协议的申请。征集人应当在收到供应商申请后7个工作日内完成审核，并将审核结果书面通知申请供应商。 </w:t>
      </w:r>
    </w:p>
    <w:p w14:paraId="194EE7B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第四十条 征集人应当在审核通过后2个工作日内，发布入围结果公告，公告入围供应商名称、地址、联系方式及付费标准，并动态更新入围供应商信息。 </w:t>
      </w:r>
    </w:p>
    <w:p w14:paraId="18EA4D0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征集人应当确保征集公告和入围结果公告在整个框架协议有效期内随时可供公众查阅。 </w:t>
      </w:r>
    </w:p>
    <w:p w14:paraId="4EB70098">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第四十一条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征集人可以根据采购项目特点，在征集公告中申明是否与供应商另行签订书面框架协议。申明不再签订书面框架协议的，发布入围结果公告，视为签订框架协议。 </w:t>
      </w:r>
    </w:p>
    <w:p w14:paraId="5F810B91">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第四十二条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第二阶段成交供应商由采购人或者服务对象从第一阶段入围供应商中直接选定。 </w:t>
      </w:r>
    </w:p>
    <w:p w14:paraId="30BFEA0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供应商履行合同后，依据框架协议约定的凭单、订单以及结算方式，与采购人进行费用结算。 </w:t>
      </w:r>
    </w:p>
    <w:p w14:paraId="5B38EF4F">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第五章 法律责任 </w:t>
      </w:r>
    </w:p>
    <w:p w14:paraId="543338E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第四十三条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主管预算单位、采购人、采购代理机构违反本办法规定的，由财政部门责令限期改正；情节严重的，给予警告，对直接负责的主管人员和其他责任人员，由其行政主管部门或者有关机关依法给予处分，并予以通报。 </w:t>
      </w:r>
    </w:p>
    <w:p w14:paraId="455C5E6B">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第四十四条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违反本办法规定，经责令改正后仍然影响或者可能影响入围结果或者成交结果的，依照政府采购法等有关法律、行政法规处理。 </w:t>
      </w:r>
    </w:p>
    <w:p w14:paraId="6191892F">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第四十五条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供应商有本办法第十九条第一款第一项至三项情形之一，以及无正当理由放弃封闭式框架协议入围资格或者退出封闭式框架协议的，依照政府采购法等有关法律、行政法规追究法律责任。 </w:t>
      </w:r>
    </w:p>
    <w:p w14:paraId="478ADDC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第四十六条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政府采购当事人违反本办法规定，给他人造成损失的，依法承担民事责任。 </w:t>
      </w:r>
    </w:p>
    <w:p w14:paraId="555E1F7A">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第四十七条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财政部门及其工作人员在履行监督管理职责中存在滥用职权、玩忽职守、徇私舞弊等违法违纪行为的，依法追究相应责任。 </w:t>
      </w:r>
    </w:p>
    <w:p w14:paraId="6E40DA70">
      <w:pPr>
        <w:pStyle w:val="5"/>
        <w:widowControl/>
        <w:snapToGrid w:val="0"/>
        <w:spacing w:beforeAutospacing="0" w:afterAutospacing="0" w:line="560" w:lineRule="exact"/>
        <w:jc w:val="center"/>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第六章 附则 </w:t>
      </w:r>
    </w:p>
    <w:p w14:paraId="6418017D">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第四十八条 除本办法第三十五条规定外，本办法规定的公告信息，应当在省级以上财政部门指定的媒体上发布。 </w:t>
      </w:r>
    </w:p>
    <w:p w14:paraId="18A36C0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第四十九条 本办法规定按日计算期间的，开始当天不计入，从次日开始计算。期限的最后一日是国家法定节假日的，顺延到节假日后的次日为期限的最后一日。 </w:t>
      </w:r>
    </w:p>
    <w:p w14:paraId="6E1DEBF6">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第五十条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本办法所称的“以上”、“以下”、“内”、“以内”、“不少于”、“不超过”，包括本数；所称的“不足”、“低于”，不包括本数。 </w:t>
      </w:r>
    </w:p>
    <w:p w14:paraId="024585E2">
      <w:pPr>
        <w:pStyle w:val="5"/>
        <w:widowControl/>
        <w:snapToGrid w:val="0"/>
        <w:spacing w:beforeAutospacing="0" w:afterAutospacing="0" w:line="560" w:lineRule="exact"/>
        <w:jc w:val="both"/>
        <w:rPr>
          <w:rFonts w:hint="eastAsia" w:ascii="仿宋_GB2312" w:hAnsi="宋体" w:eastAsia="仿宋_GB2312" w:cs="宋体"/>
          <w:sz w:val="32"/>
          <w:szCs w:val="32"/>
          <w:highlight w:val="none"/>
        </w:rPr>
      </w:pPr>
      <w:r>
        <w:rPr>
          <w:rFonts w:hint="eastAsia" w:ascii="仿宋_GB2312" w:hAnsi="宋体" w:eastAsia="仿宋_GB2312" w:cs="宋体"/>
          <w:color w:val="333333"/>
          <w:sz w:val="32"/>
          <w:szCs w:val="32"/>
          <w:highlight w:val="none"/>
          <w:shd w:val="clear" w:color="auto" w:fill="FFFFFF"/>
        </w:rPr>
        <w:t>　　第五十一条</w:t>
      </w:r>
      <w:r>
        <w:rPr>
          <w:rFonts w:hint="eastAsia" w:ascii="仿宋_GB2312" w:hAnsi="宋体" w:eastAsia="仿宋_GB2312" w:cs="宋体"/>
          <w:b/>
          <w:color w:val="333333"/>
          <w:sz w:val="32"/>
          <w:szCs w:val="32"/>
          <w:highlight w:val="none"/>
          <w:shd w:val="clear" w:color="auto" w:fill="FFFFFF"/>
        </w:rPr>
        <w:t> </w:t>
      </w:r>
      <w:r>
        <w:rPr>
          <w:rFonts w:hint="eastAsia" w:ascii="仿宋_GB2312" w:hAnsi="宋体" w:eastAsia="仿宋_GB2312" w:cs="宋体"/>
          <w:color w:val="333333"/>
          <w:sz w:val="32"/>
          <w:szCs w:val="32"/>
          <w:highlight w:val="none"/>
          <w:shd w:val="clear" w:color="auto" w:fill="FFFFFF"/>
        </w:rPr>
        <w:t>各省、自治区、直辖市财政部门可以根据本办法制定具体实施办法。 </w:t>
      </w:r>
    </w:p>
    <w:p w14:paraId="6F6EADF6">
      <w:pPr>
        <w:widowControl/>
        <w:shd w:val="clear" w:color="auto" w:fill="FFFFFF"/>
        <w:snapToGrid w:val="0"/>
        <w:spacing w:line="560" w:lineRule="exact"/>
        <w:jc w:val="left"/>
        <w:rPr>
          <w:rFonts w:hint="eastAsia" w:ascii="仿宋_GB2312" w:hAnsi="宋体" w:eastAsia="仿宋_GB2312" w:cs="宋体"/>
          <w:color w:val="333333"/>
          <w:sz w:val="32"/>
          <w:szCs w:val="32"/>
          <w:highlight w:val="none"/>
        </w:rPr>
      </w:pPr>
      <w:r>
        <w:rPr>
          <w:rFonts w:hint="eastAsia" w:ascii="仿宋_GB2312" w:hAnsi="宋体" w:eastAsia="仿宋_GB2312" w:cs="宋体"/>
          <w:color w:val="333333"/>
          <w:kern w:val="0"/>
          <w:sz w:val="32"/>
          <w:szCs w:val="32"/>
          <w:highlight w:val="none"/>
          <w:shd w:val="clear" w:color="auto" w:fill="FFFFFF"/>
          <w:lang w:bidi="ar"/>
        </w:rPr>
        <w:t>   第五十二条</w:t>
      </w:r>
      <w:r>
        <w:rPr>
          <w:rFonts w:hint="eastAsia" w:ascii="仿宋_GB2312" w:hAnsi="宋体" w:eastAsia="仿宋_GB2312" w:cs="宋体"/>
          <w:b/>
          <w:color w:val="333333"/>
          <w:kern w:val="0"/>
          <w:sz w:val="32"/>
          <w:szCs w:val="32"/>
          <w:highlight w:val="none"/>
          <w:shd w:val="clear" w:color="auto" w:fill="FFFFFF"/>
          <w:lang w:bidi="ar"/>
        </w:rPr>
        <w:t> </w:t>
      </w:r>
      <w:r>
        <w:rPr>
          <w:rFonts w:hint="eastAsia" w:ascii="仿宋_GB2312" w:hAnsi="宋体" w:eastAsia="仿宋_GB2312" w:cs="宋体"/>
          <w:color w:val="333333"/>
          <w:kern w:val="0"/>
          <w:sz w:val="32"/>
          <w:szCs w:val="32"/>
          <w:highlight w:val="none"/>
          <w:shd w:val="clear" w:color="auto" w:fill="FFFFFF"/>
          <w:lang w:bidi="ar"/>
        </w:rPr>
        <w:t>本办法自2022年3月1日起施行。 </w:t>
      </w:r>
    </w:p>
    <w:p w14:paraId="3BC83C3D">
      <w:pPr>
        <w:snapToGrid w:val="0"/>
        <w:spacing w:line="560" w:lineRule="exact"/>
        <w:rPr>
          <w:rFonts w:hint="eastAsia" w:ascii="仿宋_GB2312" w:eastAsia="仿宋_GB2312"/>
          <w:sz w:val="32"/>
          <w:szCs w:val="32"/>
          <w:highlight w:val="none"/>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9C0549-E34E-4955-9C1C-CC8D3A2A8CD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5747C257-453F-49AA-B187-7C5CF97C32C9}"/>
  </w:font>
  <w:font w:name="微软雅黑">
    <w:panose1 w:val="020B0503020204020204"/>
    <w:charset w:val="86"/>
    <w:family w:val="swiss"/>
    <w:pitch w:val="default"/>
    <w:sig w:usb0="80000287" w:usb1="2ACF3C50" w:usb2="00000016" w:usb3="00000000" w:csb0="0004001F" w:csb1="00000000"/>
    <w:embedRegular r:id="rId3" w:fontKey="{254B46D7-2F04-42BA-9DA0-A9AC433D241B}"/>
  </w:font>
  <w:font w:name="仿宋_GB2312">
    <w:panose1 w:val="02010609030101010101"/>
    <w:charset w:val="86"/>
    <w:family w:val="modern"/>
    <w:pitch w:val="default"/>
    <w:sig w:usb0="00000001" w:usb1="080E0000" w:usb2="00000000" w:usb3="00000000" w:csb0="00040000" w:csb1="00000000"/>
    <w:embedRegular r:id="rId4" w:fontKey="{D5845CFE-E0E5-4196-AF28-1544FE954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A67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486C5">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C486C5">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DdhNDNkYjVhZmQ5MGMxNGUyMDczNmUyM2ZhZmEifQ=="/>
  </w:docVars>
  <w:rsids>
    <w:rsidRoot w:val="6EDD570B"/>
    <w:rsid w:val="00184A11"/>
    <w:rsid w:val="002E046E"/>
    <w:rsid w:val="003E4820"/>
    <w:rsid w:val="005E180C"/>
    <w:rsid w:val="00786B8D"/>
    <w:rsid w:val="008A589E"/>
    <w:rsid w:val="00B2791B"/>
    <w:rsid w:val="00C932DB"/>
    <w:rsid w:val="00F21E18"/>
    <w:rsid w:val="00F3629A"/>
    <w:rsid w:val="0198444A"/>
    <w:rsid w:val="01B26ECA"/>
    <w:rsid w:val="01B7755B"/>
    <w:rsid w:val="01BE5D47"/>
    <w:rsid w:val="022B7076"/>
    <w:rsid w:val="023D3DC3"/>
    <w:rsid w:val="02BC4170"/>
    <w:rsid w:val="032072EC"/>
    <w:rsid w:val="047844DC"/>
    <w:rsid w:val="04AB2706"/>
    <w:rsid w:val="055B7D5C"/>
    <w:rsid w:val="056D32CF"/>
    <w:rsid w:val="05DB09F2"/>
    <w:rsid w:val="05E36508"/>
    <w:rsid w:val="06032205"/>
    <w:rsid w:val="0673362D"/>
    <w:rsid w:val="0707522A"/>
    <w:rsid w:val="082E7E36"/>
    <w:rsid w:val="0841191E"/>
    <w:rsid w:val="086B3BC0"/>
    <w:rsid w:val="09DA5C10"/>
    <w:rsid w:val="0A6843D0"/>
    <w:rsid w:val="0A8C4B5F"/>
    <w:rsid w:val="0B421F0D"/>
    <w:rsid w:val="0BC0618C"/>
    <w:rsid w:val="0BD10520"/>
    <w:rsid w:val="0C2C2427"/>
    <w:rsid w:val="0CC763FE"/>
    <w:rsid w:val="0D7557AA"/>
    <w:rsid w:val="0F131BD3"/>
    <w:rsid w:val="0F2A0143"/>
    <w:rsid w:val="0F440AA6"/>
    <w:rsid w:val="0FB72691"/>
    <w:rsid w:val="118119A0"/>
    <w:rsid w:val="127C1B32"/>
    <w:rsid w:val="12FA2A59"/>
    <w:rsid w:val="130253C0"/>
    <w:rsid w:val="13324DED"/>
    <w:rsid w:val="1347038C"/>
    <w:rsid w:val="13DB75EC"/>
    <w:rsid w:val="14A427BD"/>
    <w:rsid w:val="14BB2F7D"/>
    <w:rsid w:val="14D43D8E"/>
    <w:rsid w:val="15595C98"/>
    <w:rsid w:val="155B6B9D"/>
    <w:rsid w:val="17166310"/>
    <w:rsid w:val="173C30CB"/>
    <w:rsid w:val="17D412E4"/>
    <w:rsid w:val="17DD5E18"/>
    <w:rsid w:val="17E129E1"/>
    <w:rsid w:val="183D3EE0"/>
    <w:rsid w:val="186702B2"/>
    <w:rsid w:val="18795788"/>
    <w:rsid w:val="18801C5D"/>
    <w:rsid w:val="18C604C9"/>
    <w:rsid w:val="18CC143E"/>
    <w:rsid w:val="18FA3709"/>
    <w:rsid w:val="191B7EFB"/>
    <w:rsid w:val="19550AAC"/>
    <w:rsid w:val="195E6278"/>
    <w:rsid w:val="19D534AE"/>
    <w:rsid w:val="1BCD4963"/>
    <w:rsid w:val="1BD9581C"/>
    <w:rsid w:val="1C5D43F3"/>
    <w:rsid w:val="1F282D64"/>
    <w:rsid w:val="1F2B3CA6"/>
    <w:rsid w:val="1F6453D8"/>
    <w:rsid w:val="1F8E52CA"/>
    <w:rsid w:val="1FF5740B"/>
    <w:rsid w:val="203542B3"/>
    <w:rsid w:val="2038720F"/>
    <w:rsid w:val="209E4D2D"/>
    <w:rsid w:val="21434758"/>
    <w:rsid w:val="21584EBD"/>
    <w:rsid w:val="21912C5E"/>
    <w:rsid w:val="21AB779B"/>
    <w:rsid w:val="2235590D"/>
    <w:rsid w:val="2249629C"/>
    <w:rsid w:val="23770CA8"/>
    <w:rsid w:val="24486830"/>
    <w:rsid w:val="24EC4259"/>
    <w:rsid w:val="251D22C3"/>
    <w:rsid w:val="254338F6"/>
    <w:rsid w:val="25836513"/>
    <w:rsid w:val="264400EC"/>
    <w:rsid w:val="2686368B"/>
    <w:rsid w:val="27181677"/>
    <w:rsid w:val="27A8228C"/>
    <w:rsid w:val="29541A9C"/>
    <w:rsid w:val="29676A7A"/>
    <w:rsid w:val="2A296D3D"/>
    <w:rsid w:val="2A8F5DD3"/>
    <w:rsid w:val="2AB41470"/>
    <w:rsid w:val="2B3B32B9"/>
    <w:rsid w:val="2B5A2976"/>
    <w:rsid w:val="2B8A0F70"/>
    <w:rsid w:val="2B9C6358"/>
    <w:rsid w:val="2C6F2255"/>
    <w:rsid w:val="2C894E99"/>
    <w:rsid w:val="2C9B7B2C"/>
    <w:rsid w:val="2D5337D8"/>
    <w:rsid w:val="2E0F4938"/>
    <w:rsid w:val="2E1E2C7F"/>
    <w:rsid w:val="2E530507"/>
    <w:rsid w:val="2E851F82"/>
    <w:rsid w:val="2EE92673"/>
    <w:rsid w:val="30064EBA"/>
    <w:rsid w:val="30224BCD"/>
    <w:rsid w:val="30271F08"/>
    <w:rsid w:val="30322B7C"/>
    <w:rsid w:val="30336AFF"/>
    <w:rsid w:val="3194448C"/>
    <w:rsid w:val="31F451E9"/>
    <w:rsid w:val="31F814BB"/>
    <w:rsid w:val="32200E79"/>
    <w:rsid w:val="32344F5D"/>
    <w:rsid w:val="33070EAE"/>
    <w:rsid w:val="33071CB6"/>
    <w:rsid w:val="33171A36"/>
    <w:rsid w:val="332E2D0A"/>
    <w:rsid w:val="337631AB"/>
    <w:rsid w:val="33A85CA3"/>
    <w:rsid w:val="34626849"/>
    <w:rsid w:val="35891241"/>
    <w:rsid w:val="35B1326B"/>
    <w:rsid w:val="363D5AE1"/>
    <w:rsid w:val="36C21E8D"/>
    <w:rsid w:val="37C02171"/>
    <w:rsid w:val="37C51C2A"/>
    <w:rsid w:val="381C494B"/>
    <w:rsid w:val="386F72FA"/>
    <w:rsid w:val="39012527"/>
    <w:rsid w:val="39144DC4"/>
    <w:rsid w:val="394F7525"/>
    <w:rsid w:val="3961047E"/>
    <w:rsid w:val="39631001"/>
    <w:rsid w:val="3966441C"/>
    <w:rsid w:val="3A0D304F"/>
    <w:rsid w:val="3AB806DD"/>
    <w:rsid w:val="3B4F0F0F"/>
    <w:rsid w:val="3B5D55BA"/>
    <w:rsid w:val="3BE404E8"/>
    <w:rsid w:val="3C7700A5"/>
    <w:rsid w:val="3CE20777"/>
    <w:rsid w:val="3D607139"/>
    <w:rsid w:val="3D7019A4"/>
    <w:rsid w:val="3D8C6EAC"/>
    <w:rsid w:val="3E2521BE"/>
    <w:rsid w:val="3E5401B5"/>
    <w:rsid w:val="3E8554C8"/>
    <w:rsid w:val="3F43530E"/>
    <w:rsid w:val="3F513A49"/>
    <w:rsid w:val="3F5A67EE"/>
    <w:rsid w:val="40497DB0"/>
    <w:rsid w:val="404D2505"/>
    <w:rsid w:val="40996F5A"/>
    <w:rsid w:val="40DA3F18"/>
    <w:rsid w:val="414502F5"/>
    <w:rsid w:val="415A0C38"/>
    <w:rsid w:val="41B83E93"/>
    <w:rsid w:val="41FD7ED2"/>
    <w:rsid w:val="425F00A8"/>
    <w:rsid w:val="428F2356"/>
    <w:rsid w:val="429F1CAE"/>
    <w:rsid w:val="42F05EE1"/>
    <w:rsid w:val="43095719"/>
    <w:rsid w:val="437C46E4"/>
    <w:rsid w:val="4396748D"/>
    <w:rsid w:val="4427458D"/>
    <w:rsid w:val="4441409C"/>
    <w:rsid w:val="44BB6617"/>
    <w:rsid w:val="45B3010A"/>
    <w:rsid w:val="46271EA2"/>
    <w:rsid w:val="464B2EFD"/>
    <w:rsid w:val="46BC1D6D"/>
    <w:rsid w:val="46C8434B"/>
    <w:rsid w:val="46D16767"/>
    <w:rsid w:val="47085CA2"/>
    <w:rsid w:val="475557F3"/>
    <w:rsid w:val="478D2289"/>
    <w:rsid w:val="47F23857"/>
    <w:rsid w:val="48385909"/>
    <w:rsid w:val="48B334E8"/>
    <w:rsid w:val="48FC29BF"/>
    <w:rsid w:val="49475445"/>
    <w:rsid w:val="495D66A0"/>
    <w:rsid w:val="49830F8F"/>
    <w:rsid w:val="4987245B"/>
    <w:rsid w:val="4A127B71"/>
    <w:rsid w:val="4A155724"/>
    <w:rsid w:val="4A5A1C8C"/>
    <w:rsid w:val="4B083180"/>
    <w:rsid w:val="4B625849"/>
    <w:rsid w:val="4B64645B"/>
    <w:rsid w:val="4BE542D6"/>
    <w:rsid w:val="4BF52C80"/>
    <w:rsid w:val="4D951C34"/>
    <w:rsid w:val="4E4B0E7D"/>
    <w:rsid w:val="4E623AF3"/>
    <w:rsid w:val="4E727E6C"/>
    <w:rsid w:val="4E8B618C"/>
    <w:rsid w:val="4ED825A6"/>
    <w:rsid w:val="4F2D7286"/>
    <w:rsid w:val="4F85076A"/>
    <w:rsid w:val="506C143A"/>
    <w:rsid w:val="511D2E60"/>
    <w:rsid w:val="514C571D"/>
    <w:rsid w:val="51642572"/>
    <w:rsid w:val="528E02DC"/>
    <w:rsid w:val="53BD1D0A"/>
    <w:rsid w:val="54490A9F"/>
    <w:rsid w:val="55590584"/>
    <w:rsid w:val="5603645D"/>
    <w:rsid w:val="569C1AAA"/>
    <w:rsid w:val="56C77A3D"/>
    <w:rsid w:val="56DB3F34"/>
    <w:rsid w:val="57706E7B"/>
    <w:rsid w:val="58F767E0"/>
    <w:rsid w:val="599E2EF0"/>
    <w:rsid w:val="59C31909"/>
    <w:rsid w:val="5A2335A4"/>
    <w:rsid w:val="5A286FE6"/>
    <w:rsid w:val="5A412FFA"/>
    <w:rsid w:val="5A4B3F7D"/>
    <w:rsid w:val="5A9037BB"/>
    <w:rsid w:val="5AA15A8E"/>
    <w:rsid w:val="5ABF6041"/>
    <w:rsid w:val="5ADB6344"/>
    <w:rsid w:val="5B2204EC"/>
    <w:rsid w:val="5B2854B5"/>
    <w:rsid w:val="5B7C25BD"/>
    <w:rsid w:val="5B920BB7"/>
    <w:rsid w:val="5BBD09D3"/>
    <w:rsid w:val="5C8A4224"/>
    <w:rsid w:val="5CAA602A"/>
    <w:rsid w:val="5D0D551C"/>
    <w:rsid w:val="5D916A75"/>
    <w:rsid w:val="5DE7617F"/>
    <w:rsid w:val="5EBD311F"/>
    <w:rsid w:val="5F6F304C"/>
    <w:rsid w:val="5FDB686B"/>
    <w:rsid w:val="60144BD5"/>
    <w:rsid w:val="605F7AD9"/>
    <w:rsid w:val="60775335"/>
    <w:rsid w:val="60980E71"/>
    <w:rsid w:val="60A502EA"/>
    <w:rsid w:val="626B79A2"/>
    <w:rsid w:val="62E554BD"/>
    <w:rsid w:val="63E43F91"/>
    <w:rsid w:val="63FE2D32"/>
    <w:rsid w:val="6442325D"/>
    <w:rsid w:val="65240C44"/>
    <w:rsid w:val="65B63B01"/>
    <w:rsid w:val="65D45387"/>
    <w:rsid w:val="66803FD7"/>
    <w:rsid w:val="66A27CE0"/>
    <w:rsid w:val="66F06302"/>
    <w:rsid w:val="673F7D94"/>
    <w:rsid w:val="67467941"/>
    <w:rsid w:val="67842C3D"/>
    <w:rsid w:val="67AA3206"/>
    <w:rsid w:val="69532080"/>
    <w:rsid w:val="6A2B66CA"/>
    <w:rsid w:val="6A971844"/>
    <w:rsid w:val="6ABA5DDF"/>
    <w:rsid w:val="6AC24176"/>
    <w:rsid w:val="6B1C1BEE"/>
    <w:rsid w:val="6B962E92"/>
    <w:rsid w:val="6BD54FB2"/>
    <w:rsid w:val="6CCD5437"/>
    <w:rsid w:val="6CF67686"/>
    <w:rsid w:val="6DB8230C"/>
    <w:rsid w:val="6EB57DB7"/>
    <w:rsid w:val="6EDD570B"/>
    <w:rsid w:val="6F2E6A62"/>
    <w:rsid w:val="6FDC7875"/>
    <w:rsid w:val="7010504C"/>
    <w:rsid w:val="70206472"/>
    <w:rsid w:val="702323BA"/>
    <w:rsid w:val="703D0A0E"/>
    <w:rsid w:val="70615A4F"/>
    <w:rsid w:val="71146EEA"/>
    <w:rsid w:val="71272990"/>
    <w:rsid w:val="729C6EBF"/>
    <w:rsid w:val="72A90695"/>
    <w:rsid w:val="72BD7F23"/>
    <w:rsid w:val="72F21D5E"/>
    <w:rsid w:val="73C35326"/>
    <w:rsid w:val="73D534D5"/>
    <w:rsid w:val="75597F27"/>
    <w:rsid w:val="759B0999"/>
    <w:rsid w:val="76A04EC7"/>
    <w:rsid w:val="76E46C4C"/>
    <w:rsid w:val="772A44BE"/>
    <w:rsid w:val="7A6A7D7B"/>
    <w:rsid w:val="7BDC6259"/>
    <w:rsid w:val="7C1F785B"/>
    <w:rsid w:val="7C35246D"/>
    <w:rsid w:val="7C813F28"/>
    <w:rsid w:val="7CB81815"/>
    <w:rsid w:val="7CE53B90"/>
    <w:rsid w:val="7CE72E41"/>
    <w:rsid w:val="7CFD7D0D"/>
    <w:rsid w:val="7CFF2E4D"/>
    <w:rsid w:val="7D3B5AC5"/>
    <w:rsid w:val="7D88213E"/>
    <w:rsid w:val="7D9C48DA"/>
    <w:rsid w:val="7E872F56"/>
    <w:rsid w:val="7EA614DA"/>
    <w:rsid w:val="7F060D42"/>
    <w:rsid w:val="7F4F23AC"/>
    <w:rsid w:val="7FA6431E"/>
    <w:rsid w:val="7FD9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8456</Words>
  <Characters>8482</Characters>
  <Lines>66</Lines>
  <Paragraphs>18</Paragraphs>
  <TotalTime>18</TotalTime>
  <ScaleCrop>false</ScaleCrop>
  <LinksUpToDate>false</LinksUpToDate>
  <CharactersWithSpaces>9119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2022-01-27T01:33:00Z</dcterms:created>
  <dc:creator>Wangxiaoli</dc:creator>
  <cp:lastModifiedBy>亮亮</cp:lastModifiedBy>
  <dcterms:modified xsi:type="dcterms:W3CDTF">2024-11-19T10:47:45Z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C43DCC26B5614E2D8723210379335692_12</vt:lpwstr>
  </property>
</Properties>
</file>