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127151555"/>
      <w:bookmarkStart w:id="2" w:name="_Toc305158823"/>
      <w:bookmarkStart w:id="3" w:name="_Toc226337251"/>
      <w:bookmarkStart w:id="4" w:name="_Toc305158897"/>
      <w:bookmarkStart w:id="5" w:name="_Toc353873935"/>
      <w:bookmarkStart w:id="6" w:name="_Toc195842920"/>
      <w:bookmarkStart w:id="7" w:name="_Toc150480793"/>
      <w:bookmarkStart w:id="8" w:name="_Toc226965828"/>
      <w:bookmarkStart w:id="9" w:name="_Toc265228393"/>
      <w:bookmarkStart w:id="10" w:name="_Toc264969245"/>
      <w:bookmarkStart w:id="11" w:name="_Toc150774760"/>
      <w:bookmarkStart w:id="12" w:name="_Toc353825545"/>
      <w:bookmarkStart w:id="13" w:name="_Toc142311057"/>
      <w:bookmarkStart w:id="14" w:name="_Toc353873665"/>
      <w:r>
        <w:rPr>
          <w:b/>
          <w:sz w:val="36"/>
          <w:szCs w:val="36"/>
        </w:rPr>
        <w:t xml:space="preserve">   采购需求</w:t>
      </w:r>
      <w:bookmarkEnd w:id="0"/>
    </w:p>
    <w:p>
      <w:pPr>
        <w:spacing w:line="360" w:lineRule="auto"/>
        <w:contextualSpacing/>
        <w:rPr>
          <w:sz w:val="24"/>
        </w:rPr>
      </w:pPr>
    </w:p>
    <w:p>
      <w:pPr>
        <w:spacing w:line="360" w:lineRule="auto"/>
        <w:contextualSpacing/>
        <w:rPr>
          <w:sz w:val="24"/>
        </w:rPr>
      </w:pPr>
    </w:p>
    <w:p>
      <w:pPr>
        <w:pStyle w:val="69"/>
        <w:numPr>
          <w:ilvl w:val="0"/>
          <w:numId w:val="8"/>
        </w:numPr>
        <w:spacing w:line="360" w:lineRule="auto"/>
        <w:ind w:firstLineChars="0"/>
        <w:contextualSpacing/>
        <w:outlineLvl w:val="0"/>
        <w:rPr>
          <w:rFonts w:hint="eastAsia" w:ascii="Times New Roman" w:hAnsi="Times New Roman"/>
          <w:b/>
          <w:sz w:val="24"/>
          <w:szCs w:val="24"/>
        </w:rPr>
      </w:pPr>
      <w:r>
        <w:rPr>
          <w:rFonts w:hint="eastAsia" w:ascii="Times New Roman" w:hAnsi="Times New Roman"/>
          <w:b/>
          <w:sz w:val="24"/>
          <w:szCs w:val="24"/>
        </w:rPr>
        <w:t>采购</w:t>
      </w:r>
      <w:r>
        <w:rPr>
          <w:rFonts w:hint="eastAsia" w:ascii="Times New Roman" w:hAnsi="Times New Roman"/>
          <w:b/>
          <w:sz w:val="24"/>
          <w:szCs w:val="24"/>
          <w:lang w:eastAsia="zh-CN"/>
        </w:rPr>
        <w:t>的标的</w:t>
      </w:r>
    </w:p>
    <w:p>
      <w:pPr>
        <w:spacing w:line="360" w:lineRule="auto"/>
        <w:contextualSpacing/>
        <w:outlineLvl w:val="1"/>
        <w:rPr>
          <w:rFonts w:hint="eastAsia" w:eastAsia="宋体"/>
          <w:b/>
          <w:sz w:val="24"/>
          <w:lang w:eastAsia="zh-CN"/>
        </w:rPr>
      </w:pPr>
      <w:r>
        <w:rPr>
          <w:rFonts w:hint="eastAsia"/>
          <w:b/>
          <w:sz w:val="24"/>
        </w:rPr>
        <w:t>（一）</w:t>
      </w:r>
      <w:r>
        <w:rPr>
          <w:rFonts w:hint="eastAsia"/>
          <w:b/>
          <w:sz w:val="24"/>
          <w:lang w:eastAsia="zh-CN"/>
        </w:rPr>
        <w:t>采购标的：</w:t>
      </w:r>
      <w:r>
        <w:rPr>
          <w:rFonts w:hint="eastAsia" w:ascii="宋体" w:hAnsi="宋体" w:cs="宋体"/>
          <w:sz w:val="24"/>
          <w:u w:val="none"/>
        </w:rPr>
        <w:t>政务云租用费（第1标段：基础环境租用）</w:t>
      </w:r>
    </w:p>
    <w:tbl>
      <w:tblPr>
        <w:tblStyle w:val="43"/>
        <w:tblW w:w="9283" w:type="dxa"/>
        <w:jc w:val="center"/>
        <w:tblInd w:w="0" w:type="dxa"/>
        <w:tblLayout w:type="fixed"/>
        <w:tblCellMar>
          <w:top w:w="0" w:type="dxa"/>
          <w:left w:w="108" w:type="dxa"/>
          <w:bottom w:w="0" w:type="dxa"/>
          <w:right w:w="108" w:type="dxa"/>
        </w:tblCellMar>
      </w:tblPr>
      <w:tblGrid>
        <w:gridCol w:w="1322"/>
        <w:gridCol w:w="2756"/>
        <w:gridCol w:w="1243"/>
        <w:gridCol w:w="1418"/>
        <w:gridCol w:w="1123"/>
        <w:gridCol w:w="1421"/>
      </w:tblGrid>
      <w:tr>
        <w:tblPrEx>
          <w:tblLayout w:type="fixed"/>
          <w:tblCellMar>
            <w:top w:w="0" w:type="dxa"/>
            <w:left w:w="108" w:type="dxa"/>
            <w:bottom w:w="0" w:type="dxa"/>
            <w:right w:w="108" w:type="dxa"/>
          </w:tblCellMar>
        </w:tblPrEx>
        <w:trPr>
          <w:trHeight w:val="522" w:hRule="atLeast"/>
          <w:tblHeader/>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服务子类</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服务项</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计价单位</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报价单位</w:t>
            </w:r>
          </w:p>
        </w:tc>
        <w:tc>
          <w:tcPr>
            <w:tcW w:w="11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14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服务期（月）</w:t>
            </w:r>
          </w:p>
        </w:tc>
      </w:tr>
      <w:tr>
        <w:tblPrEx>
          <w:tblLayout w:type="fixed"/>
          <w:tblCellMar>
            <w:top w:w="0" w:type="dxa"/>
            <w:left w:w="108" w:type="dxa"/>
            <w:bottom w:w="0" w:type="dxa"/>
            <w:right w:w="108" w:type="dxa"/>
          </w:tblCellMar>
        </w:tblPrEx>
        <w:trPr>
          <w:trHeight w:val="48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szCs w:val="21"/>
              </w:rPr>
              <w:t>X</w:t>
            </w:r>
            <w:r>
              <w:rPr>
                <w:rFonts w:hint="eastAsia" w:ascii="宋体" w:hAnsi="宋体" w:cs="宋体"/>
                <w:color w:val="000000"/>
                <w:kern w:val="0"/>
                <w:sz w:val="20"/>
                <w:szCs w:val="20"/>
                <w:lang w:bidi="ar"/>
              </w:rPr>
              <w:t>86平台云主机服务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vCPU（主频不低于2.4GHz）</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1CPU</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48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内存</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1GB</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7544</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140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szCs w:val="21"/>
              </w:rPr>
              <w:t>X</w:t>
            </w:r>
            <w:r>
              <w:rPr>
                <w:rFonts w:hint="eastAsia" w:ascii="宋体" w:hAnsi="宋体" w:cs="宋体"/>
                <w:color w:val="000000"/>
                <w:kern w:val="0"/>
                <w:sz w:val="20"/>
                <w:szCs w:val="20"/>
                <w:lang w:bidi="ar"/>
              </w:rPr>
              <w:t>86物理服务器租用服务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物理服务器1：</w:t>
            </w:r>
            <w:r>
              <w:rPr>
                <w:rFonts w:hint="eastAsia" w:ascii="宋体" w:hAnsi="宋体"/>
                <w:szCs w:val="21"/>
              </w:rPr>
              <w:t>X</w:t>
            </w:r>
            <w:r>
              <w:rPr>
                <w:rFonts w:hint="eastAsia" w:ascii="宋体" w:hAnsi="宋体" w:cs="宋体"/>
                <w:color w:val="000000"/>
                <w:kern w:val="0"/>
                <w:sz w:val="20"/>
                <w:szCs w:val="20"/>
                <w:lang w:bidi="ar"/>
              </w:rPr>
              <w:t>86物理服务器配置1：2路12核2.4Ghz，64GB内存，2块600G SAS硬盘,4个万兆端口，2千兆端口</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60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szCs w:val="21"/>
              </w:rPr>
              <w:t>X</w:t>
            </w:r>
            <w:r>
              <w:rPr>
                <w:rFonts w:hint="eastAsia" w:ascii="宋体" w:hAnsi="宋体" w:cs="宋体"/>
                <w:color w:val="000000"/>
                <w:kern w:val="0"/>
                <w:sz w:val="20"/>
                <w:szCs w:val="20"/>
                <w:lang w:bidi="ar"/>
              </w:rPr>
              <w:t>86物理服务器租用服务-内存-32GB</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76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szCs w:val="21"/>
              </w:rPr>
              <w:t>X</w:t>
            </w:r>
            <w:r>
              <w:rPr>
                <w:rFonts w:hint="eastAsia" w:ascii="宋体" w:hAnsi="宋体" w:cs="宋体"/>
                <w:color w:val="000000"/>
                <w:kern w:val="0"/>
                <w:sz w:val="20"/>
                <w:szCs w:val="20"/>
                <w:lang w:bidi="ar"/>
              </w:rPr>
              <w:t>86物理服务器租用服务-硬盘配置-600GB SAS</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1块</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图形图像计算服务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GPU显存不低于16G，最大单精度浮点计算能力不低于7TFLOPS，最大双精度浮点计算能力0.2TFLOPS</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1GPU</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普通性能存储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普通存储（单盘技术指标: 单盘IOPS 2000-5000 ）</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1GB</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101317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高性能存储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高性能存储（单盘技术指标：单盘IOPS 10000-25000 ）</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1GB</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154157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静态存储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大容量、高可靠的数据存储服务，具备PB级线性扩展能力</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1TB</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77</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本地备份服务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本地备份服务通过备份策略实现对用户数据（文件、操作系统、数据库）的本地备份/异地备份（不包含备份存储空间费用）</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1GB</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76500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互联网链路服务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互联网链路带宽</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1Mb</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520"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互联网IP地址租用服务、并提供备案服务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1IP</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7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主机负载均衡服务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主机负载均衡服务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1IP(内网)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7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远程接入服务</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远程接入服务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1账号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7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WAF防护</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web应用防火墙服务</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1IP(互联网)</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r>
        <w:tblPrEx>
          <w:tblLayout w:type="fixed"/>
          <w:tblCellMar>
            <w:top w:w="0" w:type="dxa"/>
            <w:left w:w="108" w:type="dxa"/>
            <w:bottom w:w="0" w:type="dxa"/>
            <w:right w:w="108" w:type="dxa"/>
          </w:tblCellMar>
        </w:tblPrEx>
        <w:trPr>
          <w:trHeight w:val="720" w:hRule="atLeast"/>
          <w:jc w:val="center"/>
        </w:trPr>
        <w:tc>
          <w:tcPr>
            <w:tcW w:w="13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特定云主机深度监控及运维保障服务（7*24小时值守）</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特定云主机深度监控及运维保障服务（7*24小时值守）</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1主机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sz w:val="20"/>
                <w:szCs w:val="20"/>
                <w:lang w:bidi="ar"/>
              </w:rPr>
              <w:t>元/月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r>
    </w:tbl>
    <w:p>
      <w:pPr>
        <w:spacing w:line="360" w:lineRule="auto"/>
        <w:contextualSpacing/>
        <w:outlineLvl w:val="1"/>
        <w:rPr>
          <w:rFonts w:hint="eastAsia" w:eastAsia="宋体"/>
          <w:b/>
          <w:sz w:val="24"/>
          <w:lang w:eastAsia="zh-CN"/>
        </w:rPr>
      </w:pPr>
      <w:r>
        <w:rPr>
          <w:rFonts w:hint="eastAsia"/>
          <w:b/>
          <w:sz w:val="24"/>
        </w:rPr>
        <w:t>（</w:t>
      </w:r>
      <w:r>
        <w:rPr>
          <w:rFonts w:hint="eastAsia"/>
          <w:b/>
          <w:sz w:val="24"/>
          <w:lang w:eastAsia="zh-CN"/>
        </w:rPr>
        <w:t>二</w:t>
      </w:r>
      <w:r>
        <w:rPr>
          <w:rFonts w:hint="eastAsia"/>
          <w:b/>
          <w:sz w:val="24"/>
        </w:rPr>
        <w:t>）</w:t>
      </w:r>
      <w:r>
        <w:rPr>
          <w:rFonts w:hint="eastAsia"/>
          <w:b/>
          <w:sz w:val="24"/>
          <w:lang w:eastAsia="zh-CN"/>
        </w:rPr>
        <w:t>项目背景</w:t>
      </w:r>
    </w:p>
    <w:p>
      <w:pPr>
        <w:spacing w:line="360" w:lineRule="auto"/>
        <w:ind w:firstLine="480" w:firstLineChars="200"/>
        <w:contextualSpacing/>
        <w:rPr>
          <w:rFonts w:hint="eastAsia" w:ascii="宋体" w:hAnsi="宋体" w:cs="宋体"/>
          <w:sz w:val="24"/>
        </w:rPr>
      </w:pPr>
      <w:r>
        <w:rPr>
          <w:rFonts w:hint="eastAsia" w:ascii="宋体" w:hAnsi="宋体" w:cs="宋体"/>
          <w:sz w:val="24"/>
        </w:rPr>
        <w:t>目前北京市水务局共有9个业务系统在北京市市级政务云上运行，从网络层面涉及互联网业务、政务外网业务、水务专网业务等多种网络类型业务；从业务属性划分为核心业务、基础支撑类业务、监控业务系统；从服务对象划分为面向本局属单位的业务、面向水务局其他局属单位业务系统、面向水利部业务系统等，具有“业务系统数量多、类型多、面向服务对象多、网络类型复杂”等业务特性。</w:t>
      </w:r>
    </w:p>
    <w:p>
      <w:pPr>
        <w:pStyle w:val="69"/>
        <w:widowControl w:val="0"/>
        <w:numPr>
          <w:ilvl w:val="0"/>
          <w:numId w:val="0"/>
        </w:numPr>
        <w:spacing w:line="360" w:lineRule="auto"/>
        <w:ind w:firstLine="480"/>
        <w:contextualSpacing/>
        <w:jc w:val="both"/>
        <w:outlineLvl w:val="9"/>
        <w:rPr>
          <w:rFonts w:hint="eastAsia" w:ascii="Times New Roman" w:hAnsi="Times New Roman"/>
          <w:b/>
          <w:sz w:val="24"/>
          <w:szCs w:val="24"/>
        </w:rPr>
      </w:pPr>
      <w:r>
        <w:rPr>
          <w:rFonts w:hint="eastAsia" w:ascii="宋体" w:hAnsi="宋体" w:cs="宋体"/>
          <w:sz w:val="24"/>
        </w:rPr>
        <w:t>按照《北京市市级政务云管理办法》（京经信函〔2019〕150号）文件规定的“各单位新建信息系统应部署到政务云，现有信息系统应逐步迁移至政务云，凡政务云已具备服务能力的相关软、硬件原则上不再新购”的指示，目前北京市水务局已完成相关业务系统的入云工作。为有效保障市水务局业务系统的稳定运行，充分发挥政务云弹性伸缩、服务灵活的优势，市水务局继续租用北京市级政务云服务，为入云业务系统提供动态灵活、安全可靠的政务云服务保障。</w:t>
      </w:r>
    </w:p>
    <w:p>
      <w:pPr>
        <w:pStyle w:val="69"/>
        <w:widowControl w:val="0"/>
        <w:numPr>
          <w:ilvl w:val="0"/>
          <w:numId w:val="0"/>
        </w:numPr>
        <w:spacing w:line="360" w:lineRule="auto"/>
        <w:contextualSpacing/>
        <w:jc w:val="both"/>
        <w:outlineLvl w:val="0"/>
        <w:rPr>
          <w:rFonts w:hint="eastAsia" w:ascii="Times New Roman" w:hAnsi="Times New Roman"/>
          <w:b/>
          <w:sz w:val="24"/>
          <w:szCs w:val="24"/>
        </w:rPr>
      </w:pPr>
      <w:r>
        <w:rPr>
          <w:rFonts w:hint="eastAsia" w:ascii="Times New Roman" w:hAnsi="Times New Roman"/>
          <w:b/>
          <w:sz w:val="24"/>
          <w:szCs w:val="24"/>
          <w:lang w:eastAsia="zh-CN"/>
        </w:rPr>
        <w:t>二、商务要求</w:t>
      </w:r>
    </w:p>
    <w:p>
      <w:pPr>
        <w:spacing w:line="360" w:lineRule="auto"/>
        <w:contextualSpacing/>
        <w:outlineLvl w:val="1"/>
        <w:rPr>
          <w:rFonts w:hint="eastAsia"/>
          <w:b/>
          <w:sz w:val="24"/>
        </w:rPr>
      </w:pPr>
      <w:r>
        <w:rPr>
          <w:rFonts w:hint="eastAsia"/>
          <w:b/>
          <w:sz w:val="24"/>
        </w:rPr>
        <w:t>（一）采购标的服务时间及地点</w:t>
      </w:r>
    </w:p>
    <w:p>
      <w:pPr>
        <w:pStyle w:val="69"/>
        <w:widowControl w:val="0"/>
        <w:numPr>
          <w:ilvl w:val="0"/>
          <w:numId w:val="0"/>
        </w:numPr>
        <w:spacing w:line="360" w:lineRule="auto"/>
        <w:contextualSpacing/>
        <w:jc w:val="both"/>
        <w:outlineLvl w:val="9"/>
        <w:rPr>
          <w:rFonts w:hint="eastAsia" w:ascii="Times New Roman" w:hAnsi="Times New Roman" w:eastAsia="宋体"/>
          <w:b/>
          <w:sz w:val="24"/>
          <w:szCs w:val="24"/>
          <w:lang w:eastAsia="zh-CN"/>
        </w:rPr>
      </w:pPr>
      <w:r>
        <w:rPr>
          <w:rFonts w:hint="eastAsia" w:ascii="宋体" w:hAnsi="宋体" w:cs="宋体"/>
          <w:sz w:val="24"/>
          <w:u w:val="single"/>
        </w:rPr>
        <w:t>2025年4月1日至2025年12月31日</w:t>
      </w:r>
      <w:r>
        <w:rPr>
          <w:rFonts w:hint="eastAsia" w:ascii="宋体" w:hAnsi="宋体" w:cs="宋体"/>
          <w:sz w:val="24"/>
          <w:u w:val="single"/>
          <w:lang w:eastAsia="zh-CN"/>
        </w:rPr>
        <w:t>，</w:t>
      </w:r>
      <w:r>
        <w:rPr>
          <w:rFonts w:hint="eastAsia" w:ascii="Times New Roman" w:hAnsi="Times New Roman" w:eastAsia="宋体" w:cs="Times New Roman"/>
          <w:color w:val="auto"/>
          <w:sz w:val="24"/>
          <w:highlight w:val="none"/>
          <w:shd w:val="clear" w:color="auto" w:fill="auto"/>
          <w:lang w:val="en-US" w:eastAsia="zh-CN"/>
        </w:rPr>
        <w:t>在北京市履行。</w:t>
      </w:r>
    </w:p>
    <w:p>
      <w:pPr>
        <w:spacing w:line="360" w:lineRule="auto"/>
        <w:contextualSpacing/>
        <w:outlineLvl w:val="1"/>
        <w:rPr>
          <w:rFonts w:hint="eastAsia" w:eastAsia="宋体"/>
          <w:b/>
          <w:sz w:val="24"/>
          <w:lang w:eastAsia="zh-CN"/>
        </w:rPr>
      </w:pPr>
      <w:r>
        <w:rPr>
          <w:rFonts w:hint="eastAsia"/>
          <w:b/>
          <w:sz w:val="24"/>
        </w:rPr>
        <w:t>（</w:t>
      </w:r>
      <w:r>
        <w:rPr>
          <w:rFonts w:hint="eastAsia"/>
          <w:b/>
          <w:sz w:val="24"/>
          <w:lang w:eastAsia="zh-CN"/>
        </w:rPr>
        <w:t>二</w:t>
      </w:r>
      <w:r>
        <w:rPr>
          <w:rFonts w:hint="eastAsia"/>
          <w:b/>
          <w:sz w:val="24"/>
        </w:rPr>
        <w:t>）</w:t>
      </w:r>
      <w:r>
        <w:rPr>
          <w:rFonts w:hint="eastAsia"/>
          <w:b/>
          <w:sz w:val="24"/>
          <w:lang w:eastAsia="zh-CN"/>
        </w:rPr>
        <w:t>付款条件</w:t>
      </w:r>
    </w:p>
    <w:p>
      <w:pPr>
        <w:spacing w:line="360" w:lineRule="auto"/>
        <w:ind w:firstLine="480" w:firstLineChars="200"/>
        <w:rPr>
          <w:rFonts w:hint="eastAsia" w:ascii="宋体" w:hAnsi="宋体"/>
          <w:sz w:val="24"/>
        </w:rPr>
      </w:pPr>
      <w:r>
        <w:rPr>
          <w:rFonts w:hint="eastAsia" w:ascii="宋体" w:hAnsi="宋体"/>
          <w:sz w:val="24"/>
        </w:rPr>
        <w:t>第一次付款：采购人于本合同签订后</w:t>
      </w:r>
      <w:r>
        <w:rPr>
          <w:rFonts w:ascii="宋体" w:hAnsi="宋体"/>
          <w:sz w:val="24"/>
        </w:rPr>
        <w:t>10个工作日内向</w:t>
      </w:r>
      <w:r>
        <w:rPr>
          <w:rFonts w:hint="eastAsia" w:ascii="宋体" w:hAnsi="宋体"/>
          <w:sz w:val="24"/>
        </w:rPr>
        <w:t>供应商</w:t>
      </w:r>
      <w:r>
        <w:rPr>
          <w:rFonts w:ascii="宋体" w:hAnsi="宋体"/>
          <w:sz w:val="24"/>
        </w:rPr>
        <w:t>支付合同价款的70%作为预付款</w:t>
      </w:r>
      <w:r>
        <w:rPr>
          <w:rFonts w:hint="eastAsia" w:ascii="宋体" w:hAnsi="宋体"/>
          <w:sz w:val="24"/>
        </w:rPr>
        <w:t>，</w:t>
      </w:r>
      <w:r>
        <w:rPr>
          <w:rFonts w:ascii="宋体" w:hAnsi="宋体"/>
          <w:sz w:val="24"/>
        </w:rPr>
        <w:t>即</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rFonts w:hint="eastAsia" w:ascii="宋体" w:hAnsi="宋体"/>
          <w:sz w:val="24"/>
        </w:rPr>
      </w:pPr>
      <w:r>
        <w:rPr>
          <w:rFonts w:hint="eastAsia" w:ascii="宋体" w:hAnsi="宋体"/>
          <w:sz w:val="24"/>
        </w:rPr>
        <w:t>第二次付款：汛期服务结束后，供应商按要求提交汛期服务总结报告，且经采购人确认后10个工作日内支付合同价款的20%，</w:t>
      </w:r>
      <w:r>
        <w:rPr>
          <w:rFonts w:ascii="宋体" w:hAnsi="宋体"/>
          <w:sz w:val="24"/>
        </w:rPr>
        <w:t>即人民币（大写）：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spacing w:line="360" w:lineRule="auto"/>
        <w:ind w:firstLine="480" w:firstLineChars="200"/>
        <w:rPr>
          <w:rFonts w:hint="eastAsia" w:ascii="宋体" w:hAnsi="宋体"/>
          <w:sz w:val="24"/>
        </w:rPr>
      </w:pPr>
      <w:r>
        <w:rPr>
          <w:rFonts w:hint="eastAsia" w:ascii="宋体" w:hAnsi="宋体"/>
          <w:sz w:val="24"/>
        </w:rPr>
        <w:t>第三次付款：供应商完成本合同的全部工作，且经采购人验收合格后</w:t>
      </w:r>
      <w:r>
        <w:rPr>
          <w:rFonts w:ascii="宋体" w:hAnsi="宋体"/>
          <w:sz w:val="24"/>
        </w:rPr>
        <w:t>10个工作日内支付</w:t>
      </w:r>
      <w:r>
        <w:rPr>
          <w:rFonts w:hint="eastAsia" w:ascii="宋体" w:hAnsi="宋体"/>
          <w:sz w:val="24"/>
        </w:rPr>
        <w:t>合同价款的10</w:t>
      </w:r>
      <w:r>
        <w:rPr>
          <w:rFonts w:ascii="宋体" w:hAnsi="宋体"/>
          <w:sz w:val="24"/>
        </w:rPr>
        <w:t>%，即人民币（大写）：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pStyle w:val="69"/>
        <w:widowControl w:val="0"/>
        <w:numPr>
          <w:ilvl w:val="0"/>
          <w:numId w:val="0"/>
        </w:numPr>
        <w:spacing w:line="360" w:lineRule="auto"/>
        <w:contextualSpacing/>
        <w:jc w:val="both"/>
        <w:outlineLvl w:val="0"/>
        <w:rPr>
          <w:rFonts w:hint="eastAsia" w:ascii="Times New Roman" w:hAnsi="Times New Roman"/>
          <w:b/>
          <w:sz w:val="24"/>
          <w:szCs w:val="24"/>
        </w:rPr>
      </w:pPr>
      <w:r>
        <w:rPr>
          <w:rFonts w:hint="eastAsia" w:ascii="Times New Roman" w:hAnsi="Times New Roman"/>
          <w:b/>
          <w:sz w:val="24"/>
          <w:szCs w:val="24"/>
          <w:lang w:eastAsia="zh-CN"/>
        </w:rPr>
        <w:t>三、技术要求</w:t>
      </w:r>
    </w:p>
    <w:p>
      <w:pPr>
        <w:spacing w:line="360" w:lineRule="auto"/>
        <w:contextualSpacing/>
        <w:outlineLvl w:val="1"/>
        <w:rPr>
          <w:rFonts w:hint="eastAsia" w:eastAsia="宋体"/>
          <w:b/>
          <w:sz w:val="24"/>
          <w:lang w:eastAsia="zh-CN"/>
        </w:rPr>
      </w:pPr>
      <w:r>
        <w:rPr>
          <w:rFonts w:hint="eastAsia"/>
          <w:b/>
          <w:sz w:val="24"/>
        </w:rPr>
        <w:t>（一）</w:t>
      </w:r>
      <w:r>
        <w:rPr>
          <w:rFonts w:hint="eastAsia"/>
          <w:b/>
          <w:sz w:val="24"/>
          <w:lang w:eastAsia="zh-CN"/>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outlineLvl w:val="2"/>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1 运行维护目标</w:t>
      </w:r>
    </w:p>
    <w:p>
      <w:pPr>
        <w:spacing w:line="360" w:lineRule="auto"/>
        <w:ind w:firstLine="482"/>
        <w:contextualSpacing/>
        <w:rPr>
          <w:rFonts w:hint="eastAsia" w:ascii="宋体" w:hAnsi="宋体" w:cs="宋体"/>
          <w:sz w:val="24"/>
        </w:rPr>
      </w:pPr>
      <w:r>
        <w:rPr>
          <w:rFonts w:hint="eastAsia" w:ascii="宋体" w:hAnsi="宋体" w:cs="宋体"/>
          <w:sz w:val="24"/>
        </w:rPr>
        <w:t>本项目根据运行需求，针对北京市水务局在北京市市级政务云上运行的信息系统，提供满足系统运行所需要的云计算服务，用于北京市水务局信息系统的云上稳定运行，包括云主机、存储、网络等层面的相关资源，充分保障市水务局面向全市的水务服务可用性及连续性，提升水务服务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outlineLvl w:val="2"/>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 xml:space="preserve">2 </w:t>
      </w:r>
      <w:r>
        <w:rPr>
          <w:rFonts w:hint="eastAsia"/>
          <w:b/>
          <w:bCs/>
          <w:sz w:val="24"/>
        </w:rPr>
        <w:t>执行的标准和规范</w:t>
      </w:r>
    </w:p>
    <w:p>
      <w:pPr>
        <w:spacing w:line="360" w:lineRule="auto"/>
        <w:ind w:firstLine="482" w:firstLineChars="200"/>
        <w:contextualSpacing/>
        <w:outlineLvl w:val="3"/>
        <w:rPr>
          <w:rFonts w:hint="eastAsia"/>
          <w:b/>
          <w:sz w:val="24"/>
        </w:rPr>
      </w:pPr>
      <w:r>
        <w:rPr>
          <w:rFonts w:hint="eastAsia"/>
          <w:b/>
          <w:sz w:val="24"/>
          <w:lang w:val="en-US" w:eastAsia="zh-CN"/>
        </w:rPr>
        <w:t xml:space="preserve">2.1 </w:t>
      </w:r>
      <w:r>
        <w:rPr>
          <w:rFonts w:hint="eastAsia"/>
          <w:b/>
          <w:sz w:val="24"/>
        </w:rPr>
        <w:t>国家及北京市有关政策</w:t>
      </w:r>
    </w:p>
    <w:p>
      <w:pPr>
        <w:spacing w:line="360" w:lineRule="auto"/>
        <w:ind w:firstLine="480" w:firstLineChars="200"/>
        <w:contextualSpacing/>
        <w:rPr>
          <w:rFonts w:hint="eastAsia" w:ascii="宋体" w:hAnsi="宋体" w:cs="宋体"/>
          <w:sz w:val="24"/>
        </w:rPr>
      </w:pPr>
      <w:r>
        <w:rPr>
          <w:rFonts w:hint="eastAsia" w:ascii="宋体" w:hAnsi="宋体" w:cs="宋体"/>
          <w:sz w:val="24"/>
        </w:rPr>
        <w:t>《关键信息基础设施安全保护条例》（中华人民共和国国务院令第745号）</w:t>
      </w:r>
    </w:p>
    <w:p>
      <w:pPr>
        <w:spacing w:line="360" w:lineRule="auto"/>
        <w:ind w:firstLine="480" w:firstLineChars="200"/>
        <w:contextualSpacing/>
        <w:rPr>
          <w:rFonts w:hint="eastAsia" w:ascii="宋体" w:hAnsi="宋体" w:cs="宋体"/>
          <w:sz w:val="24"/>
        </w:rPr>
      </w:pPr>
      <w:r>
        <w:rPr>
          <w:rFonts w:hint="eastAsia" w:ascii="宋体" w:hAnsi="宋体" w:cs="宋体"/>
          <w:sz w:val="24"/>
        </w:rPr>
        <w:t>《国家政务信息化项目建设管理办法》（国办发〔2019〕57号）</w:t>
      </w:r>
    </w:p>
    <w:p>
      <w:pPr>
        <w:spacing w:line="360" w:lineRule="auto"/>
        <w:ind w:firstLine="480" w:firstLineChars="200"/>
        <w:contextualSpacing/>
        <w:rPr>
          <w:rFonts w:hint="eastAsia" w:ascii="宋体" w:hAnsi="宋体" w:cs="宋体"/>
          <w:sz w:val="24"/>
        </w:rPr>
      </w:pPr>
      <w:r>
        <w:rPr>
          <w:rFonts w:hint="eastAsia" w:ascii="宋体" w:hAnsi="宋体" w:cs="宋体"/>
          <w:sz w:val="24"/>
        </w:rPr>
        <w:t>《政府采购需求管理办法》(财库〔2021〕22号)</w:t>
      </w:r>
    </w:p>
    <w:p>
      <w:pPr>
        <w:spacing w:line="360" w:lineRule="auto"/>
        <w:ind w:firstLine="480" w:firstLineChars="200"/>
        <w:contextualSpacing/>
        <w:rPr>
          <w:rFonts w:hint="eastAsia" w:ascii="宋体" w:hAnsi="宋体" w:cs="宋体"/>
          <w:sz w:val="24"/>
        </w:rPr>
      </w:pPr>
      <w:r>
        <w:rPr>
          <w:rFonts w:hint="eastAsia" w:ascii="宋体" w:hAnsi="宋体" w:cs="宋体"/>
          <w:sz w:val="24"/>
        </w:rPr>
        <w:t>《关于促进政府采购公平竞争优化营商环境的通知》（财库〔2019〕38号）</w:t>
      </w:r>
    </w:p>
    <w:p>
      <w:pPr>
        <w:spacing w:line="360" w:lineRule="auto"/>
        <w:ind w:firstLine="480" w:firstLineChars="200"/>
        <w:contextualSpacing/>
        <w:rPr>
          <w:rFonts w:hint="eastAsia" w:ascii="宋体" w:hAnsi="宋体" w:cs="宋体"/>
          <w:sz w:val="24"/>
        </w:rPr>
      </w:pPr>
      <w:r>
        <w:rPr>
          <w:rFonts w:hint="eastAsia" w:ascii="宋体" w:hAnsi="宋体" w:cs="宋体"/>
          <w:sz w:val="24"/>
        </w:rPr>
        <w:t>《关于进一步提高政府采购透明度和采购效率相关事项的通知》（财办库〔2023〕243号）</w:t>
      </w:r>
    </w:p>
    <w:p>
      <w:pPr>
        <w:spacing w:line="360" w:lineRule="auto"/>
        <w:ind w:firstLine="480" w:firstLineChars="200"/>
        <w:contextualSpacing/>
        <w:rPr>
          <w:rFonts w:hint="eastAsia" w:ascii="宋体" w:hAnsi="宋体" w:cs="宋体"/>
          <w:sz w:val="24"/>
        </w:rPr>
      </w:pPr>
      <w:r>
        <w:rPr>
          <w:rFonts w:hint="eastAsia" w:ascii="宋体" w:hAnsi="宋体" w:cs="宋体"/>
          <w:sz w:val="24"/>
        </w:rPr>
        <w:t>《工业和信息化部信息通信管理局关于督促互联网网络接入服务企业依法持证经营的通知》（工信管函〔2018〕84号）</w:t>
      </w:r>
    </w:p>
    <w:p>
      <w:pPr>
        <w:spacing w:line="360" w:lineRule="auto"/>
        <w:ind w:firstLine="480" w:firstLineChars="200"/>
        <w:contextualSpacing/>
        <w:rPr>
          <w:rFonts w:hint="eastAsia" w:ascii="宋体" w:hAnsi="宋体" w:cs="宋体"/>
          <w:sz w:val="24"/>
        </w:rPr>
      </w:pPr>
      <w:r>
        <w:rPr>
          <w:rFonts w:hint="eastAsia" w:ascii="宋体" w:hAnsi="宋体" w:cs="宋体"/>
          <w:sz w:val="24"/>
        </w:rPr>
        <w:t>《云计算服务安全评估办法》（国家互联网信息办公室、国家发展和改革委员会、工业和信息化部、财政部公告2019年2号）</w:t>
      </w:r>
    </w:p>
    <w:p>
      <w:pPr>
        <w:spacing w:line="360" w:lineRule="auto"/>
        <w:ind w:firstLine="480" w:firstLineChars="200"/>
        <w:contextualSpacing/>
        <w:rPr>
          <w:rFonts w:hint="eastAsia" w:ascii="宋体" w:hAnsi="宋体" w:cs="宋体"/>
          <w:sz w:val="24"/>
        </w:rPr>
      </w:pPr>
      <w:r>
        <w:rPr>
          <w:rFonts w:hint="eastAsia" w:ascii="宋体" w:hAnsi="宋体" w:cs="宋体"/>
          <w:sz w:val="24"/>
        </w:rPr>
        <w:t>《关于加强党政部门云计算服务网络安全管理的意见》（中网办发文〔2014〕14号）</w:t>
      </w:r>
    </w:p>
    <w:p>
      <w:pPr>
        <w:spacing w:line="360" w:lineRule="auto"/>
        <w:ind w:firstLine="480" w:firstLineChars="200"/>
        <w:contextualSpacing/>
        <w:rPr>
          <w:rFonts w:hint="eastAsia" w:ascii="宋体" w:hAnsi="宋体" w:cs="宋体"/>
          <w:sz w:val="24"/>
        </w:rPr>
      </w:pPr>
      <w:r>
        <w:rPr>
          <w:rFonts w:hint="eastAsia" w:ascii="宋体" w:hAnsi="宋体" w:cs="宋体"/>
          <w:sz w:val="24"/>
        </w:rPr>
        <w:t>《基于云计算的电子政务公共平台顶层设计指南》</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《北京市财政局关于印发&lt;北京市政府采购负面清单&gt;的通知》（京财采购〔2020〕1345号）</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《北京市财政局关于落实好政府采购支持中小企业发展的通知（京财采购〔2022〕1143号）</w:t>
      </w:r>
    </w:p>
    <w:p>
      <w:pPr>
        <w:spacing w:line="360" w:lineRule="auto"/>
        <w:ind w:firstLine="480" w:firstLineChars="200"/>
        <w:contextualSpacing/>
        <w:rPr>
          <w:rFonts w:hint="eastAsia" w:ascii="宋体" w:hAnsi="宋体" w:cs="宋体"/>
          <w:sz w:val="24"/>
        </w:rPr>
      </w:pPr>
      <w:r>
        <w:rPr>
          <w:rFonts w:hint="eastAsia" w:ascii="宋体" w:hAnsi="宋体" w:cs="宋体"/>
          <w:sz w:val="24"/>
        </w:rPr>
        <w:t>《关于印发&lt;关于推进我市政务信息系统整合共享的实施方案&gt;的通知》（京经信委发〔2017〕89号）</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《北京市人民政府关于印发&lt;北京市政务信息资源管理办法（试行）&gt;的通知》（京政发〔2017〕37号）</w:t>
      </w:r>
    </w:p>
    <w:p>
      <w:pPr>
        <w:spacing w:line="360" w:lineRule="auto"/>
        <w:ind w:firstLine="480" w:firstLineChars="200"/>
        <w:contextualSpacing/>
        <w:rPr>
          <w:rFonts w:hint="eastAsia" w:ascii="宋体" w:hAnsi="宋体" w:cs="宋体"/>
          <w:sz w:val="24"/>
        </w:rPr>
      </w:pPr>
      <w:r>
        <w:rPr>
          <w:rFonts w:hint="eastAsia" w:ascii="宋体" w:hAnsi="宋体" w:cs="宋体"/>
          <w:sz w:val="24"/>
        </w:rPr>
        <w:t>《关于印发&lt;北京市市级政务云管理办法&gt;的通知》（京经信函〔2019〕150号）</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《北京市政务网络和数据安全管理办法》（京经信发〔2023〕57号）</w:t>
      </w:r>
    </w:p>
    <w:p>
      <w:pPr>
        <w:spacing w:line="360" w:lineRule="auto"/>
        <w:ind w:firstLine="480" w:firstLineChars="200"/>
        <w:contextualSpacing/>
        <w:rPr>
          <w:rFonts w:ascii="宋体" w:hAnsi="宋体" w:cs="宋体"/>
          <w:sz w:val="24"/>
        </w:rPr>
      </w:pPr>
      <w:r>
        <w:rPr>
          <w:rFonts w:hint="eastAsia" w:ascii="宋体" w:hAnsi="宋体" w:cs="宋体"/>
          <w:sz w:val="24"/>
        </w:rPr>
        <w:t>《北京市“十四五”时期智慧城市建设控制性规划要求（试行）》（京大数据发〔2021〕2号）</w:t>
      </w:r>
    </w:p>
    <w:p>
      <w:pPr>
        <w:spacing w:line="360" w:lineRule="auto"/>
        <w:ind w:firstLine="482" w:firstLineChars="200"/>
        <w:contextualSpacing/>
        <w:outlineLvl w:val="3"/>
        <w:rPr>
          <w:rFonts w:hint="eastAsia"/>
          <w:b/>
          <w:sz w:val="24"/>
        </w:rPr>
      </w:pPr>
      <w:r>
        <w:rPr>
          <w:rFonts w:hint="eastAsia"/>
          <w:b/>
          <w:sz w:val="24"/>
          <w:lang w:val="en-US" w:eastAsia="zh-CN"/>
        </w:rPr>
        <w:t xml:space="preserve">2.2 </w:t>
      </w:r>
      <w:r>
        <w:rPr>
          <w:rFonts w:hint="eastAsia"/>
          <w:b/>
          <w:sz w:val="24"/>
        </w:rPr>
        <w:t>国家相关标准</w:t>
      </w:r>
    </w:p>
    <w:p>
      <w:pPr>
        <w:spacing w:line="360" w:lineRule="auto"/>
        <w:ind w:firstLine="480" w:firstLineChars="200"/>
        <w:contextualSpacing/>
        <w:rPr>
          <w:rFonts w:hint="eastAsia" w:ascii="宋体" w:hAnsi="宋体" w:cs="宋体"/>
          <w:sz w:val="24"/>
        </w:rPr>
      </w:pPr>
      <w:r>
        <w:rPr>
          <w:rFonts w:hint="eastAsia" w:ascii="宋体" w:hAnsi="宋体" w:cs="宋体"/>
          <w:sz w:val="24"/>
        </w:rPr>
        <w:t>《国家电子政务外网安全接入平台技术规范》</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《信息技术—云计算—云服务质量评价指标》（GB/T 37738-2019）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《信息技术—云计算—云服务计量指标》（GB/T 37735-2019）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《信息技术—云计算—云服务采购指南》（GB/T 37734-2019）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《信息技术—云计算—云存储系统服务接口功能》（GB/T 37732-2019）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《信息技术—云计算—云资源监控通用要求》（GB/T 37736-2019）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《信息技术—云计算—云平台间应用和数据迁移指南》（GB/T 37740-2019）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《信息技术—云计算—云服务交付要求》（GB/T 37741-2019）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《信息系统灾难恢复规范》（GB/T 20988-2007）</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云计算服务安全能力要求》（GB/T 31168-2014）</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网络安全等级保护定级指南》（GB/T 22240-2020）</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网络安全等级保护基本要求》（GB/T 22239-2019）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网络安全等级保护测评要求》（GB/T 28448-2019）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信息系统密码应用基本要求》（GB/T39786-2021）</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信息安全风险评估方法》（GB/T 20984-2022）</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云计算服务安全指南》（GB/T 31167-2014）</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政府网站云计算服务安全指南》（GB/T 38249—2019）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云计算安全参考架构》（GB/T 35279—2017）</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云计算服务安全能力评估方法》GB/T 34942—2017</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《信息安全技术 云计算服务运行监管框架》（GB/T 37972—2019）</w:t>
      </w:r>
    </w:p>
    <w:p>
      <w:pPr>
        <w:spacing w:line="360" w:lineRule="auto"/>
        <w:ind w:firstLine="480" w:firstLineChars="200"/>
        <w:contextualSpacing/>
        <w:rPr>
          <w:rFonts w:hint="eastAsia" w:ascii="宋体" w:hAnsi="宋体" w:cs="宋体"/>
          <w:sz w:val="24"/>
        </w:rPr>
      </w:pPr>
      <w:r>
        <w:rPr>
          <w:rFonts w:hint="eastAsia" w:ascii="宋体" w:hAnsi="宋体" w:cs="宋体"/>
          <w:sz w:val="24"/>
        </w:rPr>
        <w:t>《信息技术 云资源监控指标体系》（GB/T 37938-2019）</w:t>
      </w:r>
    </w:p>
    <w:p>
      <w:pPr>
        <w:spacing w:line="360" w:lineRule="auto"/>
        <w:ind w:firstLine="480" w:firstLineChars="200"/>
        <w:contextualSpacing/>
        <w:rPr>
          <w:rFonts w:hint="eastAsia" w:ascii="宋体" w:hAnsi="宋体" w:cs="宋体"/>
          <w:sz w:val="24"/>
        </w:rPr>
      </w:pPr>
      <w:r>
        <w:rPr>
          <w:rFonts w:hint="eastAsia" w:ascii="宋体" w:hAnsi="宋体" w:cs="宋体"/>
          <w:sz w:val="24"/>
        </w:rPr>
        <w:t>《云计算关键领域安全指南V4.0》</w:t>
      </w:r>
    </w:p>
    <w:p>
      <w:pPr>
        <w:spacing w:line="360" w:lineRule="auto"/>
        <w:ind w:firstLine="482" w:firstLineChars="200"/>
        <w:contextualSpacing/>
        <w:outlineLvl w:val="3"/>
        <w:rPr>
          <w:rFonts w:hint="eastAsia"/>
          <w:b/>
          <w:sz w:val="24"/>
        </w:rPr>
      </w:pPr>
      <w:r>
        <w:rPr>
          <w:rFonts w:hint="eastAsia"/>
          <w:b/>
          <w:sz w:val="24"/>
          <w:lang w:val="en-US" w:eastAsia="zh-CN"/>
        </w:rPr>
        <w:t xml:space="preserve">2.3 </w:t>
      </w:r>
      <w:r>
        <w:rPr>
          <w:rFonts w:hint="eastAsia"/>
          <w:b/>
          <w:sz w:val="24"/>
        </w:rPr>
        <w:t>北京市相关标准</w:t>
      </w:r>
    </w:p>
    <w:p>
      <w:pPr>
        <w:spacing w:line="360" w:lineRule="auto"/>
        <w:ind w:firstLine="480" w:firstLineChars="200"/>
        <w:contextualSpacing/>
        <w:rPr>
          <w:rFonts w:hint="eastAsia" w:ascii="宋体" w:hAnsi="宋体" w:cs="宋体"/>
          <w:sz w:val="24"/>
        </w:rPr>
      </w:pPr>
      <w:r>
        <w:rPr>
          <w:rFonts w:hint="eastAsia" w:ascii="宋体" w:hAnsi="宋体" w:cs="宋体"/>
          <w:sz w:val="24"/>
        </w:rPr>
        <w:t>《政务云平台建设技术要求》（DB11/T 2169-2023）</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《北京市政务云安全技术规范 IaaS云计算平台分册》</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《北京市政务云安全技术规范 IaaS云计算平台安全监管接口分册》</w:t>
      </w:r>
    </w:p>
    <w:p>
      <w:pPr>
        <w:spacing w:line="360" w:lineRule="auto"/>
        <w:ind w:firstLine="480" w:firstLineChars="200"/>
        <w:contextualSpacing/>
        <w:rPr>
          <w:rFonts w:hint="eastAsia" w:ascii="宋体" w:hAnsi="宋体" w:cs="宋体"/>
          <w:sz w:val="24"/>
        </w:rPr>
      </w:pPr>
      <w:r>
        <w:rPr>
          <w:rFonts w:hint="eastAsia" w:ascii="宋体" w:hAnsi="宋体" w:cs="宋体"/>
          <w:sz w:val="24"/>
        </w:rPr>
        <w:t>《北京市政务云安全技术规范 信息安全服务接口分册》</w:t>
      </w:r>
    </w:p>
    <w:p>
      <w:pPr>
        <w:widowControl w:val="0"/>
        <w:numPr>
          <w:ilvl w:val="0"/>
          <w:numId w:val="0"/>
        </w:numPr>
        <w:spacing w:line="360" w:lineRule="auto"/>
        <w:ind w:firstLine="480" w:firstLineChars="200"/>
        <w:contextualSpacing/>
        <w:jc w:val="both"/>
        <w:outlineLvl w:val="0"/>
        <w:rPr>
          <w:rFonts w:hint="eastAsia" w:ascii="宋体" w:hAnsi="宋体" w:eastAsia="宋体" w:cs="宋体"/>
          <w:b w:val="0"/>
          <w:sz w:val="24"/>
          <w:szCs w:val="24"/>
        </w:rPr>
      </w:pPr>
      <w:r>
        <w:rPr>
          <w:rFonts w:hint="eastAsia" w:ascii="宋体" w:hAnsi="宋体" w:eastAsia="宋体" w:cs="宋体"/>
          <w:sz w:val="24"/>
        </w:rPr>
        <w:t>注：服务标准涉及的国家标准及北京市标准有更新的，执行最新标准。</w:t>
      </w:r>
    </w:p>
    <w:p>
      <w:pPr>
        <w:spacing w:line="360" w:lineRule="auto"/>
        <w:contextualSpacing/>
        <w:outlineLvl w:val="1"/>
        <w:rPr>
          <w:rFonts w:hint="eastAsia" w:eastAsia="宋体"/>
          <w:b/>
          <w:sz w:val="24"/>
          <w:lang w:eastAsia="zh-CN"/>
        </w:rPr>
      </w:pPr>
      <w:r>
        <w:rPr>
          <w:rFonts w:hint="eastAsia"/>
          <w:b/>
          <w:sz w:val="24"/>
        </w:rPr>
        <w:t>（</w:t>
      </w:r>
      <w:r>
        <w:rPr>
          <w:rFonts w:hint="eastAsia"/>
          <w:b/>
          <w:sz w:val="24"/>
          <w:lang w:eastAsia="zh-CN"/>
        </w:rPr>
        <w:t>二</w:t>
      </w:r>
      <w:r>
        <w:rPr>
          <w:rFonts w:hint="eastAsia"/>
          <w:b/>
          <w:sz w:val="24"/>
        </w:rPr>
        <w:t>）服务内容及要求</w:t>
      </w:r>
    </w:p>
    <w:p>
      <w:pPr>
        <w:spacing w:line="360" w:lineRule="auto"/>
        <w:ind w:firstLine="482" w:firstLineChars="200"/>
        <w:contextualSpacing/>
        <w:outlineLvl w:val="2"/>
        <w:rPr>
          <w:rFonts w:hint="eastAsia"/>
          <w:b/>
          <w:bCs/>
          <w:sz w:val="24"/>
        </w:rPr>
      </w:pPr>
      <w:r>
        <w:rPr>
          <w:rFonts w:hint="eastAsia"/>
          <w:b/>
          <w:bCs/>
          <w:sz w:val="24"/>
        </w:rPr>
        <w:t>1. 云计算技术要求</w:t>
      </w:r>
    </w:p>
    <w:p>
      <w:pPr>
        <w:widowControl/>
        <w:spacing w:line="360" w:lineRule="auto"/>
        <w:ind w:firstLine="480" w:firstLineChars="200"/>
        <w:contextualSpacing/>
        <w:rPr>
          <w:rFonts w:hint="eastAsia"/>
          <w:sz w:val="24"/>
        </w:rPr>
      </w:pPr>
      <w:r>
        <w:rPr>
          <w:rFonts w:hint="eastAsia"/>
          <w:sz w:val="24"/>
        </w:rPr>
        <w:t>（1）X86平台云主机服务技术要求</w:t>
      </w:r>
    </w:p>
    <w:tbl>
      <w:tblPr>
        <w:tblStyle w:val="4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72" w:type="dxa"/>
            <w:noWrap w:val="0"/>
            <w:vAlign w:val="center"/>
          </w:tcPr>
          <w:p>
            <w:pPr>
              <w:jc w:val="center"/>
              <w:rPr>
                <w:rFonts w:hint="eastAsia" w:ascii="宋体" w:hAnsi="宋体" w:cs="仿宋_GB2312"/>
                <w:b/>
                <w:szCs w:val="21"/>
              </w:rPr>
            </w:pPr>
            <w:r>
              <w:rPr>
                <w:rFonts w:hint="eastAsia" w:ascii="宋体" w:hAnsi="宋体" w:cs="仿宋_GB2312"/>
                <w:b/>
                <w:szCs w:val="21"/>
              </w:rPr>
              <w:t>指标项</w:t>
            </w:r>
          </w:p>
        </w:tc>
        <w:tc>
          <w:tcPr>
            <w:tcW w:w="7913" w:type="dxa"/>
            <w:noWrap w:val="0"/>
            <w:vAlign w:val="center"/>
          </w:tcPr>
          <w:p>
            <w:pPr>
              <w:jc w:val="center"/>
              <w:rPr>
                <w:rFonts w:hint="eastAsia" w:ascii="宋体" w:hAnsi="宋体" w:cs="仿宋_GB2312"/>
                <w:b/>
                <w:szCs w:val="21"/>
              </w:rPr>
            </w:pPr>
            <w:r>
              <w:rPr>
                <w:rFonts w:hint="eastAsia" w:ascii="宋体" w:hAnsi="宋体" w:cs="仿宋_GB2312"/>
                <w:b/>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72" w:type="dxa"/>
            <w:vMerge w:val="restart"/>
            <w:noWrap w:val="0"/>
            <w:vAlign w:val="center"/>
          </w:tcPr>
          <w:p>
            <w:pPr>
              <w:widowControl/>
              <w:rPr>
                <w:rFonts w:ascii="宋体" w:hAnsi="宋体" w:cs="仿宋_GB2312"/>
                <w:szCs w:val="21"/>
              </w:rPr>
            </w:pPr>
            <w:r>
              <w:rPr>
                <w:rFonts w:hint="eastAsia" w:ascii="宋体" w:hAnsi="宋体" w:cs="仿宋_GB2312"/>
                <w:szCs w:val="21"/>
              </w:rPr>
              <w:t>基本需求</w:t>
            </w:r>
          </w:p>
        </w:tc>
        <w:tc>
          <w:tcPr>
            <w:tcW w:w="7913" w:type="dxa"/>
            <w:noWrap w:val="0"/>
            <w:vAlign w:val="top"/>
          </w:tcPr>
          <w:p>
            <w:pPr>
              <w:rPr>
                <w:rFonts w:ascii="宋体" w:hAnsi="宋体" w:cs="仿宋_GB2312"/>
                <w:szCs w:val="21"/>
              </w:rPr>
            </w:pPr>
            <w:r>
              <w:rPr>
                <w:rFonts w:hint="eastAsia" w:ascii="宋体" w:hAnsi="宋体" w:cs="仿宋_GB2312"/>
                <w:szCs w:val="21"/>
              </w:rPr>
              <w:t>云主机资源支持弹性调整，可弹提供性扩展CPU、内存及数据盘磁盘，实例可用性达99.99%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szCs w:val="21"/>
              </w:rPr>
              <w:t>支持虚拟机的跨物理服务器的在线迁移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szCs w:val="21"/>
              </w:rPr>
              <w:t>虚拟机支持秒级启动功能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szCs w:val="21"/>
              </w:rPr>
              <w:t>支持用户自主制作镜像功能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szCs w:val="21"/>
              </w:rPr>
              <w:t>支持用户自主访问、操作自服务平台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szCs w:val="21"/>
              </w:rPr>
              <w:t>支持实时监控功能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szCs w:val="21"/>
              </w:rPr>
              <w:t>支持windows server 2008  Datacenter x32 英文、windows server 2008 R2 Datacenter x64中文/英文、windows server 2012 R2 Datacenter x64中文/英文、centos x64、debian 8.2 x64、Fedora 20 x64、ubuntu  server x64等主流操作系统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2" w:type="dxa"/>
            <w:vMerge w:val="continue"/>
            <w:noWrap w:val="0"/>
            <w:vAlign w:val="center"/>
          </w:tcPr>
          <w:p>
            <w:pPr>
              <w:widowControl/>
              <w:rPr>
                <w:rFonts w:ascii="宋体" w:hAnsi="宋体" w:cs="仿宋_GB2312"/>
                <w:szCs w:val="21"/>
              </w:rPr>
            </w:pPr>
          </w:p>
        </w:tc>
        <w:tc>
          <w:tcPr>
            <w:tcW w:w="7913" w:type="dxa"/>
            <w:noWrap w:val="0"/>
            <w:vAlign w:val="top"/>
          </w:tcPr>
          <w:p>
            <w:pPr>
              <w:rPr>
                <w:rFonts w:ascii="宋体" w:hAnsi="宋体" w:cs="仿宋_GB2312"/>
                <w:szCs w:val="21"/>
              </w:rPr>
            </w:pPr>
            <w:r>
              <w:rPr>
                <w:rFonts w:hint="eastAsia" w:ascii="宋体" w:hAnsi="宋体" w:cs="仿宋_GB2312"/>
                <w:b/>
                <w:bCs/>
                <w:szCs w:val="21"/>
              </w:rPr>
              <w:t>#支持云主机深度监控能力，在监控页面可以清晰展示云主机名称、IP信息及使用率信息（提供界面功能截图）等。</w:t>
            </w:r>
          </w:p>
        </w:tc>
      </w:tr>
    </w:tbl>
    <w:p>
      <w:pPr>
        <w:widowControl/>
        <w:spacing w:line="360" w:lineRule="auto"/>
        <w:ind w:firstLine="480" w:firstLineChars="200"/>
        <w:contextualSpacing/>
        <w:rPr>
          <w:rFonts w:hint="eastAsia"/>
          <w:sz w:val="24"/>
        </w:rPr>
      </w:pPr>
      <w:r>
        <w:rPr>
          <w:rFonts w:hint="eastAsia"/>
          <w:sz w:val="24"/>
        </w:rPr>
        <w:t>（2）X86物理服务器租用服务技术需求</w:t>
      </w:r>
    </w:p>
    <w:tbl>
      <w:tblPr>
        <w:tblStyle w:val="43"/>
        <w:tblW w:w="9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8"/>
        <w:gridCol w:w="7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b/>
                <w:szCs w:val="21"/>
              </w:rPr>
            </w:pPr>
            <w:r>
              <w:rPr>
                <w:rFonts w:hint="eastAsia" w:ascii="宋体" w:hAnsi="宋体" w:cs="仿宋_GB2312"/>
                <w:b/>
                <w:szCs w:val="21"/>
              </w:rPr>
              <w:t>指标项</w:t>
            </w:r>
          </w:p>
        </w:tc>
        <w:tc>
          <w:tcPr>
            <w:tcW w:w="7757" w:type="dxa"/>
            <w:tcBorders>
              <w:top w:val="single" w:color="000000" w:sz="4" w:space="0"/>
              <w:left w:val="nil"/>
              <w:bottom w:val="single" w:color="000000" w:sz="4" w:space="0"/>
              <w:right w:val="single" w:color="000000" w:sz="4" w:space="0"/>
            </w:tcBorders>
            <w:noWrap w:val="0"/>
            <w:vAlign w:val="top"/>
          </w:tcPr>
          <w:p>
            <w:pPr>
              <w:jc w:val="center"/>
              <w:rPr>
                <w:rFonts w:ascii="宋体" w:hAnsi="宋体" w:cs="仿宋_GB2312"/>
                <w:b/>
                <w:szCs w:val="21"/>
              </w:rPr>
            </w:pPr>
            <w:r>
              <w:rPr>
                <w:rFonts w:hint="eastAsia" w:ascii="宋体" w:hAnsi="宋体" w:cs="仿宋_GB2312"/>
                <w:b/>
                <w:szCs w:val="21"/>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X86服务器</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提供X86裸机服务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性能要求</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物理服务器1：x86物理服务器配置1：2路12核2.4Ghz，64GB内存，2块600G SAS硬盘,4个万兆端口，2千兆端口</w:t>
            </w:r>
          </w:p>
          <w:p>
            <w:pPr>
              <w:autoSpaceDE w:val="0"/>
              <w:autoSpaceDN w:val="0"/>
              <w:adjustRightInd w:val="0"/>
              <w:textAlignment w:val="baseline"/>
              <w:rPr>
                <w:rFonts w:ascii="宋体" w:hAnsi="宋体"/>
                <w:kern w:val="0"/>
                <w:szCs w:val="21"/>
              </w:rPr>
            </w:pPr>
            <w:r>
              <w:rPr>
                <w:rFonts w:hint="eastAsia" w:ascii="宋体" w:hAnsi="宋体"/>
                <w:kern w:val="0"/>
                <w:szCs w:val="21"/>
              </w:rPr>
              <w:t>x86物理服务器租用服务-内存-32GB</w:t>
            </w:r>
          </w:p>
          <w:p>
            <w:pPr>
              <w:autoSpaceDE w:val="0"/>
              <w:autoSpaceDN w:val="0"/>
              <w:adjustRightInd w:val="0"/>
              <w:textAlignment w:val="baseline"/>
              <w:rPr>
                <w:rFonts w:ascii="宋体" w:hAnsi="宋体"/>
                <w:kern w:val="0"/>
                <w:szCs w:val="21"/>
              </w:rPr>
            </w:pPr>
            <w:r>
              <w:rPr>
                <w:rFonts w:hint="eastAsia" w:ascii="宋体" w:hAnsi="宋体"/>
                <w:kern w:val="0"/>
                <w:szCs w:val="21"/>
              </w:rPr>
              <w:t>x86物理服务器租用服务-硬盘配置-600GB SAS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管理权限</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用户对云主机有完全的控制权，具有管理员权限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扩展性</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可支持扩展GPU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可操作性</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支持通过云管理平台，实现申请部署与使用</w:t>
            </w:r>
          </w:p>
        </w:tc>
      </w:tr>
    </w:tbl>
    <w:p>
      <w:pPr>
        <w:widowControl/>
        <w:spacing w:line="360" w:lineRule="auto"/>
        <w:ind w:firstLine="480" w:firstLineChars="200"/>
        <w:contextualSpacing/>
        <w:rPr>
          <w:sz w:val="24"/>
        </w:rPr>
      </w:pPr>
      <w:r>
        <w:rPr>
          <w:rFonts w:hint="eastAsia"/>
          <w:sz w:val="24"/>
        </w:rPr>
        <w:t>（3）图形图像计算服务</w:t>
      </w:r>
    </w:p>
    <w:tbl>
      <w:tblPr>
        <w:tblStyle w:val="43"/>
        <w:tblW w:w="9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8"/>
        <w:gridCol w:w="7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仿宋_GB2312"/>
                <w:b/>
                <w:szCs w:val="21"/>
              </w:rPr>
            </w:pPr>
            <w:r>
              <w:rPr>
                <w:rFonts w:hint="eastAsia" w:ascii="宋体" w:hAnsi="宋体" w:cs="仿宋_GB2312"/>
                <w:b/>
                <w:szCs w:val="21"/>
              </w:rPr>
              <w:t>指标项</w:t>
            </w:r>
          </w:p>
        </w:tc>
        <w:tc>
          <w:tcPr>
            <w:tcW w:w="7757" w:type="dxa"/>
            <w:tcBorders>
              <w:top w:val="single" w:color="000000" w:sz="4" w:space="0"/>
              <w:left w:val="nil"/>
              <w:bottom w:val="single" w:color="000000" w:sz="4" w:space="0"/>
              <w:right w:val="single" w:color="000000" w:sz="4" w:space="0"/>
            </w:tcBorders>
            <w:noWrap w:val="0"/>
            <w:vAlign w:val="top"/>
          </w:tcPr>
          <w:p>
            <w:pPr>
              <w:jc w:val="center"/>
              <w:rPr>
                <w:rFonts w:ascii="宋体" w:hAnsi="宋体" w:cs="仿宋_GB2312"/>
                <w:b/>
                <w:szCs w:val="21"/>
              </w:rPr>
            </w:pPr>
            <w:r>
              <w:rPr>
                <w:rFonts w:hint="eastAsia" w:ascii="宋体" w:hAnsi="宋体" w:cs="仿宋_GB2312"/>
                <w:b/>
                <w:szCs w:val="21"/>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性能要求</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cs="宋体"/>
                <w:color w:val="000000"/>
                <w:kern w:val="0"/>
                <w:sz w:val="20"/>
                <w:szCs w:val="20"/>
                <w:lang w:bidi="ar"/>
              </w:rPr>
              <w:t>GPU显存不低于16G，最大单精度浮点计算能力不低于7TFLOPS，最大双精度浮点计算能力0.2TFLOPS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管理权限</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用户对云主机有完全的控制权，具有管理员权限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可操作性</w:t>
            </w:r>
          </w:p>
        </w:tc>
        <w:tc>
          <w:tcPr>
            <w:tcW w:w="7757"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支持通过云管理平台，实现申请部署与使用</w:t>
            </w:r>
          </w:p>
        </w:tc>
      </w:tr>
    </w:tbl>
    <w:p>
      <w:pPr>
        <w:widowControl/>
        <w:spacing w:line="360" w:lineRule="auto"/>
        <w:ind w:firstLine="480" w:firstLineChars="200"/>
        <w:contextualSpacing/>
        <w:rPr>
          <w:rFonts w:hint="eastAsia"/>
          <w:sz w:val="24"/>
        </w:rPr>
      </w:pPr>
      <w:r>
        <w:rPr>
          <w:rFonts w:hint="eastAsia"/>
          <w:sz w:val="24"/>
        </w:rPr>
        <w:t>（4）云存储技术需求</w:t>
      </w:r>
    </w:p>
    <w:tbl>
      <w:tblPr>
        <w:tblStyle w:val="4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41" w:type="dxa"/>
            <w:noWrap w:val="0"/>
            <w:vAlign w:val="center"/>
          </w:tcPr>
          <w:p>
            <w:pPr>
              <w:jc w:val="center"/>
              <w:rPr>
                <w:rFonts w:ascii="宋体" w:hAnsi="宋体" w:cs="仿宋_GB2312"/>
                <w:b/>
                <w:szCs w:val="21"/>
              </w:rPr>
            </w:pPr>
            <w:r>
              <w:rPr>
                <w:rFonts w:hint="eastAsia" w:ascii="宋体" w:hAnsi="宋体" w:cs="仿宋_GB2312"/>
                <w:b/>
                <w:szCs w:val="21"/>
              </w:rPr>
              <w:t>指标项</w:t>
            </w:r>
          </w:p>
        </w:tc>
        <w:tc>
          <w:tcPr>
            <w:tcW w:w="7844" w:type="dxa"/>
            <w:noWrap w:val="0"/>
            <w:vAlign w:val="center"/>
          </w:tcPr>
          <w:p>
            <w:pPr>
              <w:jc w:val="center"/>
              <w:rPr>
                <w:rFonts w:ascii="宋体" w:hAnsi="宋体" w:cs="仿宋_GB2312"/>
                <w:b/>
                <w:szCs w:val="21"/>
              </w:rPr>
            </w:pPr>
            <w:r>
              <w:rPr>
                <w:rFonts w:hint="eastAsia" w:ascii="宋体" w:hAnsi="宋体" w:cs="仿宋_GB2312"/>
                <w:b/>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restart"/>
            <w:noWrap w:val="0"/>
            <w:vAlign w:val="center"/>
          </w:tcPr>
          <w:p>
            <w:pPr>
              <w:jc w:val="center"/>
              <w:rPr>
                <w:rFonts w:ascii="宋体" w:hAnsi="宋体" w:cs="仿宋_GB2312"/>
                <w:szCs w:val="21"/>
              </w:rPr>
            </w:pPr>
            <w:r>
              <w:rPr>
                <w:rFonts w:hint="eastAsia" w:ascii="宋体" w:hAnsi="宋体" w:cs="仿宋_GB2312"/>
                <w:szCs w:val="21"/>
              </w:rPr>
              <w:t>基本要求</w:t>
            </w:r>
          </w:p>
        </w:tc>
        <w:tc>
          <w:tcPr>
            <w:tcW w:w="7844" w:type="dxa"/>
            <w:noWrap w:val="0"/>
            <w:vAlign w:val="center"/>
          </w:tcPr>
          <w:p>
            <w:pPr>
              <w:rPr>
                <w:rFonts w:ascii="宋体" w:hAnsi="宋体" w:cs="仿宋_GB2312"/>
                <w:szCs w:val="21"/>
              </w:rPr>
            </w:pPr>
            <w:r>
              <w:rPr>
                <w:rFonts w:hint="eastAsia" w:ascii="宋体" w:hAnsi="宋体" w:cs="仿宋_GB2312"/>
                <w:szCs w:val="21"/>
              </w:rPr>
              <w:t>提供普通性能块存储服务：</w:t>
            </w:r>
            <w:r>
              <w:rPr>
                <w:rFonts w:hint="eastAsia" w:ascii="宋体" w:hAnsi="宋体"/>
                <w:kern w:val="0"/>
                <w:szCs w:val="21"/>
              </w:rPr>
              <w:t>单盘技术指标满足IOPS2000-5000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continue"/>
            <w:noWrap w:val="0"/>
            <w:vAlign w:val="center"/>
          </w:tcPr>
          <w:p>
            <w:pPr>
              <w:widowControl/>
              <w:rPr>
                <w:rFonts w:ascii="宋体" w:hAnsi="宋体" w:cs="仿宋_GB2312"/>
                <w:szCs w:val="21"/>
              </w:rPr>
            </w:pPr>
          </w:p>
        </w:tc>
        <w:tc>
          <w:tcPr>
            <w:tcW w:w="7844" w:type="dxa"/>
            <w:noWrap w:val="0"/>
            <w:vAlign w:val="center"/>
          </w:tcPr>
          <w:p>
            <w:pPr>
              <w:rPr>
                <w:rFonts w:ascii="宋体" w:hAnsi="宋体" w:cs="仿宋_GB2312"/>
                <w:szCs w:val="21"/>
              </w:rPr>
            </w:pPr>
            <w:r>
              <w:rPr>
                <w:rFonts w:hint="eastAsia" w:ascii="宋体" w:hAnsi="宋体" w:cs="仿宋_GB2312"/>
                <w:szCs w:val="21"/>
              </w:rPr>
              <w:t>提供高性能块存储服务：</w:t>
            </w:r>
            <w:r>
              <w:rPr>
                <w:rFonts w:hint="eastAsia" w:ascii="宋体" w:hAnsi="宋体"/>
                <w:kern w:val="0"/>
                <w:szCs w:val="21"/>
              </w:rPr>
              <w:t>单盘技术指标满足IOPS 10000-25000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continue"/>
            <w:noWrap w:val="0"/>
            <w:vAlign w:val="center"/>
          </w:tcPr>
          <w:p>
            <w:pPr>
              <w:widowControl/>
              <w:rPr>
                <w:rFonts w:ascii="宋体" w:hAnsi="宋体" w:cs="仿宋_GB2312"/>
                <w:szCs w:val="21"/>
              </w:rPr>
            </w:pPr>
          </w:p>
        </w:tc>
        <w:tc>
          <w:tcPr>
            <w:tcW w:w="7844" w:type="dxa"/>
            <w:noWrap w:val="0"/>
            <w:vAlign w:val="center"/>
          </w:tcPr>
          <w:p>
            <w:pPr>
              <w:rPr>
                <w:rFonts w:ascii="宋体" w:hAnsi="宋体" w:cs="仿宋_GB2312"/>
                <w:szCs w:val="21"/>
              </w:rPr>
            </w:pPr>
            <w:r>
              <w:rPr>
                <w:rFonts w:hint="eastAsia" w:ascii="宋体" w:hAnsi="宋体" w:cs="仿宋_GB2312"/>
                <w:szCs w:val="21"/>
              </w:rPr>
              <w:t>投标人静态存储服务应采用对象存储技术，采用基于服务器本地硬盘提供对象存储资源池。</w:t>
            </w:r>
          </w:p>
          <w:p>
            <w:pPr>
              <w:rPr>
                <w:rFonts w:ascii="宋体" w:hAnsi="宋体" w:cs="仿宋_GB2312"/>
                <w:szCs w:val="21"/>
              </w:rPr>
            </w:pPr>
            <w:r>
              <w:rPr>
                <w:rFonts w:hint="eastAsia" w:ascii="宋体" w:hAnsi="宋体" w:cs="仿宋_GB2312"/>
                <w:b/>
                <w:bCs/>
                <w:szCs w:val="21"/>
              </w:rPr>
              <w:t>#云平台支持通过Web界面对对象存储文件夹进行增删改查（提供界面功能截图）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continue"/>
            <w:noWrap w:val="0"/>
            <w:vAlign w:val="center"/>
          </w:tcPr>
          <w:p>
            <w:pPr>
              <w:widowControl/>
              <w:rPr>
                <w:rFonts w:ascii="宋体" w:hAnsi="宋体" w:cs="仿宋_GB2312"/>
                <w:szCs w:val="21"/>
              </w:rPr>
            </w:pPr>
          </w:p>
        </w:tc>
        <w:tc>
          <w:tcPr>
            <w:tcW w:w="7844" w:type="dxa"/>
            <w:noWrap w:val="0"/>
            <w:vAlign w:val="center"/>
          </w:tcPr>
          <w:p>
            <w:pPr>
              <w:rPr>
                <w:rFonts w:ascii="宋体" w:hAnsi="宋体" w:cs="仿宋_GB2312"/>
                <w:szCs w:val="21"/>
              </w:rPr>
            </w:pPr>
            <w:r>
              <w:rPr>
                <w:rFonts w:hint="eastAsia" w:ascii="宋体" w:hAnsi="宋体" w:cs="仿宋_GB2312"/>
                <w:szCs w:val="21"/>
              </w:rPr>
              <w:t>本地数据零丢失，提供备份数据内容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continue"/>
            <w:noWrap w:val="0"/>
            <w:vAlign w:val="center"/>
          </w:tcPr>
          <w:p>
            <w:pPr>
              <w:widowControl/>
              <w:rPr>
                <w:rFonts w:ascii="宋体" w:hAnsi="宋体" w:cs="仿宋_GB2312"/>
                <w:szCs w:val="21"/>
              </w:rPr>
            </w:pPr>
          </w:p>
        </w:tc>
        <w:tc>
          <w:tcPr>
            <w:tcW w:w="7844" w:type="dxa"/>
            <w:noWrap w:val="0"/>
            <w:vAlign w:val="center"/>
          </w:tcPr>
          <w:p>
            <w:pPr>
              <w:rPr>
                <w:rFonts w:ascii="宋体" w:hAnsi="宋体" w:cs="仿宋_GB2312"/>
                <w:szCs w:val="21"/>
              </w:rPr>
            </w:pPr>
            <w:r>
              <w:rPr>
                <w:rFonts w:hint="eastAsia" w:ascii="宋体" w:hAnsi="宋体" w:cs="仿宋_GB2312"/>
                <w:szCs w:val="21"/>
              </w:rPr>
              <w:t>支持NFS，CIFS，SAMBA等协议，可进行跨平台文件共享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41" w:type="dxa"/>
            <w:vMerge w:val="continue"/>
            <w:noWrap w:val="0"/>
            <w:vAlign w:val="center"/>
          </w:tcPr>
          <w:p>
            <w:pPr>
              <w:widowControl/>
              <w:rPr>
                <w:rFonts w:ascii="宋体" w:hAnsi="宋体" w:cs="仿宋_GB2312"/>
                <w:szCs w:val="21"/>
              </w:rPr>
            </w:pPr>
          </w:p>
        </w:tc>
        <w:tc>
          <w:tcPr>
            <w:tcW w:w="7844" w:type="dxa"/>
            <w:noWrap w:val="0"/>
            <w:vAlign w:val="top"/>
          </w:tcPr>
          <w:p>
            <w:pPr>
              <w:rPr>
                <w:rFonts w:ascii="宋体" w:hAnsi="宋体" w:cs="仿宋_GB2312"/>
                <w:szCs w:val="21"/>
              </w:rPr>
            </w:pPr>
            <w:r>
              <w:rPr>
                <w:rFonts w:hint="eastAsia" w:ascii="宋体" w:hAnsi="宋体" w:cs="仿宋_GB2312"/>
                <w:szCs w:val="21"/>
              </w:rPr>
              <w:t>支持存储快照，对系统盘、磁盘数据生成备份，快速恢复数据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41" w:type="dxa"/>
            <w:vMerge w:val="continue"/>
            <w:noWrap w:val="0"/>
            <w:vAlign w:val="center"/>
          </w:tcPr>
          <w:p>
            <w:pPr>
              <w:widowControl/>
              <w:rPr>
                <w:rFonts w:ascii="宋体" w:hAnsi="宋体" w:cs="仿宋_GB2312"/>
                <w:szCs w:val="21"/>
              </w:rPr>
            </w:pPr>
          </w:p>
        </w:tc>
        <w:tc>
          <w:tcPr>
            <w:tcW w:w="7844" w:type="dxa"/>
            <w:noWrap w:val="0"/>
            <w:vAlign w:val="top"/>
          </w:tcPr>
          <w:p>
            <w:pPr>
              <w:rPr>
                <w:rFonts w:ascii="宋体" w:hAnsi="宋体" w:cs="仿宋_GB2312"/>
                <w:szCs w:val="21"/>
              </w:rPr>
            </w:pPr>
            <w:r>
              <w:rPr>
                <w:rFonts w:hint="eastAsia" w:ascii="宋体" w:hAnsi="宋体" w:cs="仿宋_GB2312"/>
                <w:szCs w:val="21"/>
              </w:rPr>
              <w:t>支持云磁盘的创建、删除、挂载到一个特定的虚拟机，作为用户的数据盘使用，支持逻辑卷快照及恢复，支持逻辑卷按需扩容</w:t>
            </w:r>
          </w:p>
        </w:tc>
      </w:tr>
    </w:tbl>
    <w:p>
      <w:pPr>
        <w:widowControl/>
        <w:spacing w:line="360" w:lineRule="auto"/>
        <w:ind w:firstLine="480" w:firstLineChars="200"/>
        <w:contextualSpacing/>
        <w:rPr>
          <w:rFonts w:hint="eastAsia"/>
          <w:sz w:val="24"/>
        </w:rPr>
      </w:pPr>
      <w:r>
        <w:rPr>
          <w:rFonts w:hint="eastAsia"/>
          <w:sz w:val="24"/>
        </w:rPr>
        <w:t>（5）本地备份技术需求</w:t>
      </w:r>
    </w:p>
    <w:tbl>
      <w:tblPr>
        <w:tblStyle w:val="4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434" w:type="dxa"/>
            <w:noWrap w:val="0"/>
            <w:vAlign w:val="center"/>
          </w:tcPr>
          <w:p>
            <w:pPr>
              <w:widowControl/>
              <w:jc w:val="center"/>
              <w:rPr>
                <w:rFonts w:ascii="宋体" w:hAnsi="宋体" w:cs="仿宋_GB2312"/>
                <w:b/>
                <w:bCs/>
                <w:szCs w:val="21"/>
              </w:rPr>
            </w:pPr>
            <w:r>
              <w:rPr>
                <w:rFonts w:hint="eastAsia" w:ascii="宋体" w:hAnsi="宋体" w:cs="仿宋_GB2312"/>
                <w:b/>
                <w:bCs/>
                <w:szCs w:val="21"/>
              </w:rPr>
              <w:t>指标项</w:t>
            </w:r>
          </w:p>
        </w:tc>
        <w:tc>
          <w:tcPr>
            <w:tcW w:w="7851" w:type="dxa"/>
            <w:noWrap w:val="0"/>
            <w:vAlign w:val="center"/>
          </w:tcPr>
          <w:p>
            <w:pPr>
              <w:widowControl/>
              <w:jc w:val="center"/>
              <w:rPr>
                <w:rFonts w:ascii="宋体" w:hAnsi="宋体" w:cs="仿宋_GB2312"/>
                <w:b/>
                <w:bCs/>
                <w:szCs w:val="21"/>
              </w:rPr>
            </w:pPr>
            <w:r>
              <w:rPr>
                <w:rFonts w:hint="eastAsia" w:ascii="宋体" w:hAnsi="宋体" w:cs="仿宋_GB2312"/>
                <w:b/>
                <w:bCs/>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1434" w:type="dxa"/>
            <w:vMerge w:val="restart"/>
            <w:noWrap w:val="0"/>
            <w:vAlign w:val="center"/>
          </w:tcPr>
          <w:p>
            <w:pPr>
              <w:rPr>
                <w:rFonts w:ascii="宋体" w:hAnsi="宋体" w:cs="仿宋_GB2312"/>
                <w:szCs w:val="21"/>
              </w:rPr>
            </w:pPr>
            <w:r>
              <w:rPr>
                <w:rFonts w:hint="eastAsia" w:ascii="宋体" w:hAnsi="宋体" w:cs="仿宋_GB2312"/>
                <w:szCs w:val="21"/>
              </w:rPr>
              <w:t>基本要求</w:t>
            </w:r>
          </w:p>
        </w:tc>
        <w:tc>
          <w:tcPr>
            <w:tcW w:w="7851" w:type="dxa"/>
            <w:noWrap w:val="0"/>
            <w:vAlign w:val="center"/>
          </w:tcPr>
          <w:p>
            <w:pPr>
              <w:rPr>
                <w:rFonts w:ascii="宋体" w:hAnsi="宋体" w:cs="仿宋_GB2312"/>
                <w:szCs w:val="21"/>
              </w:rPr>
            </w:pPr>
            <w:r>
              <w:rPr>
                <w:rFonts w:hint="eastAsia" w:ascii="宋体" w:hAnsi="宋体" w:cs="仿宋_GB2312"/>
                <w:szCs w:val="21"/>
              </w:rPr>
              <w:t>采用B/S架构；支持生产端主流操作系统LINUX/Windows 平台；支持多种数据库类型包括Oracle、MS SQL Server、Mysql等，并且支持这些数据库的所有版本；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基于服务器操作系统层，旁路监测被保护数据每次磁盘I/O的变化。实时监测每一笔磁盘写I/O操作，并以事件日志的方式记录。恢复时基于事件日志可以做任意时刻数据恢复；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生产端到灾备端数据传输时要基于字节级实时数据传输而非存储块级；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支持实时、定时两种备份方式；支持一对一、一对多、多对一、级联、双向等部署方式，且在多对一复制时备份端只需配置一套备份端软件；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服务器主机层做应用/数据库高可用，不依赖于某个具体的硬件平台；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支持主机/备机之间实时数据同步，基于主机被保护数据每一笔磁盘I/O操作，以字节的方式高效的传输到备机进行数据同步；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支持缓存和断点续传机制。当备份端硬件故障或网络传输异常中断时，自动缓存生产端数据库的新增数据，系统或网络故障恢复后自动实现断点续传；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34" w:type="dxa"/>
            <w:vMerge w:val="continue"/>
            <w:noWrap w:val="0"/>
            <w:vAlign w:val="center"/>
          </w:tcPr>
          <w:p>
            <w:pPr>
              <w:widowControl/>
              <w:rPr>
                <w:rFonts w:ascii="宋体" w:hAnsi="宋体" w:cs="仿宋_GB2312"/>
                <w:szCs w:val="21"/>
              </w:rPr>
            </w:pPr>
          </w:p>
        </w:tc>
        <w:tc>
          <w:tcPr>
            <w:tcW w:w="7851" w:type="dxa"/>
            <w:noWrap w:val="0"/>
            <w:vAlign w:val="center"/>
          </w:tcPr>
          <w:p>
            <w:pPr>
              <w:rPr>
                <w:rFonts w:ascii="宋体" w:hAnsi="宋体" w:cs="仿宋_GB2312"/>
                <w:szCs w:val="21"/>
              </w:rPr>
            </w:pPr>
            <w:r>
              <w:rPr>
                <w:rFonts w:hint="eastAsia" w:ascii="宋体" w:hAnsi="宋体" w:cs="仿宋_GB2312"/>
                <w:szCs w:val="21"/>
              </w:rPr>
              <w:t>图形化管理方式，无需命令行操作；</w:t>
            </w:r>
          </w:p>
        </w:tc>
      </w:tr>
    </w:tbl>
    <w:p>
      <w:pPr>
        <w:widowControl/>
        <w:spacing w:line="360" w:lineRule="auto"/>
        <w:ind w:firstLine="480" w:firstLineChars="200"/>
        <w:contextualSpacing/>
        <w:rPr>
          <w:rFonts w:hint="eastAsia"/>
          <w:sz w:val="24"/>
        </w:rPr>
      </w:pPr>
      <w:r>
        <w:rPr>
          <w:rFonts w:hint="eastAsia"/>
          <w:sz w:val="24"/>
        </w:rPr>
        <w:t>（6）互联网链路技术需求</w:t>
      </w:r>
    </w:p>
    <w:tbl>
      <w:tblPr>
        <w:tblStyle w:val="4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仿宋_GB2312"/>
                <w:b/>
                <w:bCs/>
                <w:szCs w:val="21"/>
              </w:rPr>
            </w:pPr>
            <w:r>
              <w:rPr>
                <w:rFonts w:hint="eastAsia" w:ascii="宋体" w:hAnsi="宋体" w:cs="仿宋_GB2312"/>
                <w:b/>
                <w:bCs/>
                <w:szCs w:val="21"/>
              </w:rPr>
              <w:t>指标项</w:t>
            </w:r>
          </w:p>
        </w:tc>
        <w:tc>
          <w:tcPr>
            <w:tcW w:w="6519"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仿宋_GB2312"/>
                <w:b/>
                <w:bCs/>
                <w:szCs w:val="21"/>
              </w:rPr>
            </w:pPr>
            <w:r>
              <w:rPr>
                <w:rFonts w:hint="eastAsia" w:ascii="宋体" w:hAnsi="宋体" w:cs="仿宋_GB2312"/>
                <w:b/>
                <w:bCs/>
                <w:szCs w:val="21"/>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top"/>
          </w:tcPr>
          <w:p>
            <w:pPr>
              <w:adjustRightInd w:val="0"/>
              <w:jc w:val="center"/>
              <w:textAlignment w:val="baseline"/>
              <w:rPr>
                <w:rFonts w:ascii="宋体" w:hAnsi="宋体"/>
                <w:kern w:val="0"/>
                <w:szCs w:val="21"/>
              </w:rPr>
            </w:pPr>
            <w:r>
              <w:rPr>
                <w:rFonts w:hint="eastAsia" w:ascii="宋体" w:hAnsi="宋体"/>
                <w:kern w:val="0"/>
                <w:szCs w:val="21"/>
              </w:rPr>
              <w:t>带宽租用服务</w:t>
            </w:r>
          </w:p>
        </w:tc>
        <w:tc>
          <w:tcPr>
            <w:tcW w:w="6519" w:type="dxa"/>
            <w:tcBorders>
              <w:top w:val="single" w:color="auto" w:sz="4" w:space="0"/>
              <w:left w:val="single" w:color="auto" w:sz="4" w:space="0"/>
              <w:bottom w:val="single" w:color="auto" w:sz="4" w:space="0"/>
              <w:right w:val="single" w:color="auto" w:sz="4" w:space="0"/>
            </w:tcBorders>
            <w:noWrap w:val="0"/>
            <w:vAlign w:val="top"/>
          </w:tcPr>
          <w:p>
            <w:pPr>
              <w:adjustRightInd w:val="0"/>
              <w:textAlignment w:val="baseline"/>
              <w:rPr>
                <w:rFonts w:ascii="宋体" w:hAnsi="宋体"/>
                <w:kern w:val="0"/>
                <w:szCs w:val="21"/>
              </w:rPr>
            </w:pPr>
            <w:r>
              <w:rPr>
                <w:rFonts w:hint="eastAsia" w:ascii="宋体" w:hAnsi="宋体"/>
                <w:kern w:val="0"/>
                <w:szCs w:val="21"/>
              </w:rPr>
              <w:t>提供互联网带宽租用服务，带宽提供方应为一级运营商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6" w:type="dxa"/>
            <w:tcBorders>
              <w:top w:val="single" w:color="auto" w:sz="4" w:space="0"/>
              <w:left w:val="single" w:color="auto" w:sz="4" w:space="0"/>
              <w:bottom w:val="single" w:color="auto" w:sz="4" w:space="0"/>
              <w:right w:val="single" w:color="auto" w:sz="4" w:space="0"/>
            </w:tcBorders>
            <w:noWrap w:val="0"/>
            <w:vAlign w:val="top"/>
          </w:tcPr>
          <w:p>
            <w:pPr>
              <w:adjustRightInd w:val="0"/>
              <w:jc w:val="center"/>
              <w:textAlignment w:val="baseline"/>
              <w:rPr>
                <w:rFonts w:ascii="宋体" w:hAnsi="宋体"/>
                <w:kern w:val="0"/>
                <w:szCs w:val="21"/>
              </w:rPr>
            </w:pPr>
            <w:r>
              <w:rPr>
                <w:rFonts w:hint="eastAsia" w:ascii="宋体" w:hAnsi="宋体"/>
                <w:kern w:val="0"/>
                <w:szCs w:val="21"/>
              </w:rPr>
              <w:t>可靠性要求</w:t>
            </w:r>
          </w:p>
        </w:tc>
        <w:tc>
          <w:tcPr>
            <w:tcW w:w="6519" w:type="dxa"/>
            <w:tcBorders>
              <w:top w:val="single" w:color="auto" w:sz="4" w:space="0"/>
              <w:left w:val="single" w:color="auto" w:sz="4" w:space="0"/>
              <w:bottom w:val="single" w:color="auto" w:sz="4" w:space="0"/>
              <w:right w:val="single" w:color="auto" w:sz="4" w:space="0"/>
            </w:tcBorders>
            <w:noWrap w:val="0"/>
            <w:vAlign w:val="top"/>
          </w:tcPr>
          <w:p>
            <w:pPr>
              <w:adjustRightInd w:val="0"/>
              <w:textAlignment w:val="baseline"/>
              <w:rPr>
                <w:rFonts w:ascii="宋体" w:hAnsi="宋体"/>
                <w:kern w:val="0"/>
                <w:szCs w:val="21"/>
              </w:rPr>
            </w:pPr>
            <w:r>
              <w:rPr>
                <w:rFonts w:hint="eastAsia" w:ascii="宋体" w:hAnsi="宋体"/>
                <w:kern w:val="0"/>
                <w:szCs w:val="21"/>
              </w:rPr>
              <w:t>须提供多线运营商接入服务，保证服务稳定可靠。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textAlignment w:val="baseline"/>
              <w:rPr>
                <w:rFonts w:ascii="宋体" w:hAnsi="宋体"/>
                <w:kern w:val="0"/>
                <w:szCs w:val="21"/>
              </w:rPr>
            </w:pPr>
            <w:r>
              <w:rPr>
                <w:rFonts w:hint="eastAsia" w:ascii="宋体" w:hAnsi="宋体"/>
                <w:kern w:val="0"/>
                <w:szCs w:val="21"/>
              </w:rPr>
              <w:t>可操作性</w:t>
            </w:r>
          </w:p>
        </w:tc>
        <w:tc>
          <w:tcPr>
            <w:tcW w:w="6519" w:type="dxa"/>
            <w:tcBorders>
              <w:top w:val="single" w:color="auto" w:sz="4" w:space="0"/>
              <w:left w:val="single" w:color="auto" w:sz="4" w:space="0"/>
              <w:bottom w:val="single" w:color="auto" w:sz="4" w:space="0"/>
              <w:right w:val="single" w:color="auto" w:sz="4" w:space="0"/>
            </w:tcBorders>
            <w:noWrap w:val="0"/>
            <w:vAlign w:val="top"/>
          </w:tcPr>
          <w:p>
            <w:pPr>
              <w:adjustRightInd w:val="0"/>
              <w:textAlignment w:val="baseline"/>
              <w:rPr>
                <w:rFonts w:ascii="宋体" w:hAnsi="宋体"/>
                <w:kern w:val="0"/>
                <w:szCs w:val="21"/>
              </w:rPr>
            </w:pPr>
            <w:r>
              <w:rPr>
                <w:rFonts w:hint="eastAsia" w:ascii="宋体" w:hAnsi="宋体"/>
                <w:kern w:val="0"/>
                <w:szCs w:val="21"/>
              </w:rPr>
              <w:t>支持通过云管理平台，实现申请部署与使用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6" w:type="dxa"/>
            <w:tcBorders>
              <w:top w:val="single" w:color="auto" w:sz="4" w:space="0"/>
              <w:left w:val="single" w:color="auto" w:sz="4" w:space="0"/>
              <w:bottom w:val="single" w:color="auto" w:sz="4" w:space="0"/>
              <w:right w:val="single" w:color="auto" w:sz="4" w:space="0"/>
            </w:tcBorders>
            <w:noWrap w:val="0"/>
            <w:vAlign w:val="top"/>
          </w:tcPr>
          <w:p>
            <w:pPr>
              <w:adjustRightInd w:val="0"/>
              <w:jc w:val="center"/>
              <w:textAlignment w:val="baseline"/>
              <w:rPr>
                <w:rFonts w:ascii="宋体" w:hAnsi="宋体"/>
                <w:kern w:val="0"/>
                <w:szCs w:val="21"/>
              </w:rPr>
            </w:pPr>
            <w:r>
              <w:rPr>
                <w:rFonts w:hint="eastAsia" w:ascii="宋体" w:hAnsi="宋体"/>
                <w:kern w:val="0"/>
                <w:szCs w:val="21"/>
              </w:rPr>
              <w:t>互联网IP地址租用服务</w:t>
            </w:r>
          </w:p>
        </w:tc>
        <w:tc>
          <w:tcPr>
            <w:tcW w:w="6519" w:type="dxa"/>
            <w:tcBorders>
              <w:top w:val="single" w:color="auto" w:sz="4" w:space="0"/>
              <w:left w:val="single" w:color="auto" w:sz="4" w:space="0"/>
              <w:bottom w:val="single" w:color="auto" w:sz="4" w:space="0"/>
              <w:right w:val="single" w:color="auto" w:sz="4" w:space="0"/>
            </w:tcBorders>
            <w:noWrap w:val="0"/>
            <w:vAlign w:val="top"/>
          </w:tcPr>
          <w:p>
            <w:pPr>
              <w:adjustRightInd w:val="0"/>
              <w:textAlignment w:val="baseline"/>
              <w:rPr>
                <w:rFonts w:ascii="宋体" w:hAnsi="宋体"/>
                <w:kern w:val="0"/>
                <w:szCs w:val="21"/>
              </w:rPr>
            </w:pPr>
            <w:r>
              <w:rPr>
                <w:rFonts w:hint="eastAsia" w:ascii="宋体" w:hAnsi="宋体"/>
                <w:kern w:val="0"/>
                <w:szCs w:val="21"/>
              </w:rPr>
              <w:t>可提供IPV4/IPV6互联网IP 地址租用服务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textAlignment w:val="baseline"/>
              <w:rPr>
                <w:rFonts w:ascii="宋体" w:hAnsi="宋体"/>
                <w:kern w:val="0"/>
                <w:szCs w:val="21"/>
              </w:rPr>
            </w:pPr>
            <w:r>
              <w:rPr>
                <w:rFonts w:hint="eastAsia" w:ascii="宋体" w:hAnsi="宋体"/>
                <w:kern w:val="0"/>
                <w:szCs w:val="21"/>
              </w:rPr>
              <w:t>网站域名备案服务</w:t>
            </w:r>
          </w:p>
        </w:tc>
        <w:tc>
          <w:tcPr>
            <w:tcW w:w="6519" w:type="dxa"/>
            <w:tcBorders>
              <w:top w:val="single" w:color="auto" w:sz="4" w:space="0"/>
              <w:left w:val="single" w:color="auto" w:sz="4" w:space="0"/>
              <w:bottom w:val="single" w:color="auto" w:sz="4" w:space="0"/>
              <w:right w:val="single" w:color="auto" w:sz="4" w:space="0"/>
            </w:tcBorders>
            <w:noWrap w:val="0"/>
            <w:vAlign w:val="top"/>
          </w:tcPr>
          <w:p>
            <w:pPr>
              <w:adjustRightInd w:val="0"/>
              <w:textAlignment w:val="baseline"/>
            </w:pPr>
            <w:r>
              <w:rPr>
                <w:rFonts w:hint="eastAsia" w:ascii="宋体" w:hAnsi="宋体"/>
                <w:b/>
                <w:bCs/>
                <w:kern w:val="0"/>
                <w:szCs w:val="21"/>
              </w:rPr>
              <w:t>#提供在线网站域名备案服务，提供投标人域名备案网站页面截图及网站链接</w:t>
            </w:r>
            <w:r>
              <w:rPr>
                <w:rFonts w:hint="eastAsia" w:ascii="宋体" w:hAnsi="宋体" w:cs="仿宋_GB2312"/>
                <w:b/>
                <w:bCs/>
                <w:szCs w:val="21"/>
              </w:rPr>
              <w:t>（提供截图证明文件）</w:t>
            </w:r>
            <w:r>
              <w:rPr>
                <w:rFonts w:hint="eastAsia" w:ascii="宋体" w:hAnsi="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textAlignment w:val="baseline"/>
              <w:rPr>
                <w:rFonts w:ascii="宋体" w:hAnsi="宋体"/>
                <w:kern w:val="0"/>
                <w:szCs w:val="21"/>
              </w:rPr>
            </w:pPr>
            <w:r>
              <w:rPr>
                <w:rFonts w:hint="eastAsia" w:ascii="宋体" w:hAnsi="宋体"/>
                <w:kern w:val="0"/>
                <w:szCs w:val="21"/>
              </w:rPr>
              <w:t>可操作性</w:t>
            </w:r>
          </w:p>
        </w:tc>
        <w:tc>
          <w:tcPr>
            <w:tcW w:w="6519" w:type="dxa"/>
            <w:tcBorders>
              <w:top w:val="single" w:color="auto" w:sz="4" w:space="0"/>
              <w:left w:val="single" w:color="auto" w:sz="4" w:space="0"/>
              <w:bottom w:val="single" w:color="auto" w:sz="4" w:space="0"/>
              <w:right w:val="single" w:color="auto" w:sz="4" w:space="0"/>
            </w:tcBorders>
            <w:noWrap w:val="0"/>
            <w:vAlign w:val="top"/>
          </w:tcPr>
          <w:p>
            <w:pPr>
              <w:adjustRightInd w:val="0"/>
              <w:textAlignment w:val="baseline"/>
              <w:rPr>
                <w:rFonts w:ascii="宋体" w:hAnsi="宋体"/>
                <w:kern w:val="0"/>
                <w:szCs w:val="21"/>
              </w:rPr>
            </w:pPr>
            <w:r>
              <w:rPr>
                <w:rFonts w:hint="eastAsia" w:ascii="宋体" w:hAnsi="宋体"/>
                <w:kern w:val="0"/>
                <w:szCs w:val="21"/>
              </w:rPr>
              <w:t>支持通过云管理平台，实现申请部署与使用</w:t>
            </w:r>
          </w:p>
        </w:tc>
      </w:tr>
    </w:tbl>
    <w:p>
      <w:pPr>
        <w:widowControl/>
        <w:spacing w:line="360" w:lineRule="auto"/>
        <w:ind w:firstLine="480" w:firstLineChars="200"/>
        <w:contextualSpacing/>
        <w:rPr>
          <w:rFonts w:hint="eastAsia"/>
          <w:sz w:val="24"/>
        </w:rPr>
      </w:pPr>
      <w:r>
        <w:rPr>
          <w:rFonts w:hint="eastAsia"/>
          <w:sz w:val="24"/>
        </w:rPr>
        <w:t>（7）主机负载均衡技术需求</w:t>
      </w:r>
    </w:p>
    <w:tbl>
      <w:tblPr>
        <w:tblStyle w:val="43"/>
        <w:tblW w:w="9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2"/>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仿宋_GB2312"/>
                <w:b/>
                <w:bCs/>
                <w:szCs w:val="21"/>
              </w:rPr>
            </w:pPr>
            <w:r>
              <w:rPr>
                <w:rFonts w:hint="eastAsia" w:ascii="宋体" w:hAnsi="宋体" w:cs="仿宋_GB2312"/>
                <w:b/>
                <w:bCs/>
                <w:szCs w:val="21"/>
              </w:rPr>
              <w:t>指标项</w:t>
            </w:r>
          </w:p>
        </w:tc>
        <w:tc>
          <w:tcPr>
            <w:tcW w:w="6783"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s="仿宋_GB2312"/>
                <w:b/>
                <w:bCs/>
                <w:szCs w:val="21"/>
              </w:rPr>
            </w:pPr>
            <w:r>
              <w:rPr>
                <w:rFonts w:hint="eastAsia" w:ascii="宋体" w:hAnsi="宋体" w:cs="仿宋_GB2312"/>
                <w:b/>
                <w:bCs/>
                <w:szCs w:val="21"/>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服务能力</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通过云管理平台实现针每租户按需自动分配负载均衡服务的能力。总体峰值可支持每秒新建链接数不少于40万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均衡策略</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支持加权轮询(Weighted Round Robin)、加权最小连接数调度(Weighted Least-Connection Scheduling)等流量分发策略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健康检查</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可以按照指定规则对配置的虚拟主机进行健康检查，自动隔离异常状态虚拟主机，确保可用性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会话（Session）保持</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可对虚拟主机提供TCP/HTTP协议的负载均衡服务，并提供会话保持功能，在会话生命周期内，将同一会话请求转发到同一台后端虚拟主机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高可用性</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采用全冗余或集群架构，无单点故障；平均可用性不低于99.99%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转发规则</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提供多种转发规则，满足不同业务场景的要求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扩展性</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支持在线平滑升级，承载能力和网络总带宽同步线性扩容；可与虚拟主机配合提供三层架构系统的弹性扩展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可操作性</w:t>
            </w:r>
          </w:p>
        </w:tc>
        <w:tc>
          <w:tcPr>
            <w:tcW w:w="6783"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支持通过云管理平台，实现申请部署与使用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5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color w:val="000000"/>
                <w:kern w:val="0"/>
                <w:szCs w:val="21"/>
              </w:rPr>
              <w:t>协议支持</w:t>
            </w:r>
          </w:p>
        </w:tc>
        <w:tc>
          <w:tcPr>
            <w:tcW w:w="6783"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kern w:val="0"/>
                <w:szCs w:val="21"/>
              </w:rPr>
            </w:pPr>
            <w:r>
              <w:rPr>
                <w:rFonts w:hint="eastAsia" w:ascii="宋体" w:hAnsi="宋体"/>
                <w:color w:val="000000"/>
                <w:kern w:val="0"/>
                <w:szCs w:val="21"/>
              </w:rPr>
              <w:t>提供 4 层（TCP 协议）和 7 层（HTTP 和 HTTPS 协议）的负载均衡服务</w:t>
            </w:r>
          </w:p>
        </w:tc>
      </w:tr>
    </w:tbl>
    <w:p>
      <w:pPr>
        <w:widowControl/>
        <w:spacing w:line="360" w:lineRule="auto"/>
        <w:ind w:firstLine="480" w:firstLineChars="200"/>
        <w:contextualSpacing/>
        <w:rPr>
          <w:rFonts w:hint="eastAsia"/>
          <w:sz w:val="24"/>
        </w:rPr>
      </w:pPr>
      <w:r>
        <w:rPr>
          <w:rFonts w:hint="eastAsia"/>
          <w:sz w:val="24"/>
        </w:rPr>
        <w:t>（8）远程接入技术需求</w:t>
      </w:r>
    </w:p>
    <w:tbl>
      <w:tblPr>
        <w:tblStyle w:val="43"/>
        <w:tblW w:w="9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4"/>
        <w:gridCol w:w="6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仿宋_GB2312"/>
                <w:b/>
                <w:bCs/>
                <w:szCs w:val="21"/>
              </w:rPr>
            </w:pPr>
            <w:r>
              <w:rPr>
                <w:rFonts w:hint="eastAsia" w:ascii="宋体" w:hAnsi="宋体" w:cs="仿宋_GB2312"/>
                <w:b/>
                <w:bCs/>
                <w:szCs w:val="21"/>
              </w:rPr>
              <w:t>指标项</w:t>
            </w:r>
          </w:p>
        </w:tc>
        <w:tc>
          <w:tcPr>
            <w:tcW w:w="6921"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s="仿宋_GB2312"/>
                <w:b/>
                <w:bCs/>
                <w:szCs w:val="21"/>
              </w:rPr>
            </w:pPr>
            <w:r>
              <w:rPr>
                <w:rFonts w:hint="eastAsia" w:ascii="宋体" w:hAnsi="宋体" w:cs="仿宋_GB2312"/>
                <w:b/>
                <w:bCs/>
                <w:szCs w:val="21"/>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firstLine="420"/>
              <w:jc w:val="center"/>
              <w:textAlignment w:val="baseline"/>
              <w:rPr>
                <w:rFonts w:ascii="宋体" w:hAnsi="宋体"/>
                <w:kern w:val="0"/>
                <w:szCs w:val="21"/>
              </w:rPr>
            </w:pPr>
            <w:r>
              <w:rPr>
                <w:rFonts w:hint="eastAsia" w:ascii="宋体" w:hAnsi="宋体"/>
                <w:kern w:val="0"/>
                <w:szCs w:val="21"/>
              </w:rPr>
              <w:t>功能要求</w:t>
            </w:r>
          </w:p>
        </w:tc>
        <w:tc>
          <w:tcPr>
            <w:tcW w:w="6921"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color w:val="000000"/>
                <w:kern w:val="0"/>
                <w:szCs w:val="21"/>
              </w:rPr>
            </w:pPr>
            <w:r>
              <w:rPr>
                <w:rFonts w:hint="eastAsia" w:ascii="宋体" w:hAnsi="宋体"/>
                <w:color w:val="000000"/>
                <w:kern w:val="0"/>
                <w:szCs w:val="21"/>
              </w:rPr>
              <w:t>提供堡垒机远程接入服务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firstLine="420"/>
              <w:jc w:val="center"/>
              <w:textAlignment w:val="baseline"/>
              <w:rPr>
                <w:rFonts w:ascii="宋体" w:hAnsi="宋体"/>
                <w:kern w:val="0"/>
                <w:szCs w:val="21"/>
              </w:rPr>
            </w:pPr>
            <w:r>
              <w:rPr>
                <w:rFonts w:hint="eastAsia" w:ascii="宋体" w:hAnsi="宋体"/>
                <w:kern w:val="0"/>
                <w:szCs w:val="21"/>
              </w:rPr>
              <w:t>运维审计</w:t>
            </w:r>
          </w:p>
        </w:tc>
        <w:tc>
          <w:tcPr>
            <w:tcW w:w="6921"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color w:val="000000"/>
                <w:kern w:val="0"/>
                <w:szCs w:val="21"/>
              </w:rPr>
            </w:pPr>
            <w:r>
              <w:rPr>
                <w:rFonts w:hint="eastAsia" w:ascii="宋体" w:hAnsi="宋体"/>
                <w:color w:val="000000"/>
                <w:kern w:val="0"/>
                <w:szCs w:val="21"/>
              </w:rPr>
              <w:t>字符操作审计、图形操作审计、文件操作审计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364" w:type="dxa"/>
            <w:vMerge w:val="restart"/>
            <w:tcBorders>
              <w:top w:val="nil"/>
              <w:left w:val="single" w:color="000000" w:sz="4" w:space="0"/>
              <w:bottom w:val="single" w:color="000000" w:sz="4" w:space="0"/>
              <w:right w:val="single" w:color="000000" w:sz="4" w:space="0"/>
            </w:tcBorders>
            <w:noWrap w:val="0"/>
            <w:vAlign w:val="center"/>
          </w:tcPr>
          <w:p>
            <w:pPr>
              <w:autoSpaceDE w:val="0"/>
              <w:autoSpaceDN w:val="0"/>
              <w:adjustRightInd w:val="0"/>
              <w:ind w:firstLine="420"/>
              <w:jc w:val="center"/>
              <w:textAlignment w:val="baseline"/>
              <w:rPr>
                <w:rFonts w:ascii="宋体" w:hAnsi="宋体"/>
                <w:kern w:val="0"/>
                <w:szCs w:val="21"/>
              </w:rPr>
            </w:pPr>
            <w:r>
              <w:rPr>
                <w:rFonts w:hint="eastAsia" w:ascii="宋体" w:hAnsi="宋体"/>
                <w:kern w:val="0"/>
                <w:szCs w:val="21"/>
              </w:rPr>
              <w:t>访问控制</w:t>
            </w:r>
          </w:p>
        </w:tc>
        <w:tc>
          <w:tcPr>
            <w:tcW w:w="6921"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color w:val="000000"/>
                <w:kern w:val="0"/>
                <w:szCs w:val="21"/>
              </w:rPr>
            </w:pPr>
            <w:r>
              <w:rPr>
                <w:rFonts w:hint="eastAsia" w:ascii="宋体" w:hAnsi="宋体"/>
                <w:color w:val="000000"/>
                <w:kern w:val="0"/>
                <w:szCs w:val="21"/>
              </w:rPr>
              <w:t>支持基于IP/IP段、用户/用户组、资产/资产组、协议、危险级别等组合策略进行访问控制，对于不合法的行为予以阻断；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364" w:type="dxa"/>
            <w:vMerge w:val="continue"/>
            <w:tcBorders>
              <w:top w:val="nil"/>
              <w:left w:val="single" w:color="000000" w:sz="4" w:space="0"/>
              <w:bottom w:val="single" w:color="000000" w:sz="4" w:space="0"/>
              <w:right w:val="single" w:color="000000" w:sz="4" w:space="0"/>
            </w:tcBorders>
            <w:noWrap w:val="0"/>
            <w:vAlign w:val="center"/>
          </w:tcPr>
          <w:p>
            <w:pPr>
              <w:widowControl/>
              <w:rPr>
                <w:rFonts w:ascii="宋体" w:hAnsi="宋体"/>
                <w:kern w:val="0"/>
                <w:szCs w:val="21"/>
              </w:rPr>
            </w:pPr>
          </w:p>
        </w:tc>
        <w:tc>
          <w:tcPr>
            <w:tcW w:w="6921"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color w:val="000000"/>
                <w:kern w:val="0"/>
                <w:szCs w:val="21"/>
              </w:rPr>
            </w:pPr>
            <w:r>
              <w:rPr>
                <w:rFonts w:hint="eastAsia" w:ascii="宋体" w:hAnsi="宋体"/>
                <w:color w:val="000000"/>
                <w:kern w:val="0"/>
                <w:szCs w:val="21"/>
              </w:rPr>
              <w:t>可基于运维账号的登陆时间和资产登陆时间进行访问控制；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364" w:type="dxa"/>
            <w:vMerge w:val="continue"/>
            <w:tcBorders>
              <w:top w:val="nil"/>
              <w:left w:val="single" w:color="000000" w:sz="4" w:space="0"/>
              <w:bottom w:val="single" w:color="000000" w:sz="4" w:space="0"/>
              <w:right w:val="single" w:color="000000" w:sz="4" w:space="0"/>
            </w:tcBorders>
            <w:noWrap w:val="0"/>
            <w:vAlign w:val="center"/>
          </w:tcPr>
          <w:p>
            <w:pPr>
              <w:widowControl/>
              <w:rPr>
                <w:rFonts w:ascii="宋体" w:hAnsi="宋体"/>
                <w:kern w:val="0"/>
                <w:szCs w:val="21"/>
              </w:rPr>
            </w:pPr>
          </w:p>
        </w:tc>
        <w:tc>
          <w:tcPr>
            <w:tcW w:w="6921"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color w:val="000000"/>
                <w:kern w:val="0"/>
                <w:szCs w:val="21"/>
              </w:rPr>
            </w:pPr>
            <w:r>
              <w:rPr>
                <w:rFonts w:hint="eastAsia" w:ascii="宋体" w:hAnsi="宋体"/>
                <w:color w:val="000000"/>
                <w:kern w:val="0"/>
                <w:szCs w:val="21"/>
              </w:rPr>
              <w:t>可基于运维操作命令进行访问控制；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jc w:val="center"/>
        </w:trPr>
        <w:tc>
          <w:tcPr>
            <w:tcW w:w="2364" w:type="dxa"/>
            <w:vMerge w:val="continue"/>
            <w:tcBorders>
              <w:top w:val="nil"/>
              <w:left w:val="single" w:color="000000" w:sz="4" w:space="0"/>
              <w:bottom w:val="single" w:color="000000" w:sz="4" w:space="0"/>
              <w:right w:val="single" w:color="000000" w:sz="4" w:space="0"/>
            </w:tcBorders>
            <w:noWrap w:val="0"/>
            <w:vAlign w:val="center"/>
          </w:tcPr>
          <w:p>
            <w:pPr>
              <w:widowControl/>
              <w:rPr>
                <w:rFonts w:ascii="宋体" w:hAnsi="宋体"/>
                <w:kern w:val="0"/>
                <w:szCs w:val="21"/>
              </w:rPr>
            </w:pPr>
          </w:p>
        </w:tc>
        <w:tc>
          <w:tcPr>
            <w:tcW w:w="6921" w:type="dxa"/>
            <w:tcBorders>
              <w:top w:val="single" w:color="000000" w:sz="4" w:space="0"/>
              <w:left w:val="nil"/>
              <w:bottom w:val="single" w:color="000000" w:sz="4" w:space="0"/>
              <w:right w:val="single" w:color="000000" w:sz="4" w:space="0"/>
            </w:tcBorders>
            <w:noWrap w:val="0"/>
            <w:vAlign w:val="top"/>
          </w:tcPr>
          <w:p>
            <w:pPr>
              <w:widowControl/>
              <w:adjustRightInd w:val="0"/>
              <w:textAlignment w:val="baseline"/>
              <w:rPr>
                <w:rFonts w:ascii="宋体" w:hAnsi="宋体"/>
                <w:color w:val="000000"/>
                <w:kern w:val="0"/>
                <w:szCs w:val="21"/>
              </w:rPr>
            </w:pPr>
            <w:r>
              <w:rPr>
                <w:rFonts w:hint="eastAsia" w:ascii="宋体" w:hAnsi="宋体"/>
                <w:color w:val="000000"/>
                <w:kern w:val="0"/>
                <w:szCs w:val="21"/>
              </w:rPr>
              <w:t>可基于主机、用户、IP地址控制审计日志的访问权限；</w:t>
            </w:r>
          </w:p>
        </w:tc>
      </w:tr>
    </w:tbl>
    <w:p>
      <w:pPr>
        <w:widowControl/>
        <w:spacing w:line="360" w:lineRule="auto"/>
        <w:ind w:firstLine="480" w:firstLineChars="200"/>
        <w:contextualSpacing/>
        <w:rPr>
          <w:rFonts w:hint="eastAsia"/>
          <w:sz w:val="24"/>
        </w:rPr>
      </w:pPr>
      <w:r>
        <w:rPr>
          <w:rFonts w:hint="eastAsia"/>
          <w:sz w:val="24"/>
        </w:rPr>
        <w:t>（9）WAF防护技术需求</w:t>
      </w:r>
    </w:p>
    <w:tbl>
      <w:tblPr>
        <w:tblStyle w:val="43"/>
        <w:tblW w:w="9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5"/>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2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仿宋_GB2312"/>
                <w:b/>
                <w:bCs/>
                <w:szCs w:val="21"/>
              </w:rPr>
            </w:pPr>
            <w:r>
              <w:rPr>
                <w:rFonts w:hint="eastAsia" w:ascii="宋体" w:hAnsi="宋体" w:cs="仿宋_GB2312"/>
                <w:b/>
                <w:bCs/>
                <w:szCs w:val="21"/>
              </w:rPr>
              <w:t>指标项</w:t>
            </w:r>
          </w:p>
        </w:tc>
        <w:tc>
          <w:tcPr>
            <w:tcW w:w="6800"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s="仿宋_GB2312"/>
                <w:b/>
                <w:bCs/>
                <w:szCs w:val="21"/>
              </w:rPr>
            </w:pPr>
            <w:r>
              <w:rPr>
                <w:rFonts w:hint="eastAsia" w:ascii="宋体" w:hAnsi="宋体" w:cs="仿宋_GB2312"/>
                <w:b/>
                <w:bCs/>
                <w:szCs w:val="21"/>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jc w:val="center"/>
        </w:trPr>
        <w:tc>
          <w:tcPr>
            <w:tcW w:w="24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检测算法</w:t>
            </w:r>
          </w:p>
        </w:tc>
        <w:tc>
          <w:tcPr>
            <w:tcW w:w="68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可精确识别包括注入、XSS等OWASP Top 10 WEB通用攻击，有效应对盗链、跨站请求伪造等WEB特殊攻击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jc w:val="center"/>
        </w:trPr>
        <w:tc>
          <w:tcPr>
            <w:tcW w:w="24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部署方式</w:t>
            </w:r>
          </w:p>
        </w:tc>
        <w:tc>
          <w:tcPr>
            <w:tcW w:w="68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可以通过透明串接或反向代理、路由模式等方式接入网络中，即可对应用层HTTP流量进行安全防护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24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黑名单</w:t>
            </w:r>
          </w:p>
        </w:tc>
        <w:tc>
          <w:tcPr>
            <w:tcW w:w="68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通过预定义策略及自定义规则，进行规则匹配，阻断异常流量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248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b/>
                <w:kern w:val="0"/>
                <w:szCs w:val="21"/>
              </w:rPr>
            </w:pPr>
            <w:r>
              <w:rPr>
                <w:rFonts w:hint="eastAsia" w:ascii="宋体" w:hAnsi="宋体"/>
                <w:kern w:val="0"/>
                <w:szCs w:val="21"/>
              </w:rPr>
              <w:t>可操作性</w:t>
            </w:r>
          </w:p>
        </w:tc>
        <w:tc>
          <w:tcPr>
            <w:tcW w:w="6800" w:type="dxa"/>
            <w:tcBorders>
              <w:top w:val="single" w:color="000000" w:sz="4" w:space="0"/>
              <w:left w:val="nil"/>
              <w:bottom w:val="single" w:color="000000" w:sz="4" w:space="0"/>
              <w:right w:val="single" w:color="000000" w:sz="4" w:space="0"/>
            </w:tcBorders>
            <w:noWrap w:val="0"/>
            <w:vAlign w:val="center"/>
          </w:tcPr>
          <w:p>
            <w:pPr>
              <w:autoSpaceDE w:val="0"/>
              <w:autoSpaceDN w:val="0"/>
              <w:adjustRightInd w:val="0"/>
              <w:textAlignment w:val="baseline"/>
              <w:rPr>
                <w:rFonts w:ascii="宋体" w:hAnsi="宋体"/>
                <w:b/>
                <w:kern w:val="0"/>
                <w:szCs w:val="21"/>
              </w:rPr>
            </w:pPr>
            <w:r>
              <w:rPr>
                <w:rFonts w:hint="eastAsia" w:ascii="宋体" w:hAnsi="宋体"/>
                <w:kern w:val="0"/>
                <w:szCs w:val="21"/>
              </w:rPr>
              <w:t>支持通过云管理平台，实现申请部署与使用</w:t>
            </w:r>
          </w:p>
        </w:tc>
      </w:tr>
    </w:tbl>
    <w:p>
      <w:pPr>
        <w:widowControl/>
        <w:spacing w:line="360" w:lineRule="auto"/>
        <w:ind w:firstLine="480" w:firstLineChars="200"/>
        <w:contextualSpacing/>
        <w:rPr>
          <w:rFonts w:hint="eastAsia"/>
          <w:sz w:val="24"/>
        </w:rPr>
      </w:pPr>
      <w:r>
        <w:rPr>
          <w:rFonts w:hint="eastAsia"/>
          <w:sz w:val="24"/>
        </w:rPr>
        <w:t>（10）特定云主机深度监控及运维保障服务（7*24小时值守）技术需求</w:t>
      </w:r>
    </w:p>
    <w:tbl>
      <w:tblPr>
        <w:tblStyle w:val="43"/>
        <w:tblW w:w="92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6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仿宋_GB2312"/>
                <w:b/>
                <w:bCs/>
                <w:szCs w:val="21"/>
              </w:rPr>
            </w:pPr>
            <w:r>
              <w:rPr>
                <w:rFonts w:hint="eastAsia" w:ascii="宋体" w:hAnsi="宋体" w:cs="仿宋_GB2312"/>
                <w:b/>
                <w:bCs/>
                <w:szCs w:val="21"/>
              </w:rPr>
              <w:t>指标项</w:t>
            </w:r>
          </w:p>
        </w:tc>
        <w:tc>
          <w:tcPr>
            <w:tcW w:w="6791" w:type="dxa"/>
            <w:tcBorders>
              <w:top w:val="single" w:color="000000" w:sz="4" w:space="0"/>
              <w:left w:val="nil"/>
              <w:bottom w:val="single" w:color="000000" w:sz="4" w:space="0"/>
              <w:right w:val="single" w:color="000000" w:sz="4" w:space="0"/>
            </w:tcBorders>
            <w:noWrap w:val="0"/>
            <w:vAlign w:val="top"/>
          </w:tcPr>
          <w:p>
            <w:pPr>
              <w:widowControl/>
              <w:jc w:val="center"/>
              <w:rPr>
                <w:rFonts w:ascii="宋体" w:hAnsi="宋体" w:cs="仿宋_GB2312"/>
                <w:b/>
                <w:bCs/>
                <w:szCs w:val="21"/>
              </w:rPr>
            </w:pPr>
            <w:r>
              <w:rPr>
                <w:rFonts w:hint="eastAsia" w:ascii="宋体" w:hAnsi="宋体" w:cs="仿宋_GB2312"/>
                <w:b/>
                <w:bCs/>
                <w:szCs w:val="21"/>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云主机深度监控</w:t>
            </w:r>
          </w:p>
        </w:tc>
        <w:tc>
          <w:tcPr>
            <w:tcW w:w="6791"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提供云主机7*24小时深度监控服务，并提供相应报告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集中告警监控</w:t>
            </w:r>
          </w:p>
        </w:tc>
        <w:tc>
          <w:tcPr>
            <w:tcW w:w="6791" w:type="dxa"/>
            <w:tcBorders>
              <w:top w:val="single" w:color="000000" w:sz="4" w:space="0"/>
              <w:left w:val="nil"/>
              <w:bottom w:val="single" w:color="000000" w:sz="4" w:space="0"/>
              <w:right w:val="single" w:color="000000" w:sz="4" w:space="0"/>
            </w:tcBorders>
            <w:noWrap w:val="0"/>
            <w:vAlign w:val="top"/>
          </w:tcPr>
          <w:p>
            <w:pPr>
              <w:widowControl/>
              <w:topLinePunct/>
              <w:adjustRightInd w:val="0"/>
              <w:snapToGrid w:val="0"/>
              <w:textAlignment w:val="baseline"/>
              <w:rPr>
                <w:rFonts w:ascii="宋体" w:hAnsi="宋体"/>
                <w:kern w:val="0"/>
                <w:szCs w:val="21"/>
              </w:rPr>
            </w:pPr>
            <w:r>
              <w:rPr>
                <w:rFonts w:hint="eastAsia" w:ascii="宋体" w:hAnsi="宋体"/>
                <w:kern w:val="0"/>
                <w:szCs w:val="21"/>
              </w:rPr>
              <w:t>支持多维度告警/事件展现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Top性能监控</w:t>
            </w:r>
          </w:p>
        </w:tc>
        <w:tc>
          <w:tcPr>
            <w:tcW w:w="6791" w:type="dxa"/>
            <w:tcBorders>
              <w:top w:val="single" w:color="000000" w:sz="4" w:space="0"/>
              <w:left w:val="nil"/>
              <w:bottom w:val="single" w:color="000000" w:sz="4" w:space="0"/>
              <w:right w:val="single" w:color="000000" w:sz="4" w:space="0"/>
            </w:tcBorders>
            <w:noWrap w:val="0"/>
            <w:vAlign w:val="top"/>
          </w:tcPr>
          <w:p>
            <w:pPr>
              <w:widowControl/>
              <w:topLinePunct/>
              <w:adjustRightInd w:val="0"/>
              <w:snapToGrid w:val="0"/>
              <w:textAlignment w:val="baseline"/>
              <w:rPr>
                <w:rFonts w:ascii="宋体" w:hAnsi="宋体"/>
                <w:szCs w:val="21"/>
              </w:rPr>
            </w:pPr>
            <w:r>
              <w:rPr>
                <w:rFonts w:hint="eastAsia" w:ascii="宋体" w:hAnsi="宋体"/>
                <w:szCs w:val="21"/>
              </w:rPr>
              <w:t>提供常用指标的TopN性能视图，包括：</w:t>
            </w:r>
          </w:p>
          <w:p>
            <w:pPr>
              <w:widowControl/>
              <w:numPr>
                <w:ilvl w:val="0"/>
                <w:numId w:val="9"/>
              </w:numPr>
              <w:topLinePunct/>
              <w:autoSpaceDE w:val="0"/>
              <w:autoSpaceDN w:val="0"/>
              <w:adjustRightInd w:val="0"/>
              <w:snapToGrid w:val="0"/>
              <w:ind w:left="0" w:firstLine="0"/>
              <w:textAlignment w:val="baseline"/>
              <w:rPr>
                <w:rFonts w:ascii="宋体" w:hAnsi="宋体"/>
                <w:szCs w:val="21"/>
              </w:rPr>
            </w:pPr>
            <w:r>
              <w:rPr>
                <w:rFonts w:hint="eastAsia" w:ascii="宋体" w:hAnsi="宋体"/>
                <w:szCs w:val="21"/>
              </w:rPr>
              <w:t>服务器、虚拟机的CPU、内存TopN视图；</w:t>
            </w:r>
          </w:p>
          <w:p>
            <w:pPr>
              <w:widowControl/>
              <w:numPr>
                <w:ilvl w:val="0"/>
                <w:numId w:val="9"/>
              </w:numPr>
              <w:topLinePunct/>
              <w:autoSpaceDE w:val="0"/>
              <w:autoSpaceDN w:val="0"/>
              <w:adjustRightInd w:val="0"/>
              <w:snapToGrid w:val="0"/>
              <w:ind w:left="0" w:firstLine="0"/>
              <w:textAlignment w:val="baseline"/>
              <w:rPr>
                <w:rFonts w:ascii="宋体" w:hAnsi="宋体"/>
                <w:szCs w:val="21"/>
              </w:rPr>
            </w:pPr>
            <w:r>
              <w:rPr>
                <w:rFonts w:hint="eastAsia" w:ascii="宋体" w:hAnsi="宋体"/>
                <w:szCs w:val="21"/>
              </w:rPr>
              <w:t>网络接口流量；</w:t>
            </w:r>
          </w:p>
          <w:p>
            <w:pPr>
              <w:widowControl/>
              <w:numPr>
                <w:ilvl w:val="0"/>
                <w:numId w:val="9"/>
              </w:numPr>
              <w:topLinePunct/>
              <w:autoSpaceDE w:val="0"/>
              <w:autoSpaceDN w:val="0"/>
              <w:adjustRightInd w:val="0"/>
              <w:snapToGrid w:val="0"/>
              <w:ind w:left="0" w:firstLine="0"/>
              <w:textAlignment w:val="baseline"/>
              <w:rPr>
                <w:rFonts w:ascii="宋体" w:hAnsi="宋体"/>
                <w:kern w:val="0"/>
                <w:szCs w:val="21"/>
              </w:rPr>
            </w:pPr>
            <w:r>
              <w:rPr>
                <w:rFonts w:hint="eastAsia" w:ascii="宋体" w:hAnsi="宋体"/>
                <w:szCs w:val="21"/>
              </w:rPr>
              <w:t>存储读写带宽、读写IOPS、读写IO大小。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安全事件服务</w:t>
            </w:r>
          </w:p>
        </w:tc>
        <w:tc>
          <w:tcPr>
            <w:tcW w:w="6791" w:type="dxa"/>
            <w:tcBorders>
              <w:top w:val="single" w:color="000000" w:sz="4" w:space="0"/>
              <w:left w:val="nil"/>
              <w:bottom w:val="single" w:color="000000" w:sz="4" w:space="0"/>
              <w:right w:val="single" w:color="000000" w:sz="4" w:space="0"/>
            </w:tcBorders>
            <w:noWrap w:val="0"/>
            <w:vAlign w:val="top"/>
          </w:tcPr>
          <w:p>
            <w:pPr>
              <w:widowControl/>
              <w:topLinePunct/>
              <w:adjustRightInd w:val="0"/>
              <w:snapToGrid w:val="0"/>
              <w:textAlignment w:val="baseline"/>
              <w:rPr>
                <w:rFonts w:ascii="宋体" w:hAnsi="宋体"/>
                <w:kern w:val="0"/>
                <w:szCs w:val="21"/>
              </w:rPr>
            </w:pPr>
            <w:r>
              <w:rPr>
                <w:rFonts w:hint="eastAsia" w:ascii="宋体" w:hAnsi="宋体"/>
                <w:kern w:val="0"/>
                <w:szCs w:val="21"/>
              </w:rPr>
              <w:t>提供主机安全事件的验证、分析，并提供事件报告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应急处置服务</w:t>
            </w:r>
          </w:p>
        </w:tc>
        <w:tc>
          <w:tcPr>
            <w:tcW w:w="6791"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提供特定云主机的应急问题协助排查，协助处理应用故障等服务，并提供相应报告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24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textAlignment w:val="baseline"/>
              <w:rPr>
                <w:rFonts w:ascii="宋体" w:hAnsi="宋体"/>
                <w:kern w:val="0"/>
                <w:szCs w:val="21"/>
              </w:rPr>
            </w:pPr>
            <w:r>
              <w:rPr>
                <w:rFonts w:hint="eastAsia" w:ascii="宋体" w:hAnsi="宋体"/>
                <w:kern w:val="0"/>
                <w:szCs w:val="21"/>
              </w:rPr>
              <w:t>值守保障服务</w:t>
            </w:r>
          </w:p>
        </w:tc>
        <w:tc>
          <w:tcPr>
            <w:tcW w:w="6791" w:type="dxa"/>
            <w:tcBorders>
              <w:top w:val="single" w:color="000000" w:sz="4" w:space="0"/>
              <w:left w:val="nil"/>
              <w:bottom w:val="single" w:color="000000" w:sz="4" w:space="0"/>
              <w:right w:val="single" w:color="000000" w:sz="4" w:space="0"/>
            </w:tcBorders>
            <w:noWrap w:val="0"/>
            <w:vAlign w:val="top"/>
          </w:tcPr>
          <w:p>
            <w:pPr>
              <w:autoSpaceDE w:val="0"/>
              <w:autoSpaceDN w:val="0"/>
              <w:adjustRightInd w:val="0"/>
              <w:textAlignment w:val="baseline"/>
              <w:rPr>
                <w:rFonts w:ascii="宋体" w:hAnsi="宋体"/>
                <w:kern w:val="0"/>
                <w:szCs w:val="21"/>
              </w:rPr>
            </w:pPr>
            <w:r>
              <w:rPr>
                <w:rFonts w:hint="eastAsia" w:ascii="宋体" w:hAnsi="宋体"/>
                <w:kern w:val="0"/>
                <w:szCs w:val="21"/>
              </w:rPr>
              <w:t>提供7x24小时的运维值守工作，不仅限于机房巡检、云平台和硬件监控，同时提供问题排查协助、协助处理应用故障等服务，并提供相应报告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0" w:hRule="atLeast"/>
          <w:jc w:val="center"/>
        </w:trPr>
        <w:tc>
          <w:tcPr>
            <w:tcW w:w="2494" w:type="dxa"/>
            <w:vMerge w:val="restart"/>
            <w:tcBorders>
              <w:top w:val="single" w:color="000000" w:sz="4" w:space="0"/>
              <w:left w:val="single" w:color="000000" w:sz="4" w:space="0"/>
              <w:right w:val="single" w:color="000000" w:sz="4" w:space="0"/>
            </w:tcBorders>
            <w:noWrap w:val="0"/>
            <w:vAlign w:val="center"/>
          </w:tcPr>
          <w:p>
            <w:pPr>
              <w:rPr>
                <w:rFonts w:ascii="宋体" w:hAnsi="宋体" w:cs="仿宋_GB2312"/>
                <w:szCs w:val="21"/>
              </w:rPr>
            </w:pPr>
            <w:r>
              <w:rPr>
                <w:rFonts w:hint="eastAsia" w:ascii="宋体" w:hAnsi="宋体" w:cs="仿宋_GB2312"/>
                <w:szCs w:val="21"/>
              </w:rPr>
              <w:t>政务云资源及服务管理要求</w:t>
            </w:r>
          </w:p>
        </w:tc>
        <w:tc>
          <w:tcPr>
            <w:tcW w:w="6791" w:type="dxa"/>
            <w:tcBorders>
              <w:top w:val="single" w:color="000000" w:sz="4" w:space="0"/>
              <w:left w:val="nil"/>
              <w:bottom w:val="single" w:color="000000" w:sz="4" w:space="0"/>
              <w:right w:val="single" w:color="000000" w:sz="4" w:space="0"/>
            </w:tcBorders>
            <w:noWrap w:val="0"/>
            <w:vAlign w:val="center"/>
          </w:tcPr>
          <w:p>
            <w:r>
              <w:rPr>
                <w:rFonts w:hint="eastAsia" w:ascii="宋体" w:hAnsi="宋体" w:cs="仿宋_GB2312"/>
                <w:b/>
                <w:bCs/>
                <w:szCs w:val="21"/>
              </w:rPr>
              <w:t>#投标人提供云资源可视化</w:t>
            </w:r>
            <w:r>
              <w:rPr>
                <w:rFonts w:hint="eastAsia" w:ascii="宋体" w:hAnsi="宋体" w:cs="仿宋_GB2312"/>
                <w:b/>
                <w:bCs/>
                <w:szCs w:val="21"/>
                <w:lang w:eastAsia="zh-Hans"/>
              </w:rPr>
              <w:t>监控</w:t>
            </w:r>
            <w:r>
              <w:rPr>
                <w:rFonts w:hint="eastAsia" w:ascii="宋体" w:hAnsi="宋体" w:cs="仿宋_GB2312"/>
                <w:b/>
                <w:bCs/>
                <w:szCs w:val="21"/>
              </w:rPr>
              <w:t>管理能力，可提供基于业务系统的资源概览、云主机、CPU、内存资源的统计展示（提供界面功能截图）等</w:t>
            </w:r>
            <w:r>
              <w:rPr>
                <w:rFonts w:hint="eastAsia" w:ascii="宋体" w:hAnsi="宋体" w:cs="仿宋_GB2312"/>
                <w:b/>
                <w:bCs/>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2494" w:type="dxa"/>
            <w:vMerge w:val="continue"/>
            <w:tcBorders>
              <w:left w:val="single" w:color="000000" w:sz="4" w:space="0"/>
              <w:right w:val="single" w:color="000000" w:sz="4" w:space="0"/>
            </w:tcBorders>
            <w:noWrap w:val="0"/>
            <w:vAlign w:val="top"/>
          </w:tcPr>
          <w:p>
            <w:pPr>
              <w:autoSpaceDE w:val="0"/>
              <w:autoSpaceDN w:val="0"/>
              <w:adjustRightInd w:val="0"/>
              <w:jc w:val="center"/>
              <w:textAlignment w:val="baseline"/>
              <w:rPr>
                <w:rFonts w:ascii="宋体" w:hAnsi="宋体"/>
                <w:kern w:val="0"/>
                <w:szCs w:val="21"/>
              </w:rPr>
            </w:pPr>
          </w:p>
        </w:tc>
        <w:tc>
          <w:tcPr>
            <w:tcW w:w="6791" w:type="dxa"/>
            <w:noWrap w:val="0"/>
            <w:vAlign w:val="center"/>
          </w:tcPr>
          <w:p>
            <w:pPr>
              <w:rPr>
                <w:rFonts w:ascii="宋体" w:hAnsi="宋体" w:cs="仿宋_GB2312"/>
                <w:szCs w:val="21"/>
              </w:rPr>
            </w:pPr>
            <w:r>
              <w:rPr>
                <w:rFonts w:hint="eastAsia" w:ascii="宋体" w:hAnsi="宋体" w:cs="仿宋_GB2312"/>
                <w:b/>
                <w:bCs/>
                <w:szCs w:val="21"/>
              </w:rPr>
              <w:t>#投标人提供</w:t>
            </w:r>
            <w:r>
              <w:rPr>
                <w:rFonts w:hint="eastAsia" w:ascii="宋体" w:hAnsi="宋体" w:cs="仿宋_GB2312"/>
                <w:b/>
                <w:bCs/>
                <w:szCs w:val="21"/>
                <w:lang w:eastAsia="zh-Hans"/>
              </w:rPr>
              <w:t>业务</w:t>
            </w:r>
            <w:r>
              <w:rPr>
                <w:rFonts w:hint="eastAsia" w:ascii="宋体" w:hAnsi="宋体" w:cs="仿宋_GB2312"/>
                <w:b/>
                <w:bCs/>
                <w:szCs w:val="21"/>
              </w:rPr>
              <w:t>可视化</w:t>
            </w:r>
            <w:r>
              <w:rPr>
                <w:rFonts w:hint="eastAsia" w:ascii="宋体" w:hAnsi="宋体" w:cs="仿宋_GB2312"/>
                <w:b/>
                <w:bCs/>
                <w:szCs w:val="21"/>
                <w:lang w:eastAsia="zh-Hans"/>
              </w:rPr>
              <w:t>监控管理</w:t>
            </w:r>
            <w:r>
              <w:rPr>
                <w:rFonts w:hint="eastAsia" w:ascii="宋体" w:hAnsi="宋体" w:cs="仿宋_GB2312"/>
                <w:b/>
                <w:bCs/>
                <w:szCs w:val="21"/>
              </w:rPr>
              <w:t>能力，支持业务探活（提供界面功能截图），可清晰展示业务系统及互联网地址的关联关系以及探活线路的监测状态</w:t>
            </w:r>
            <w:r>
              <w:rPr>
                <w:rFonts w:hint="eastAsia" w:ascii="宋体" w:hAnsi="宋体" w:cs="仿宋_GB2312"/>
                <w:b/>
                <w:bCs/>
                <w:szCs w:val="21"/>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2494" w:type="dxa"/>
            <w:vMerge w:val="continue"/>
            <w:tcBorders>
              <w:left w:val="single" w:color="000000" w:sz="4" w:space="0"/>
              <w:right w:val="single" w:color="000000" w:sz="4" w:space="0"/>
            </w:tcBorders>
            <w:noWrap w:val="0"/>
            <w:vAlign w:val="top"/>
          </w:tcPr>
          <w:p>
            <w:pPr>
              <w:autoSpaceDE w:val="0"/>
              <w:autoSpaceDN w:val="0"/>
              <w:adjustRightInd w:val="0"/>
              <w:jc w:val="center"/>
              <w:textAlignment w:val="baseline"/>
              <w:rPr>
                <w:rFonts w:ascii="宋体" w:hAnsi="宋体"/>
                <w:kern w:val="0"/>
                <w:szCs w:val="21"/>
              </w:rPr>
            </w:pPr>
          </w:p>
        </w:tc>
        <w:tc>
          <w:tcPr>
            <w:tcW w:w="6791" w:type="dxa"/>
            <w:noWrap w:val="0"/>
            <w:vAlign w:val="center"/>
          </w:tcPr>
          <w:p>
            <w:pPr>
              <w:rPr>
                <w:rFonts w:ascii="宋体" w:hAnsi="宋体" w:cs="仿宋_GB2312"/>
                <w:szCs w:val="21"/>
              </w:rPr>
            </w:pPr>
            <w:r>
              <w:rPr>
                <w:rFonts w:hint="eastAsia" w:ascii="宋体" w:hAnsi="宋体" w:cs="仿宋_GB2312"/>
                <w:b/>
                <w:bCs/>
                <w:szCs w:val="21"/>
              </w:rPr>
              <w:t>#投标人提供可视化管理能力，支持针对业务系统资源的BI数据分析能力（提供界面功能截图），包括使用趋势、资源使用量等；</w:t>
            </w:r>
          </w:p>
          <w:p>
            <w:pPr>
              <w:rPr>
                <w:rFonts w:ascii="宋体" w:hAnsi="宋体" w:cs="仿宋_GB2312"/>
                <w:szCs w:val="21"/>
              </w:rPr>
            </w:pPr>
            <w:r>
              <w:rPr>
                <w:rFonts w:hint="eastAsia" w:ascii="宋体" w:hAnsi="宋体" w:cs="仿宋_GB2312"/>
                <w:b/>
                <w:bCs/>
                <w:szCs w:val="21"/>
              </w:rPr>
              <w:t>#可提供对应资源的云效率统计（提供界面功能截图）；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2494" w:type="dxa"/>
            <w:vMerge w:val="continue"/>
            <w:tcBorders>
              <w:left w:val="single" w:color="000000" w:sz="4" w:space="0"/>
              <w:right w:val="single" w:color="000000" w:sz="4" w:space="0"/>
            </w:tcBorders>
            <w:noWrap w:val="0"/>
            <w:vAlign w:val="top"/>
          </w:tcPr>
          <w:p>
            <w:pPr>
              <w:autoSpaceDE w:val="0"/>
              <w:autoSpaceDN w:val="0"/>
              <w:adjustRightInd w:val="0"/>
              <w:jc w:val="center"/>
              <w:textAlignment w:val="baseline"/>
              <w:rPr>
                <w:rFonts w:ascii="宋体" w:hAnsi="宋体"/>
                <w:kern w:val="0"/>
                <w:szCs w:val="21"/>
              </w:rPr>
            </w:pPr>
          </w:p>
        </w:tc>
        <w:tc>
          <w:tcPr>
            <w:tcW w:w="6791" w:type="dxa"/>
            <w:noWrap w:val="0"/>
            <w:vAlign w:val="center"/>
          </w:tcPr>
          <w:p>
            <w:pPr>
              <w:rPr>
                <w:rFonts w:ascii="宋体" w:hAnsi="宋体" w:cs="仿宋_GB2312"/>
                <w:szCs w:val="21"/>
              </w:rPr>
            </w:pPr>
            <w:r>
              <w:rPr>
                <w:rFonts w:hint="eastAsia" w:ascii="宋体" w:hAnsi="宋体" w:cs="仿宋_GB2312"/>
                <w:b/>
                <w:bCs/>
                <w:szCs w:val="21"/>
              </w:rPr>
              <w:t>#投标人提供业务监控告警可视化展示，包括云主机告警、物理机告警、业务拨测告警等（提供界面功能截图），</w:t>
            </w:r>
            <w:r>
              <w:rPr>
                <w:rFonts w:hint="eastAsia" w:ascii="宋体" w:hAnsi="宋体" w:cs="仿宋_GB2312"/>
                <w:szCs w:val="21"/>
              </w:rPr>
              <w:t>可展示告警策略规则、告警时间、告警恢复时间等</w:t>
            </w:r>
            <w:r>
              <w:rPr>
                <w:rFonts w:hint="eastAsia" w:ascii="宋体" w:hAnsi="宋体" w:cs="仿宋_GB2312"/>
                <w:szCs w:val="21"/>
                <w:lang w:eastAsia="zh-Hans"/>
              </w:rPr>
              <w:t>。</w:t>
            </w:r>
          </w:p>
        </w:tc>
      </w:tr>
    </w:tbl>
    <w:p>
      <w:pPr>
        <w:widowControl/>
        <w:spacing w:line="360" w:lineRule="auto"/>
        <w:ind w:firstLine="480" w:firstLineChars="200"/>
        <w:contextualSpacing/>
        <w:rPr>
          <w:rFonts w:hint="eastAsia"/>
          <w:sz w:val="24"/>
        </w:rPr>
      </w:pPr>
      <w:r>
        <w:rPr>
          <w:rFonts w:hint="eastAsia"/>
          <w:sz w:val="24"/>
        </w:rPr>
        <w:t>（11）云平台技术需求</w:t>
      </w:r>
    </w:p>
    <w:tbl>
      <w:tblPr>
        <w:tblStyle w:val="4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49" w:type="dxa"/>
            <w:noWrap w:val="0"/>
            <w:vAlign w:val="center"/>
          </w:tcPr>
          <w:p>
            <w:pPr>
              <w:widowControl/>
              <w:jc w:val="center"/>
              <w:rPr>
                <w:rFonts w:ascii="宋体" w:hAnsi="宋体" w:cs="仿宋_GB2312"/>
                <w:b/>
                <w:bCs/>
                <w:szCs w:val="21"/>
              </w:rPr>
            </w:pPr>
            <w:r>
              <w:rPr>
                <w:rFonts w:hint="eastAsia" w:ascii="宋体" w:hAnsi="宋体" w:cs="仿宋_GB2312"/>
                <w:b/>
                <w:bCs/>
                <w:szCs w:val="21"/>
              </w:rPr>
              <w:t>指标项</w:t>
            </w:r>
          </w:p>
        </w:tc>
        <w:tc>
          <w:tcPr>
            <w:tcW w:w="8436" w:type="dxa"/>
            <w:noWrap w:val="0"/>
            <w:vAlign w:val="center"/>
          </w:tcPr>
          <w:p>
            <w:pPr>
              <w:widowControl/>
              <w:jc w:val="center"/>
              <w:rPr>
                <w:rFonts w:ascii="宋体" w:hAnsi="宋体" w:cs="仿宋_GB2312"/>
                <w:b/>
                <w:bCs/>
                <w:szCs w:val="21"/>
              </w:rPr>
            </w:pPr>
            <w:r>
              <w:rPr>
                <w:rFonts w:hint="eastAsia" w:ascii="宋体" w:hAnsi="宋体" w:cs="仿宋_GB2312"/>
                <w:b/>
                <w:bCs/>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9" w:type="dxa"/>
            <w:vMerge w:val="restart"/>
            <w:noWrap w:val="0"/>
            <w:vAlign w:val="center"/>
          </w:tcPr>
          <w:p>
            <w:pPr>
              <w:rPr>
                <w:rFonts w:ascii="宋体" w:hAnsi="宋体" w:cs="仿宋_GB2312"/>
                <w:szCs w:val="21"/>
              </w:rPr>
            </w:pPr>
            <w:r>
              <w:rPr>
                <w:rFonts w:hint="eastAsia" w:ascii="宋体" w:hAnsi="宋体" w:cs="仿宋_GB2312"/>
                <w:szCs w:val="21"/>
              </w:rPr>
              <w:t>基本要求</w:t>
            </w:r>
          </w:p>
        </w:tc>
        <w:tc>
          <w:tcPr>
            <w:tcW w:w="8436" w:type="dxa"/>
            <w:noWrap w:val="0"/>
            <w:vAlign w:val="center"/>
          </w:tcPr>
          <w:p>
            <w:pPr>
              <w:rPr>
                <w:rFonts w:ascii="宋体" w:hAnsi="宋体" w:cs="仿宋_GB2312"/>
                <w:szCs w:val="21"/>
              </w:rPr>
            </w:pPr>
            <w:r>
              <w:rPr>
                <w:rFonts w:hint="eastAsia" w:ascii="宋体" w:hAnsi="宋体" w:cs="仿宋_GB2312"/>
                <w:szCs w:val="21"/>
              </w:rPr>
              <w:t>云平台应具备不低于99.99%可用性标准，可支持用户自主配置主机、存储、网络、安全等资源，支持定制化开发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9" w:type="dxa"/>
            <w:vMerge w:val="continue"/>
            <w:noWrap w:val="0"/>
            <w:vAlign w:val="center"/>
          </w:tcPr>
          <w:p>
            <w:pPr>
              <w:widowControl/>
              <w:rPr>
                <w:rFonts w:ascii="宋体" w:hAnsi="宋体" w:cs="仿宋_GB2312"/>
                <w:szCs w:val="21"/>
              </w:rPr>
            </w:pPr>
          </w:p>
        </w:tc>
        <w:tc>
          <w:tcPr>
            <w:tcW w:w="8436" w:type="dxa"/>
            <w:noWrap w:val="0"/>
            <w:vAlign w:val="center"/>
          </w:tcPr>
          <w:p>
            <w:pPr>
              <w:rPr>
                <w:rFonts w:ascii="宋体" w:hAnsi="宋体" w:cs="仿宋_GB2312"/>
                <w:szCs w:val="21"/>
              </w:rPr>
            </w:pPr>
            <w:r>
              <w:rPr>
                <w:rFonts w:hint="eastAsia" w:ascii="宋体" w:hAnsi="宋体" w:cs="仿宋_GB2312"/>
                <w:b/>
                <w:bCs/>
                <w:szCs w:val="21"/>
              </w:rPr>
              <w:t>#支持数据中心资源动态伸缩，可根据业务压力随时调整虚拟机数量，伸缩策略包含定时任务、告警触发策略等（提供界面功能截图）；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9" w:type="dxa"/>
            <w:vMerge w:val="continue"/>
            <w:noWrap w:val="0"/>
            <w:vAlign w:val="center"/>
          </w:tcPr>
          <w:p>
            <w:pPr>
              <w:widowControl/>
              <w:rPr>
                <w:rFonts w:ascii="宋体" w:hAnsi="宋体" w:cs="仿宋_GB2312"/>
                <w:szCs w:val="21"/>
              </w:rPr>
            </w:pPr>
          </w:p>
        </w:tc>
        <w:tc>
          <w:tcPr>
            <w:tcW w:w="8436" w:type="dxa"/>
            <w:noWrap w:val="0"/>
            <w:vAlign w:val="center"/>
          </w:tcPr>
          <w:p>
            <w:pPr>
              <w:rPr>
                <w:rFonts w:ascii="宋体" w:hAnsi="宋体" w:cs="仿宋_GB2312"/>
                <w:szCs w:val="21"/>
              </w:rPr>
            </w:pPr>
            <w:r>
              <w:rPr>
                <w:rFonts w:hint="eastAsia" w:ascii="宋体" w:hAnsi="宋体" w:cs="仿宋_GB2312"/>
                <w:szCs w:val="21"/>
              </w:rPr>
              <w:t>支持对虚拟机CPU、内存、存储、带宽进行实时监控，并支持自定义告警规则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9" w:type="dxa"/>
            <w:vMerge w:val="continue"/>
            <w:noWrap w:val="0"/>
            <w:vAlign w:val="center"/>
          </w:tcPr>
          <w:p>
            <w:pPr>
              <w:widowControl/>
              <w:rPr>
                <w:rFonts w:ascii="宋体" w:hAnsi="宋体" w:cs="仿宋_GB2312"/>
                <w:szCs w:val="21"/>
              </w:rPr>
            </w:pPr>
          </w:p>
        </w:tc>
        <w:tc>
          <w:tcPr>
            <w:tcW w:w="8436" w:type="dxa"/>
            <w:noWrap w:val="0"/>
            <w:vAlign w:val="center"/>
          </w:tcPr>
          <w:p>
            <w:pPr>
              <w:rPr>
                <w:rFonts w:ascii="宋体" w:hAnsi="宋体" w:cs="仿宋_GB2312"/>
                <w:szCs w:val="21"/>
              </w:rPr>
            </w:pPr>
            <w:r>
              <w:rPr>
                <w:rFonts w:hint="eastAsia" w:ascii="宋体" w:hAnsi="宋体" w:cs="仿宋_GB2312"/>
                <w:szCs w:val="21"/>
              </w:rPr>
              <w:t xml:space="preserve">支持用户自定义虚拟主机专用网络或VLAN，并支持7层和4层的软件负载均衡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9" w:type="dxa"/>
            <w:vMerge w:val="continue"/>
            <w:noWrap w:val="0"/>
            <w:vAlign w:val="center"/>
          </w:tcPr>
          <w:p>
            <w:pPr>
              <w:widowControl/>
              <w:rPr>
                <w:rFonts w:ascii="宋体" w:hAnsi="宋体" w:cs="仿宋_GB2312"/>
                <w:szCs w:val="21"/>
              </w:rPr>
            </w:pPr>
          </w:p>
        </w:tc>
        <w:tc>
          <w:tcPr>
            <w:tcW w:w="8436" w:type="dxa"/>
            <w:noWrap w:val="0"/>
            <w:vAlign w:val="center"/>
          </w:tcPr>
          <w:p>
            <w:r>
              <w:rPr>
                <w:rFonts w:hint="eastAsia" w:ascii="宋体" w:hAnsi="宋体" w:cs="仿宋_GB2312"/>
                <w:b/>
                <w:bCs/>
                <w:szCs w:val="21"/>
              </w:rPr>
              <w:t>#支持提供专属宿主机，要求支持根据自身业务情况调整CPU虚拟核数，要求提供设置虚拟核数功能（提供界面功能截图）；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49" w:type="dxa"/>
            <w:vMerge w:val="continue"/>
            <w:noWrap w:val="0"/>
            <w:vAlign w:val="center"/>
          </w:tcPr>
          <w:p>
            <w:pPr>
              <w:widowControl/>
              <w:rPr>
                <w:rFonts w:ascii="宋体" w:hAnsi="宋体" w:cs="仿宋_GB2312"/>
                <w:szCs w:val="21"/>
              </w:rPr>
            </w:pPr>
          </w:p>
        </w:tc>
        <w:tc>
          <w:tcPr>
            <w:tcW w:w="8436" w:type="dxa"/>
            <w:noWrap w:val="0"/>
            <w:vAlign w:val="center"/>
          </w:tcPr>
          <w:p>
            <w:pPr>
              <w:rPr>
                <w:rFonts w:ascii="宋体" w:hAnsi="宋体" w:cs="仿宋_GB2312"/>
                <w:szCs w:val="21"/>
              </w:rPr>
            </w:pPr>
            <w:r>
              <w:rPr>
                <w:rFonts w:hint="eastAsia" w:ascii="宋体" w:hAnsi="宋体" w:cs="仿宋_GB2312"/>
                <w:szCs w:val="21"/>
              </w:rPr>
              <w:t>支持用户自主进行虚拟资源的新建、添加、删除、启动、停止、资源释放和回收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49" w:type="dxa"/>
            <w:vMerge w:val="continue"/>
            <w:noWrap w:val="0"/>
            <w:vAlign w:val="center"/>
          </w:tcPr>
          <w:p>
            <w:pPr>
              <w:widowControl/>
              <w:rPr>
                <w:rFonts w:ascii="宋体" w:hAnsi="宋体" w:cs="仿宋_GB2312"/>
                <w:szCs w:val="21"/>
              </w:rPr>
            </w:pPr>
          </w:p>
        </w:tc>
        <w:tc>
          <w:tcPr>
            <w:tcW w:w="8436" w:type="dxa"/>
            <w:noWrap w:val="0"/>
            <w:vAlign w:val="center"/>
          </w:tcPr>
          <w:p>
            <w:pPr>
              <w:rPr>
                <w:rFonts w:ascii="宋体" w:hAnsi="宋体" w:cs="仿宋_GB2312"/>
                <w:szCs w:val="21"/>
              </w:rPr>
            </w:pPr>
            <w:r>
              <w:rPr>
                <w:rFonts w:hint="eastAsia" w:ascii="宋体" w:hAnsi="宋体" w:cs="仿宋_GB2312"/>
                <w:szCs w:val="21"/>
              </w:rPr>
              <w:t>支持多种虚拟机调度模式，松散调度、紧凑调度、高可用调度等调度策略。</w:t>
            </w:r>
          </w:p>
        </w:tc>
      </w:tr>
    </w:tbl>
    <w:p>
      <w:pPr>
        <w:spacing w:line="360" w:lineRule="auto"/>
        <w:ind w:firstLine="482" w:firstLineChars="200"/>
        <w:contextualSpacing/>
        <w:outlineLvl w:val="2"/>
        <w:rPr>
          <w:rFonts w:hint="eastAsia"/>
          <w:b/>
          <w:bCs/>
          <w:sz w:val="24"/>
        </w:rPr>
      </w:pPr>
      <w:r>
        <w:rPr>
          <w:rFonts w:hint="eastAsia"/>
          <w:b/>
          <w:bCs/>
          <w:sz w:val="24"/>
        </w:rPr>
        <w:t>2. 服务及培训要求</w:t>
      </w:r>
    </w:p>
    <w:p>
      <w:pPr>
        <w:widowControl/>
        <w:adjustRightInd w:val="0"/>
        <w:snapToGrid w:val="0"/>
        <w:spacing w:line="360" w:lineRule="auto"/>
        <w:ind w:firstLine="480" w:firstLineChars="200"/>
        <w:rPr>
          <w:rFonts w:hint="eastAsia"/>
          <w:sz w:val="24"/>
        </w:rPr>
      </w:pPr>
      <w:r>
        <w:rPr>
          <w:rFonts w:hint="eastAsia"/>
          <w:sz w:val="24"/>
        </w:rPr>
        <w:t>（1）日常运维服务</w:t>
      </w:r>
    </w:p>
    <w:p>
      <w:pPr>
        <w:widowControl/>
        <w:adjustRightInd w:val="0"/>
        <w:snapToGrid w:val="0"/>
        <w:spacing w:line="360" w:lineRule="auto"/>
        <w:ind w:firstLine="480" w:firstLineChars="200"/>
        <w:rPr>
          <w:rFonts w:hint="eastAsia"/>
          <w:sz w:val="24"/>
        </w:rPr>
      </w:pPr>
      <w:r>
        <w:rPr>
          <w:rFonts w:hint="eastAsia"/>
          <w:sz w:val="24"/>
        </w:rPr>
        <w:t>投标人需利用监控系统或人工对硬件设备及应用系统的运行情况进行7*24小时的不间断巡检监控，及时发现安全隐患，通知相关人员及时处理，并形成监控报告。</w:t>
      </w:r>
    </w:p>
    <w:p>
      <w:pPr>
        <w:widowControl/>
        <w:adjustRightInd w:val="0"/>
        <w:snapToGrid w:val="0"/>
        <w:spacing w:line="360" w:lineRule="auto"/>
        <w:ind w:firstLine="480" w:firstLineChars="200"/>
        <w:rPr>
          <w:rFonts w:hint="eastAsia"/>
          <w:sz w:val="24"/>
        </w:rPr>
      </w:pPr>
      <w:r>
        <w:rPr>
          <w:rFonts w:hint="eastAsia"/>
          <w:sz w:val="24"/>
        </w:rPr>
        <w:t>投标人负责设立技术支持热线，并安排专人值守，为北京市水务局提供7*24小时热线支持服务。</w:t>
      </w:r>
    </w:p>
    <w:p>
      <w:pPr>
        <w:widowControl/>
        <w:adjustRightInd w:val="0"/>
        <w:snapToGrid w:val="0"/>
        <w:spacing w:line="360" w:lineRule="auto"/>
        <w:ind w:firstLine="480" w:firstLineChars="200"/>
        <w:rPr>
          <w:rFonts w:hint="eastAsia"/>
          <w:sz w:val="24"/>
        </w:rPr>
      </w:pPr>
      <w:r>
        <w:rPr>
          <w:rFonts w:hint="eastAsia"/>
          <w:sz w:val="24"/>
        </w:rPr>
        <w:t>（2）故障响应服务</w:t>
      </w:r>
    </w:p>
    <w:p>
      <w:pPr>
        <w:widowControl/>
        <w:adjustRightInd w:val="0"/>
        <w:snapToGrid w:val="0"/>
        <w:spacing w:line="360" w:lineRule="auto"/>
        <w:ind w:firstLine="480" w:firstLineChars="200"/>
        <w:rPr>
          <w:rFonts w:hint="eastAsia"/>
          <w:sz w:val="24"/>
        </w:rPr>
      </w:pPr>
      <w:r>
        <w:rPr>
          <w:rFonts w:hint="eastAsia"/>
          <w:sz w:val="24"/>
        </w:rPr>
        <w:t>投标人应当提供高效的系统维护服务，有效防范系统风险，投标人需保持7*24小时电话畅通。系统发生宕机问题时，投标人应在10分钟内响应，在30分钟之内使系统恢复正常，故障处理完毕后提供相关系统宕机报告。</w:t>
      </w:r>
    </w:p>
    <w:p>
      <w:pPr>
        <w:widowControl/>
        <w:adjustRightInd w:val="0"/>
        <w:snapToGrid w:val="0"/>
        <w:spacing w:line="360" w:lineRule="auto"/>
        <w:ind w:firstLine="480" w:firstLineChars="200"/>
        <w:rPr>
          <w:rFonts w:hint="eastAsia"/>
          <w:sz w:val="24"/>
        </w:rPr>
      </w:pPr>
      <w:r>
        <w:rPr>
          <w:rFonts w:hint="eastAsia"/>
          <w:sz w:val="24"/>
        </w:rPr>
        <w:t>（3）安全应急响应服务</w:t>
      </w:r>
    </w:p>
    <w:p>
      <w:pPr>
        <w:widowControl/>
        <w:adjustRightInd w:val="0"/>
        <w:snapToGrid w:val="0"/>
        <w:spacing w:line="360" w:lineRule="auto"/>
        <w:ind w:firstLine="480" w:firstLineChars="200"/>
        <w:rPr>
          <w:rFonts w:hint="eastAsia"/>
          <w:sz w:val="24"/>
        </w:rPr>
      </w:pPr>
      <w:r>
        <w:rPr>
          <w:rFonts w:hint="eastAsia"/>
          <w:sz w:val="24"/>
        </w:rPr>
        <w:t>提供安全专家应急响应服务，针对水务局日常运行或重保期间发生或可能发生的网络安全事件，提供安全专家应急响应分析，协助水务局进行安全事件排查及故障处置，提供安全事件分析报告。</w:t>
      </w:r>
    </w:p>
    <w:p>
      <w:pPr>
        <w:widowControl/>
        <w:adjustRightInd w:val="0"/>
        <w:snapToGrid w:val="0"/>
        <w:spacing w:line="360" w:lineRule="auto"/>
        <w:ind w:firstLine="480" w:firstLineChars="200"/>
        <w:rPr>
          <w:rFonts w:hint="eastAsia"/>
          <w:sz w:val="24"/>
        </w:rPr>
      </w:pPr>
      <w:r>
        <w:rPr>
          <w:rFonts w:hint="eastAsia"/>
          <w:sz w:val="24"/>
        </w:rPr>
        <w:t>（4）特殊时期保障服务</w:t>
      </w:r>
    </w:p>
    <w:p>
      <w:pPr>
        <w:widowControl/>
        <w:adjustRightInd w:val="0"/>
        <w:snapToGrid w:val="0"/>
        <w:spacing w:line="360" w:lineRule="auto"/>
        <w:ind w:firstLine="480" w:firstLineChars="200"/>
        <w:rPr>
          <w:rFonts w:hint="eastAsia"/>
          <w:sz w:val="24"/>
        </w:rPr>
      </w:pPr>
      <w:r>
        <w:rPr>
          <w:rFonts w:hint="eastAsia"/>
          <w:sz w:val="24"/>
        </w:rPr>
        <w:t>为保障业务高峰期内系统平稳运行，缓解系统高峰期内因业务发生量增大而带来系统压力风险，要求投标人根据业务周期性特点，加大运维保障力度，保证在业务高峰期内系统平稳运行。</w:t>
      </w:r>
    </w:p>
    <w:p>
      <w:pPr>
        <w:widowControl/>
        <w:adjustRightInd w:val="0"/>
        <w:snapToGrid w:val="0"/>
        <w:spacing w:line="360" w:lineRule="auto"/>
        <w:ind w:firstLine="480" w:firstLineChars="200"/>
        <w:rPr>
          <w:rFonts w:hint="eastAsia"/>
          <w:sz w:val="24"/>
        </w:rPr>
      </w:pPr>
      <w:r>
        <w:rPr>
          <w:rFonts w:hint="eastAsia"/>
          <w:sz w:val="24"/>
        </w:rPr>
        <w:t>同时，投标人应在春节、五一、国庆、汛期（6月1日-9月30日）以及全国（含北京）重大活动期间等重要时期，从技术人员到云平台保障等方面大运维保障力度，以确保政务云上信息系统在敏感时期安全稳定运行，无中断。</w:t>
      </w:r>
    </w:p>
    <w:p>
      <w:pPr>
        <w:widowControl/>
        <w:adjustRightInd w:val="0"/>
        <w:snapToGrid w:val="0"/>
        <w:spacing w:line="360" w:lineRule="auto"/>
        <w:ind w:firstLine="480" w:firstLineChars="200"/>
        <w:rPr>
          <w:rFonts w:hint="eastAsia"/>
          <w:sz w:val="24"/>
        </w:rPr>
      </w:pPr>
      <w:r>
        <w:rPr>
          <w:rFonts w:hint="eastAsia"/>
          <w:sz w:val="24"/>
        </w:rPr>
        <w:t>（5）部署迁移服务</w:t>
      </w:r>
    </w:p>
    <w:p>
      <w:pPr>
        <w:widowControl/>
        <w:adjustRightInd w:val="0"/>
        <w:snapToGrid w:val="0"/>
        <w:spacing w:line="360" w:lineRule="auto"/>
        <w:ind w:firstLine="480" w:firstLineChars="200"/>
        <w:rPr>
          <w:rFonts w:hint="eastAsia"/>
          <w:sz w:val="24"/>
        </w:rPr>
      </w:pPr>
      <w:r>
        <w:rPr>
          <w:rFonts w:hint="eastAsia"/>
          <w:sz w:val="24"/>
        </w:rPr>
        <w:t>目前所有系统已在云上稳定运行，如因政务云服务商变更造成云迁移（应用系统、数据、主机等的迁移），投标人应在合同签订后5个工作日内，完成系统迁移工作，系统中断时间不得超过5小时，迁移过程中产生的所有费用由投标人承担。如投标人未在规定时间内完成系统迁移，采购人有权与其解除合同并要求其赔偿采购人相应损失。同时本次采购的中标人有义务配合下一年度中标人完成政务云上业务系统迁移（如需）等工作。</w:t>
      </w:r>
    </w:p>
    <w:p>
      <w:pPr>
        <w:widowControl/>
        <w:adjustRightInd w:val="0"/>
        <w:snapToGrid w:val="0"/>
        <w:spacing w:line="360" w:lineRule="auto"/>
        <w:ind w:firstLine="480" w:firstLineChars="200"/>
        <w:rPr>
          <w:rFonts w:hint="eastAsia"/>
          <w:sz w:val="24"/>
        </w:rPr>
      </w:pPr>
      <w:r>
        <w:rPr>
          <w:rFonts w:hint="eastAsia"/>
          <w:sz w:val="24"/>
        </w:rPr>
        <w:t>（6）云主机操作培训</w:t>
      </w:r>
    </w:p>
    <w:p>
      <w:pPr>
        <w:widowControl/>
        <w:adjustRightInd w:val="0"/>
        <w:snapToGrid w:val="0"/>
        <w:spacing w:line="360" w:lineRule="auto"/>
        <w:ind w:firstLine="480" w:firstLineChars="200"/>
        <w:rPr>
          <w:rFonts w:hint="eastAsia"/>
          <w:sz w:val="24"/>
        </w:rPr>
      </w:pPr>
      <w:r>
        <w:rPr>
          <w:rFonts w:hint="eastAsia"/>
          <w:sz w:val="24"/>
        </w:rPr>
        <w:t>为有效提升市水务局应用系统管理人员的工作效率，投标人需向采购人提供包括但不限于政务云计算服务、网络服务、远程接入等内容的培训，具体培训内容根据采购人需求确定，培训次数不少于1次。</w:t>
      </w:r>
    </w:p>
    <w:p>
      <w:pPr>
        <w:widowControl/>
        <w:adjustRightInd w:val="0"/>
        <w:snapToGrid w:val="0"/>
        <w:spacing w:line="360" w:lineRule="auto"/>
        <w:ind w:firstLine="480" w:firstLineChars="200"/>
        <w:rPr>
          <w:rFonts w:hint="eastAsia"/>
          <w:sz w:val="24"/>
        </w:rPr>
      </w:pPr>
      <w:r>
        <w:rPr>
          <w:rFonts w:hint="eastAsia"/>
          <w:sz w:val="24"/>
        </w:rPr>
        <w:t>（7）管理咨询服务</w:t>
      </w:r>
    </w:p>
    <w:p>
      <w:pPr>
        <w:spacing w:line="360" w:lineRule="auto"/>
        <w:ind w:firstLine="480" w:firstLineChars="200"/>
        <w:contextualSpacing/>
        <w:rPr>
          <w:rFonts w:hint="eastAsia"/>
          <w:sz w:val="24"/>
        </w:rPr>
      </w:pPr>
      <w:r>
        <w:rPr>
          <w:rFonts w:hint="eastAsia"/>
          <w:sz w:val="24"/>
        </w:rPr>
        <w:t>供应商应为采购人提供其云上业务管理咨询服务，配合、协助采购人修订原有管理办法，并严格执行。</w:t>
      </w:r>
    </w:p>
    <w:p>
      <w:pPr>
        <w:widowControl/>
        <w:numPr>
          <w:ilvl w:val="0"/>
          <w:numId w:val="0"/>
        </w:numPr>
        <w:adjustRightInd w:val="0"/>
        <w:snapToGrid w:val="0"/>
        <w:spacing w:line="360" w:lineRule="auto"/>
        <w:ind w:firstLine="480"/>
        <w:contextualSpacing/>
        <w:jc w:val="both"/>
        <w:outlineLvl w:val="9"/>
        <w:rPr>
          <w:rFonts w:hint="eastAsia" w:ascii="Times New Roman" w:hAnsi="Times New Roman" w:eastAsia="宋体" w:cs="Times New Roman"/>
          <w:b w:val="0"/>
          <w:sz w:val="24"/>
          <w:szCs w:val="24"/>
          <w:lang w:eastAsia="zh-CN"/>
        </w:rPr>
      </w:pPr>
      <w:r>
        <w:rPr>
          <w:rFonts w:hint="eastAsia" w:ascii="Times New Roman" w:hAnsi="Times New Roman" w:eastAsia="宋体" w:cs="Times New Roman"/>
          <w:b w:val="0"/>
          <w:sz w:val="24"/>
          <w:szCs w:val="24"/>
          <w:lang w:eastAsia="zh-CN"/>
        </w:rPr>
        <w:t>（</w:t>
      </w:r>
      <w:r>
        <w:rPr>
          <w:rFonts w:hint="eastAsia" w:ascii="Times New Roman" w:hAnsi="Times New Roman" w:eastAsia="宋体" w:cs="Times New Roman"/>
          <w:b w:val="0"/>
          <w:sz w:val="24"/>
          <w:szCs w:val="24"/>
          <w:lang w:val="en-US" w:eastAsia="zh-CN"/>
        </w:rPr>
        <w:t>8</w:t>
      </w:r>
      <w:r>
        <w:rPr>
          <w:rFonts w:hint="eastAsia" w:ascii="Times New Roman" w:hAnsi="Times New Roman" w:eastAsia="宋体" w:cs="Times New Roman"/>
          <w:b w:val="0"/>
          <w:sz w:val="24"/>
          <w:szCs w:val="24"/>
          <w:lang w:eastAsia="zh-CN"/>
        </w:rPr>
        <w:t>）</w:t>
      </w:r>
      <w:r>
        <w:rPr>
          <w:rFonts w:hint="eastAsia" w:ascii="Times New Roman" w:hAnsi="Times New Roman" w:eastAsia="宋体" w:cs="Times New Roman"/>
          <w:sz w:val="24"/>
        </w:rPr>
        <w:t>项目团队要求</w:t>
      </w:r>
    </w:p>
    <w:p>
      <w:pPr>
        <w:widowControl/>
        <w:adjustRightInd w:val="0"/>
        <w:snapToGrid w:val="0"/>
        <w:spacing w:line="360" w:lineRule="auto"/>
        <w:ind w:firstLine="480" w:firstLineChars="200"/>
        <w:rPr>
          <w:rFonts w:hint="eastAsia"/>
          <w:sz w:val="24"/>
        </w:rPr>
      </w:pPr>
      <w:r>
        <w:rPr>
          <w:rFonts w:hint="eastAsia"/>
          <w:sz w:val="24"/>
        </w:rPr>
        <w:t>投标人针对本项目提供专业性强，高效稳定的项目服务保障团队，为本项目云资源服务提供稳定支撑。投标人应分别配备经验丰富的项目经理和团队执行人员，人员相关要求如下：</w:t>
      </w:r>
    </w:p>
    <w:p>
      <w:pPr>
        <w:widowControl/>
        <w:adjustRightInd w:val="0"/>
        <w:snapToGrid w:val="0"/>
        <w:spacing w:line="360" w:lineRule="auto"/>
        <w:ind w:firstLine="480" w:firstLineChars="200"/>
        <w:rPr>
          <w:rFonts w:hint="eastAsia"/>
          <w:sz w:val="24"/>
        </w:rPr>
      </w:pPr>
      <w:r>
        <w:rPr>
          <w:rFonts w:hint="eastAsia"/>
          <w:sz w:val="24"/>
        </w:rPr>
        <w:t>项目经理应具备丰富的政务云实施服务管理经验，</w:t>
      </w:r>
      <w:r>
        <w:rPr>
          <w:rFonts w:hint="eastAsia" w:ascii="宋体" w:hAnsi="宋体" w:cs="宋体"/>
          <w:sz w:val="24"/>
        </w:rPr>
        <w:t>具备计算机技术与软件专业技术资格高级</w:t>
      </w:r>
      <w:r>
        <w:rPr>
          <w:rFonts w:hint="eastAsia" w:ascii="宋体" w:hAnsi="宋体" w:cs="宋体"/>
          <w:sz w:val="24"/>
          <w:lang w:eastAsia="zh-CN"/>
        </w:rPr>
        <w:t>证书，</w:t>
      </w:r>
      <w:r>
        <w:rPr>
          <w:rFonts w:hint="eastAsia"/>
          <w:sz w:val="24"/>
        </w:rPr>
        <w:t>负责本项目规划和管理，</w:t>
      </w:r>
      <w:r>
        <w:rPr>
          <w:rFonts w:ascii="宋体" w:hAnsi="宋体"/>
          <w:kern w:val="0"/>
          <w:sz w:val="24"/>
          <w:szCs w:val="20"/>
          <w:shd w:val="clear" w:color="auto" w:fill="FFFFFF"/>
        </w:rPr>
        <w:t>全面负责项目的</w:t>
      </w:r>
      <w:r>
        <w:rPr>
          <w:rFonts w:hint="eastAsia" w:ascii="宋体" w:hAnsi="宋体"/>
          <w:kern w:val="0"/>
          <w:sz w:val="24"/>
          <w:szCs w:val="20"/>
          <w:shd w:val="clear" w:color="auto" w:fill="FFFFFF"/>
        </w:rPr>
        <w:t>实施</w:t>
      </w:r>
      <w:r>
        <w:rPr>
          <w:rFonts w:ascii="宋体" w:hAnsi="宋体"/>
          <w:kern w:val="0"/>
          <w:sz w:val="24"/>
          <w:szCs w:val="20"/>
          <w:shd w:val="clear" w:color="auto" w:fill="FFFFFF"/>
        </w:rPr>
        <w:t>、质量管理及</w:t>
      </w:r>
      <w:r>
        <w:rPr>
          <w:rFonts w:hint="eastAsia" w:ascii="宋体" w:hAnsi="宋体"/>
          <w:kern w:val="0"/>
          <w:sz w:val="24"/>
          <w:szCs w:val="20"/>
          <w:shd w:val="clear" w:color="auto" w:fill="FFFFFF"/>
        </w:rPr>
        <w:t>与</w:t>
      </w:r>
      <w:r>
        <w:rPr>
          <w:rFonts w:hint="eastAsia"/>
          <w:sz w:val="24"/>
        </w:rPr>
        <w:t>采购人沟通</w:t>
      </w:r>
      <w:r>
        <w:rPr>
          <w:rFonts w:ascii="宋体" w:hAnsi="宋体"/>
          <w:kern w:val="0"/>
          <w:sz w:val="24"/>
          <w:szCs w:val="20"/>
          <w:shd w:val="clear" w:color="auto" w:fill="FFFFFF"/>
        </w:rPr>
        <w:t>协调工作。</w:t>
      </w:r>
      <w:r>
        <w:rPr>
          <w:rFonts w:hint="eastAsia" w:ascii="宋体" w:hAnsi="宋体"/>
          <w:kern w:val="0"/>
          <w:sz w:val="24"/>
          <w:szCs w:val="20"/>
          <w:shd w:val="clear" w:color="auto" w:fill="FFFFFF"/>
        </w:rPr>
        <w:t>包括但不限于</w:t>
      </w:r>
      <w:r>
        <w:rPr>
          <w:rFonts w:hint="eastAsia"/>
          <w:sz w:val="24"/>
        </w:rPr>
        <w:t>领导项目团队，分配任务，组织培训，提升团队技能和协作；与采购人和项目团队内部保持沟通，协调资源和技术问题；识别项目风险，监控项目质量和进度，并及时调整策略。</w:t>
      </w:r>
    </w:p>
    <w:p>
      <w:pPr>
        <w:widowControl/>
        <w:adjustRightInd w:val="0"/>
        <w:snapToGrid w:val="0"/>
        <w:spacing w:line="360" w:lineRule="auto"/>
        <w:ind w:firstLine="480" w:firstLineChars="200"/>
        <w:rPr>
          <w:rFonts w:hint="eastAsia"/>
          <w:sz w:val="24"/>
        </w:rPr>
      </w:pPr>
      <w:r>
        <w:rPr>
          <w:rFonts w:hint="eastAsia"/>
          <w:sz w:val="24"/>
        </w:rPr>
        <w:t>项目组其他成员应具备丰富的政务云实施服务经验，掌握网络安全、系统架构等技能，</w:t>
      </w:r>
      <w:r>
        <w:rPr>
          <w:rFonts w:hint="eastAsia"/>
          <w:sz w:val="24"/>
          <w:lang w:eastAsia="zh-CN"/>
        </w:rPr>
        <w:t>主要人员</w:t>
      </w:r>
      <w:r>
        <w:rPr>
          <w:rFonts w:hint="eastAsia" w:ascii="宋体" w:hAnsi="宋体"/>
          <w:sz w:val="24"/>
        </w:rPr>
        <w:t>具有计算机技术与软件专业技术资格</w:t>
      </w:r>
      <w:r>
        <w:rPr>
          <w:rFonts w:hint="eastAsia" w:ascii="宋体" w:hAnsi="宋体"/>
          <w:sz w:val="24"/>
          <w:lang w:eastAsia="zh-CN"/>
        </w:rPr>
        <w:t>相关</w:t>
      </w:r>
      <w:r>
        <w:rPr>
          <w:rFonts w:hint="eastAsia" w:ascii="宋体" w:hAnsi="宋体"/>
          <w:sz w:val="24"/>
        </w:rPr>
        <w:t>证书</w:t>
      </w:r>
      <w:r>
        <w:rPr>
          <w:rFonts w:hint="eastAsia" w:ascii="宋体" w:hAnsi="宋体"/>
          <w:sz w:val="24"/>
          <w:lang w:eastAsia="zh-CN"/>
        </w:rPr>
        <w:t>，</w:t>
      </w:r>
      <w:r>
        <w:rPr>
          <w:rFonts w:hint="eastAsia"/>
          <w:sz w:val="24"/>
        </w:rPr>
        <w:t>负责但不限于以下职责：</w:t>
      </w:r>
    </w:p>
    <w:p>
      <w:pPr>
        <w:widowControl/>
        <w:snapToGrid w:val="0"/>
        <w:spacing w:line="360" w:lineRule="auto"/>
        <w:ind w:firstLine="480" w:firstLineChars="200"/>
        <w:rPr>
          <w:rFonts w:hint="eastAsia"/>
        </w:rPr>
      </w:pPr>
      <w:r>
        <w:rPr>
          <w:rFonts w:hint="eastAsia"/>
          <w:sz w:val="24"/>
        </w:rPr>
        <w:t>提供政务云服务的日常维护、运行状态监控、处理故障、技术支持、协助部署和调试应用系统；评估、审批和实施配置变更，确保合规性和稳定性；制定数据备份策略，执行备份和恢复；收集云主机性能指标和运行数据，实时监控资源使用和应用性能；分析监控数据，生成报告，支持决策制定等。</w:t>
      </w:r>
    </w:p>
    <w:p>
      <w:pPr>
        <w:spacing w:line="360" w:lineRule="auto"/>
        <w:contextualSpacing/>
        <w:outlineLvl w:val="1"/>
        <w:rPr>
          <w:rFonts w:hint="eastAsia" w:eastAsia="宋体"/>
          <w:b/>
          <w:sz w:val="24"/>
          <w:lang w:eastAsia="zh-CN"/>
        </w:rPr>
      </w:pPr>
      <w:r>
        <w:rPr>
          <w:rFonts w:hint="eastAsia"/>
          <w:b/>
          <w:sz w:val="24"/>
        </w:rPr>
        <w:t>（</w:t>
      </w:r>
      <w:r>
        <w:rPr>
          <w:rFonts w:hint="eastAsia"/>
          <w:b/>
          <w:sz w:val="24"/>
          <w:lang w:eastAsia="zh-CN"/>
        </w:rPr>
        <w:t>三</w:t>
      </w:r>
      <w:r>
        <w:rPr>
          <w:rFonts w:hint="eastAsia"/>
          <w:b/>
          <w:sz w:val="24"/>
        </w:rPr>
        <w:t>）验收服务标准</w:t>
      </w:r>
    </w:p>
    <w:p>
      <w:pPr>
        <w:widowControl/>
        <w:adjustRightInd/>
        <w:snapToGrid/>
        <w:spacing w:line="360" w:lineRule="auto"/>
        <w:ind w:firstLine="482" w:firstLineChars="200"/>
        <w:contextualSpacing/>
        <w:outlineLvl w:val="2"/>
        <w:rPr>
          <w:rFonts w:hint="eastAsia"/>
          <w:b/>
          <w:bCs/>
          <w:sz w:val="24"/>
        </w:rPr>
      </w:pPr>
      <w:r>
        <w:rPr>
          <w:rFonts w:hint="eastAsia"/>
          <w:b/>
          <w:bCs/>
          <w:sz w:val="24"/>
        </w:rPr>
        <w:t>1</w:t>
      </w: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 xml:space="preserve"> </w:t>
      </w:r>
      <w:r>
        <w:rPr>
          <w:rFonts w:hint="eastAsia"/>
          <w:b/>
          <w:bCs/>
          <w:sz w:val="24"/>
        </w:rPr>
        <w:t>服务绩效指标</w:t>
      </w:r>
    </w:p>
    <w:p>
      <w:pPr>
        <w:widowControl/>
        <w:adjustRightInd w:val="0"/>
        <w:snapToGrid w:val="0"/>
        <w:spacing w:line="360" w:lineRule="auto"/>
        <w:ind w:firstLine="480" w:firstLineChars="200"/>
        <w:rPr>
          <w:rFonts w:hint="eastAsia"/>
          <w:sz w:val="24"/>
        </w:rPr>
      </w:pPr>
      <w:r>
        <w:rPr>
          <w:rFonts w:hint="eastAsia"/>
          <w:sz w:val="24"/>
        </w:rPr>
        <w:t>（1）云服务服务期内整体可用性应不低于99.99%，数据可靠性应不低于99.9999%。</w:t>
      </w:r>
    </w:p>
    <w:p>
      <w:pPr>
        <w:widowControl/>
        <w:adjustRightInd w:val="0"/>
        <w:snapToGrid w:val="0"/>
        <w:spacing w:line="360" w:lineRule="auto"/>
        <w:ind w:firstLine="480" w:firstLineChars="200"/>
        <w:rPr>
          <w:rFonts w:hint="eastAsia"/>
          <w:sz w:val="24"/>
        </w:rPr>
      </w:pPr>
      <w:r>
        <w:rPr>
          <w:rFonts w:hint="eastAsia"/>
          <w:sz w:val="24"/>
        </w:rPr>
        <w:t>（2）故障响应率100%；</w:t>
      </w:r>
    </w:p>
    <w:p>
      <w:pPr>
        <w:widowControl/>
        <w:adjustRightInd w:val="0"/>
        <w:snapToGrid w:val="0"/>
        <w:spacing w:line="360" w:lineRule="auto"/>
        <w:ind w:firstLine="480" w:firstLineChars="200"/>
        <w:rPr>
          <w:rFonts w:hint="eastAsia"/>
          <w:sz w:val="24"/>
        </w:rPr>
      </w:pPr>
      <w:r>
        <w:rPr>
          <w:rFonts w:hint="eastAsia"/>
          <w:sz w:val="24"/>
        </w:rPr>
        <w:t>（3）应急响应时间≤10分钟（重大事件1分钟内响应）；</w:t>
      </w:r>
    </w:p>
    <w:p>
      <w:pPr>
        <w:widowControl/>
        <w:adjustRightInd/>
        <w:snapToGrid/>
        <w:spacing w:line="360" w:lineRule="auto"/>
        <w:ind w:firstLine="482" w:firstLineChars="200"/>
        <w:contextualSpacing/>
        <w:outlineLvl w:val="2"/>
        <w:rPr>
          <w:rFonts w:hint="eastAsia"/>
          <w:b/>
          <w:bCs/>
          <w:sz w:val="24"/>
        </w:rPr>
      </w:pPr>
      <w:r>
        <w:rPr>
          <w:rFonts w:hint="eastAsia"/>
          <w:b/>
          <w:bCs/>
          <w:sz w:val="24"/>
        </w:rPr>
        <w:t>2</w:t>
      </w: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 xml:space="preserve"> </w:t>
      </w:r>
      <w:r>
        <w:rPr>
          <w:rFonts w:hint="eastAsia"/>
          <w:b/>
          <w:bCs/>
          <w:sz w:val="24"/>
        </w:rPr>
        <w:t>项目验收要求</w:t>
      </w:r>
    </w:p>
    <w:p>
      <w:pPr>
        <w:widowControl/>
        <w:adjustRightInd w:val="0"/>
        <w:snapToGrid w:val="0"/>
        <w:spacing w:line="360" w:lineRule="auto"/>
        <w:ind w:firstLine="480" w:firstLineChars="200"/>
        <w:rPr>
          <w:rFonts w:hint="eastAsia"/>
          <w:sz w:val="24"/>
        </w:rPr>
      </w:pPr>
      <w:r>
        <w:rPr>
          <w:rFonts w:hint="eastAsia"/>
          <w:sz w:val="24"/>
        </w:rPr>
        <w:t>（1）投标人所提供的北京市市级政务云基础资源服务应遵循客观、科学、合理的原则，符合《北京市市级政务云管理办法》的相关标准及要求。</w:t>
      </w:r>
    </w:p>
    <w:p>
      <w:pPr>
        <w:widowControl/>
        <w:adjustRightInd w:val="0"/>
        <w:snapToGrid w:val="0"/>
        <w:spacing w:line="360" w:lineRule="auto"/>
        <w:ind w:firstLine="480" w:firstLineChars="200"/>
        <w:rPr>
          <w:rFonts w:hint="eastAsia"/>
          <w:sz w:val="24"/>
        </w:rPr>
      </w:pPr>
      <w:r>
        <w:rPr>
          <w:rFonts w:hint="eastAsia"/>
          <w:sz w:val="24"/>
        </w:rPr>
        <w:t>（2）投标人所提供资源应满足采购文件规定的要求。保证合同期内系统安全稳定运行，不因硬件故障导致累计服务中断23小时及以上。</w:t>
      </w:r>
    </w:p>
    <w:p>
      <w:pPr>
        <w:widowControl/>
        <w:adjustRightInd w:val="0"/>
        <w:snapToGrid w:val="0"/>
        <w:spacing w:line="360" w:lineRule="auto"/>
        <w:ind w:firstLine="480" w:firstLineChars="200"/>
        <w:rPr>
          <w:rFonts w:hint="eastAsia"/>
          <w:sz w:val="24"/>
        </w:rPr>
      </w:pPr>
      <w:r>
        <w:rPr>
          <w:rFonts w:hint="eastAsia"/>
          <w:sz w:val="24"/>
        </w:rPr>
        <w:t>（3）</w:t>
      </w:r>
      <w:r>
        <w:rPr>
          <w:rFonts w:hint="eastAsia" w:ascii="Times New Roman" w:hAnsi="Times New Roman" w:cs="Times New Roman"/>
          <w:sz w:val="24"/>
          <w:szCs w:val="24"/>
          <w:lang w:val="zh-CN" w:bidi="ar"/>
        </w:rPr>
        <w:t>供应商于合同服务期结束后的15个工作日内向采购人提交验收申请及项目验收材料，采购人在收到验收申请后的5个工作日内，确定具体验收日期。</w:t>
      </w:r>
      <w:r>
        <w:rPr>
          <w:rFonts w:hint="eastAsia"/>
          <w:sz w:val="24"/>
        </w:rPr>
        <w:t>投标人应当在采购人指定的验收日前向采购人提交验收报告。验收报告的内容包括但不限于，合同规定的各项服务清单，各系统设备运行情况。</w:t>
      </w:r>
    </w:p>
    <w:p>
      <w:pPr>
        <w:widowControl/>
        <w:numPr>
          <w:ilvl w:val="0"/>
          <w:numId w:val="0"/>
        </w:numPr>
        <w:adjustRightInd w:val="0"/>
        <w:snapToGrid w:val="0"/>
        <w:spacing w:line="360" w:lineRule="auto"/>
        <w:ind w:firstLine="480" w:firstLineChars="200"/>
        <w:contextualSpacing/>
        <w:jc w:val="both"/>
        <w:outlineLvl w:val="9"/>
        <w:rPr>
          <w:rFonts w:hint="eastAsia" w:ascii="Times New Roman" w:hAnsi="Times New Roman" w:eastAsia="宋体" w:cs="Times New Roman"/>
          <w:b w:val="0"/>
          <w:sz w:val="24"/>
          <w:szCs w:val="24"/>
        </w:rPr>
      </w:pPr>
      <w:r>
        <w:rPr>
          <w:rFonts w:hint="eastAsia" w:ascii="Times New Roman" w:hAnsi="Times New Roman" w:eastAsia="宋体" w:cs="Times New Roman"/>
          <w:sz w:val="24"/>
        </w:rPr>
        <w:t>（4）服务期届满，投标人按照采购人要求完成所有项目，各项记录、报告等文档齐全，无任何系统遗留问题，并通过由采购人组织的专家验收评审，方可通过验收。</w:t>
      </w:r>
    </w:p>
    <w:p>
      <w:pPr>
        <w:spacing w:line="360" w:lineRule="auto"/>
        <w:contextualSpacing/>
        <w:outlineLvl w:val="1"/>
        <w:rPr>
          <w:rFonts w:hint="eastAsia" w:eastAsia="宋体"/>
          <w:b/>
          <w:sz w:val="24"/>
          <w:lang w:eastAsia="zh-CN"/>
        </w:rPr>
      </w:pPr>
      <w:r>
        <w:rPr>
          <w:rFonts w:hint="eastAsia"/>
          <w:b/>
          <w:sz w:val="24"/>
        </w:rPr>
        <w:t>（</w:t>
      </w:r>
      <w:r>
        <w:rPr>
          <w:rFonts w:hint="eastAsia"/>
          <w:b/>
          <w:sz w:val="24"/>
          <w:lang w:eastAsia="zh-CN"/>
        </w:rPr>
        <w:t>四</w:t>
      </w:r>
      <w:r>
        <w:rPr>
          <w:rFonts w:hint="eastAsia"/>
          <w:b/>
          <w:sz w:val="24"/>
        </w:rPr>
        <w:t>）</w:t>
      </w:r>
      <w:r>
        <w:rPr>
          <w:rFonts w:hint="eastAsia"/>
          <w:b/>
          <w:sz w:val="24"/>
          <w:lang w:eastAsia="zh-CN"/>
        </w:rPr>
        <w:t>其他要求</w:t>
      </w:r>
    </w:p>
    <w:p>
      <w:pPr>
        <w:widowControl/>
        <w:adjustRightInd/>
        <w:snapToGrid/>
        <w:spacing w:line="360" w:lineRule="auto"/>
        <w:ind w:firstLine="482" w:firstLineChars="200"/>
        <w:contextualSpacing/>
        <w:outlineLvl w:val="2"/>
        <w:rPr>
          <w:rFonts w:hint="eastAsia" w:ascii="Times New Roman" w:hAnsi="Times New Roman" w:eastAsia="宋体" w:cs="Times New Roman"/>
          <w:b/>
          <w:bCs/>
          <w:sz w:val="24"/>
        </w:rPr>
      </w:pPr>
      <w:r>
        <w:rPr>
          <w:rFonts w:hint="eastAsia" w:ascii="Times New Roman" w:hAnsi="Times New Roman" w:eastAsia="宋体" w:cs="Times New Roman"/>
          <w:b/>
          <w:bCs/>
          <w:sz w:val="24"/>
        </w:rPr>
        <w:t>1</w:t>
      </w: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 xml:space="preserve"> </w:t>
      </w:r>
      <w:r>
        <w:rPr>
          <w:rFonts w:hint="eastAsia"/>
          <w:b/>
          <w:bCs/>
          <w:sz w:val="24"/>
        </w:rPr>
        <w:t>保密要求</w:t>
      </w:r>
    </w:p>
    <w:p>
      <w:pPr>
        <w:widowControl/>
        <w:adjustRightInd w:val="0"/>
        <w:snapToGrid w:val="0"/>
        <w:spacing w:line="360" w:lineRule="auto"/>
        <w:ind w:firstLine="480" w:firstLineChars="200"/>
        <w:rPr>
          <w:rFonts w:hint="eastAsia"/>
          <w:sz w:val="24"/>
        </w:rPr>
      </w:pPr>
      <w:r>
        <w:rPr>
          <w:rFonts w:hint="eastAsia"/>
          <w:sz w:val="24"/>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pPr>
        <w:widowControl/>
        <w:adjustRightInd w:val="0"/>
        <w:snapToGrid w:val="0"/>
        <w:spacing w:line="360" w:lineRule="auto"/>
        <w:ind w:firstLine="480" w:firstLineChars="200"/>
        <w:rPr>
          <w:rFonts w:hint="eastAsia"/>
          <w:sz w:val="24"/>
        </w:rPr>
      </w:pPr>
      <w:r>
        <w:rPr>
          <w:rFonts w:hint="eastAsia"/>
          <w:sz w:val="24"/>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pPr>
        <w:widowControl/>
        <w:adjustRightInd w:val="0"/>
        <w:snapToGrid w:val="0"/>
        <w:spacing w:line="360" w:lineRule="auto"/>
        <w:ind w:firstLine="480" w:firstLineChars="200"/>
        <w:rPr>
          <w:rFonts w:hint="eastAsia"/>
          <w:sz w:val="24"/>
        </w:rPr>
      </w:pPr>
      <w:r>
        <w:rPr>
          <w:rFonts w:hint="eastAsia"/>
          <w:sz w:val="24"/>
        </w:rPr>
        <w:t>（3）投标人保证将保密信息的披露范围严格控制在直接从事该项目工作且因工作需要有必要知悉保密信息的工作人员范围内,对投标人非从事该项目的人员一律严格保密。</w:t>
      </w:r>
    </w:p>
    <w:p>
      <w:pPr>
        <w:widowControl/>
        <w:adjustRightInd w:val="0"/>
        <w:snapToGrid w:val="0"/>
        <w:spacing w:line="360" w:lineRule="auto"/>
        <w:ind w:firstLine="480" w:firstLineChars="200"/>
        <w:rPr>
          <w:rFonts w:hint="eastAsia"/>
          <w:sz w:val="24"/>
        </w:rPr>
      </w:pPr>
      <w:r>
        <w:rPr>
          <w:rFonts w:hint="eastAsia"/>
          <w:sz w:val="24"/>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pPr>
        <w:widowControl/>
        <w:adjustRightInd w:val="0"/>
        <w:snapToGrid w:val="0"/>
        <w:spacing w:line="360" w:lineRule="auto"/>
        <w:ind w:firstLine="480" w:firstLineChars="200"/>
        <w:rPr>
          <w:rFonts w:hint="eastAsia"/>
          <w:sz w:val="24"/>
        </w:rPr>
      </w:pPr>
      <w:r>
        <w:rPr>
          <w:rFonts w:hint="eastAsia"/>
          <w:sz w:val="24"/>
        </w:rPr>
        <w:t>（5）任何时间内，一经采购人提出要求，投标人应按照采购人指示在收到采购人书面通知后 5 日内将含有保密信息的所有文件或其他资料归还采购人，且不得擅自复制留存。</w:t>
      </w:r>
    </w:p>
    <w:p>
      <w:pPr>
        <w:widowControl/>
        <w:adjustRightInd w:val="0"/>
        <w:snapToGrid w:val="0"/>
        <w:spacing w:line="360" w:lineRule="auto"/>
        <w:ind w:firstLine="480" w:firstLineChars="200"/>
        <w:rPr>
          <w:rFonts w:hint="eastAsia"/>
          <w:sz w:val="24"/>
        </w:rPr>
      </w:pPr>
      <w:r>
        <w:rPr>
          <w:rFonts w:hint="eastAsia"/>
          <w:sz w:val="24"/>
        </w:rPr>
        <w:t>（6）非经采购人特别授权，采购人向投标人提供的任何保密信息并不包括授予投标人该保密信息包含的任何专利权、商标权、著作权、商业秘密或其它类型的知识产权。</w:t>
      </w:r>
    </w:p>
    <w:p>
      <w:pPr>
        <w:widowControl/>
        <w:adjustRightInd w:val="0"/>
        <w:snapToGrid w:val="0"/>
        <w:spacing w:line="360" w:lineRule="auto"/>
        <w:ind w:firstLine="480" w:firstLineChars="200"/>
        <w:rPr>
          <w:rFonts w:hint="eastAsia"/>
          <w:sz w:val="24"/>
        </w:rPr>
      </w:pPr>
      <w:r>
        <w:rPr>
          <w:rFonts w:hint="eastAsia"/>
          <w:sz w:val="24"/>
        </w:rPr>
        <w:t>（7）投标人承担上述保密义务的期限为合同有效期间及合同终止后2年，承担上述保密义务的责任主体为投标人（含投标人服务人员）。</w:t>
      </w:r>
    </w:p>
    <w:p>
      <w:pPr>
        <w:widowControl/>
        <w:adjustRightInd w:val="0"/>
        <w:snapToGrid w:val="0"/>
        <w:spacing w:line="360" w:lineRule="auto"/>
        <w:ind w:firstLine="480" w:firstLineChars="200"/>
        <w:rPr>
          <w:rFonts w:hint="eastAsia"/>
          <w:sz w:val="24"/>
        </w:rPr>
      </w:pPr>
      <w:r>
        <w:rPr>
          <w:rFonts w:hint="eastAsia"/>
          <w:sz w:val="24"/>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pPr>
        <w:widowControl/>
        <w:numPr>
          <w:ilvl w:val="0"/>
          <w:numId w:val="0"/>
        </w:numPr>
        <w:adjustRightInd w:val="0"/>
        <w:snapToGrid w:val="0"/>
        <w:spacing w:line="360" w:lineRule="auto"/>
        <w:ind w:firstLine="480"/>
        <w:contextualSpacing/>
        <w:jc w:val="both"/>
        <w:outlineLvl w:val="9"/>
        <w:rPr>
          <w:rFonts w:hint="eastAsia" w:ascii="Times New Roman" w:hAnsi="Times New Roman" w:eastAsia="宋体" w:cs="Times New Roman"/>
          <w:sz w:val="24"/>
        </w:rPr>
      </w:pPr>
      <w:r>
        <w:rPr>
          <w:rFonts w:hint="eastAsia" w:ascii="Times New Roman" w:hAnsi="Times New Roman" w:eastAsia="宋体" w:cs="Times New Roman"/>
          <w:sz w:val="24"/>
        </w:rPr>
        <w:t>（9）投标人应当对获悉的政务数据、个人信息等予以保密，不得用于其他用途，不得泄露、出售或者非法向他人提供。</w:t>
      </w:r>
    </w:p>
    <w:p>
      <w:pPr>
        <w:widowControl/>
        <w:adjustRightInd/>
        <w:snapToGrid/>
        <w:spacing w:line="360" w:lineRule="auto"/>
        <w:ind w:firstLine="482" w:firstLineChars="200"/>
        <w:contextualSpacing/>
        <w:outlineLvl w:val="2"/>
        <w:rPr>
          <w:rFonts w:hint="eastAsia" w:ascii="Times New Roman" w:hAnsi="Times New Roman" w:eastAsia="宋体" w:cs="Times New Roman"/>
          <w:b/>
          <w:bCs/>
          <w:sz w:val="24"/>
          <w:lang w:eastAsia="zh-CN"/>
        </w:rPr>
      </w:pPr>
      <w:r>
        <w:rPr>
          <w:rFonts w:hint="eastAsia" w:ascii="Times New Roman" w:hAnsi="Times New Roman" w:eastAsia="宋体" w:cs="Times New Roman"/>
          <w:b/>
          <w:bCs/>
          <w:sz w:val="24"/>
          <w:lang w:val="en-US" w:eastAsia="zh-CN"/>
        </w:rPr>
        <w:t>2</w:t>
      </w:r>
      <w:r>
        <w:rPr>
          <w:rFonts w:hint="eastAsia" w:ascii="Times New Roman" w:hAnsi="Times New Roman" w:eastAsia="宋体" w:cs="Times New Roman"/>
          <w:b/>
          <w:bCs/>
          <w:sz w:val="24"/>
          <w:lang w:eastAsia="zh-CN"/>
        </w:rPr>
        <w:t>.</w:t>
      </w:r>
      <w:r>
        <w:rPr>
          <w:rFonts w:hint="eastAsia"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eastAsia="zh-CN"/>
        </w:rPr>
        <w:t>知识产权要求</w:t>
      </w:r>
    </w:p>
    <w:p>
      <w:pPr>
        <w:widowControl/>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投标人应确保本项目所提交成果无知识产权纠纷，项目成果的知识产权属于项目委托方。须在响应文件中对此项作出专项承诺，格式自拟。</w:t>
      </w:r>
    </w:p>
    <w:p>
      <w:pPr>
        <w:widowControl/>
        <w:adjustRightInd w:val="0"/>
        <w:snapToGrid w:val="0"/>
        <w:spacing w:line="360" w:lineRule="auto"/>
        <w:ind w:firstLineChars="200"/>
        <w:contextualSpacing w:val="0"/>
        <w:jc w:val="left"/>
        <w:rPr>
          <w:rFonts w:hint="eastAsia"/>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bookmarkStart w:id="15" w:name="_GoBack"/>
      <w:bookmarkEnd w:id="15"/>
    </w:p>
    <w:sectPr>
      <w:headerReference r:id="rId3" w:type="default"/>
      <w:footerReference r:id="rId4"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uppressAutoHyphens/>
      <w:snapToGrid w:val="0"/>
      <w:rPr>
        <w:rFonts w:ascii="Calibri" w:hAnsi="Calibr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5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3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87"/>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3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0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9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9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5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25"/>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6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ED5F9D"/>
    <w:multiLevelType w:val="multilevel"/>
    <w:tmpl w:val="78ED5F9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29E"/>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934"/>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EF4FC1"/>
    <w:rsid w:val="06BA568E"/>
    <w:rsid w:val="06EF4F89"/>
    <w:rsid w:val="07F36417"/>
    <w:rsid w:val="09105B1F"/>
    <w:rsid w:val="09715C07"/>
    <w:rsid w:val="0B660C1A"/>
    <w:rsid w:val="0D9D24E2"/>
    <w:rsid w:val="0FC739B1"/>
    <w:rsid w:val="101C679F"/>
    <w:rsid w:val="14625AD7"/>
    <w:rsid w:val="17F93E0B"/>
    <w:rsid w:val="196B04A0"/>
    <w:rsid w:val="1ADF5CFC"/>
    <w:rsid w:val="1B2C548C"/>
    <w:rsid w:val="1C455CA5"/>
    <w:rsid w:val="1D2C69D2"/>
    <w:rsid w:val="1DAB258D"/>
    <w:rsid w:val="1E6C19E9"/>
    <w:rsid w:val="20C473BA"/>
    <w:rsid w:val="217C0935"/>
    <w:rsid w:val="239E00B4"/>
    <w:rsid w:val="251E74A4"/>
    <w:rsid w:val="26831BBC"/>
    <w:rsid w:val="27843CE5"/>
    <w:rsid w:val="2B9845BD"/>
    <w:rsid w:val="2CC9352A"/>
    <w:rsid w:val="2DFA4553"/>
    <w:rsid w:val="31754DFF"/>
    <w:rsid w:val="321715DC"/>
    <w:rsid w:val="32EB653A"/>
    <w:rsid w:val="366A179F"/>
    <w:rsid w:val="398F586D"/>
    <w:rsid w:val="3AAB7AE3"/>
    <w:rsid w:val="3ADB3794"/>
    <w:rsid w:val="3BCB6780"/>
    <w:rsid w:val="3CC85B63"/>
    <w:rsid w:val="3FC44B7C"/>
    <w:rsid w:val="400B0814"/>
    <w:rsid w:val="402A14E2"/>
    <w:rsid w:val="425A2175"/>
    <w:rsid w:val="42CD0A98"/>
    <w:rsid w:val="431A0C09"/>
    <w:rsid w:val="45225F7B"/>
    <w:rsid w:val="4584697F"/>
    <w:rsid w:val="46E36232"/>
    <w:rsid w:val="480E2158"/>
    <w:rsid w:val="49000CEE"/>
    <w:rsid w:val="49897B15"/>
    <w:rsid w:val="4B65373A"/>
    <w:rsid w:val="4C327140"/>
    <w:rsid w:val="4D00163A"/>
    <w:rsid w:val="4F0F5BE3"/>
    <w:rsid w:val="50055E16"/>
    <w:rsid w:val="51113C2A"/>
    <w:rsid w:val="51C76F43"/>
    <w:rsid w:val="52422029"/>
    <w:rsid w:val="533DC654"/>
    <w:rsid w:val="545455E7"/>
    <w:rsid w:val="55040901"/>
    <w:rsid w:val="550C0F0F"/>
    <w:rsid w:val="56245862"/>
    <w:rsid w:val="56DF05DE"/>
    <w:rsid w:val="57FC6189"/>
    <w:rsid w:val="58E00503"/>
    <w:rsid w:val="5A0D7420"/>
    <w:rsid w:val="5A196FD9"/>
    <w:rsid w:val="5B9205D4"/>
    <w:rsid w:val="5D370EBC"/>
    <w:rsid w:val="5E934B0B"/>
    <w:rsid w:val="5F073306"/>
    <w:rsid w:val="5F434264"/>
    <w:rsid w:val="5F5F73B9"/>
    <w:rsid w:val="5F8D1814"/>
    <w:rsid w:val="5FEFD6C4"/>
    <w:rsid w:val="6465428E"/>
    <w:rsid w:val="67817BD3"/>
    <w:rsid w:val="6838144E"/>
    <w:rsid w:val="68AA7398"/>
    <w:rsid w:val="68E470BF"/>
    <w:rsid w:val="6BC515D7"/>
    <w:rsid w:val="6EAB6FA9"/>
    <w:rsid w:val="73037F0B"/>
    <w:rsid w:val="73A53748"/>
    <w:rsid w:val="742C597A"/>
    <w:rsid w:val="74674F0E"/>
    <w:rsid w:val="77521CC0"/>
    <w:rsid w:val="7D886FA7"/>
    <w:rsid w:val="7E3DF590"/>
    <w:rsid w:val="7EF7FF78"/>
    <w:rsid w:val="7F63A474"/>
    <w:rsid w:val="CF7ADD98"/>
    <w:rsid w:val="EDDF2BBA"/>
    <w:rsid w:val="EFFC0420"/>
    <w:rsid w:val="F9DD4F4E"/>
    <w:rsid w:val="FEBE4919"/>
    <w:rsid w:val="FF5AA3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8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2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9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9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0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21"/>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108"/>
    <w:qFormat/>
    <w:uiPriority w:val="99"/>
    <w:pPr>
      <w:jc w:val="left"/>
    </w:pPr>
  </w:style>
  <w:style w:type="paragraph" w:styleId="16">
    <w:name w:val="Body Text 3"/>
    <w:basedOn w:val="1"/>
    <w:link w:val="94"/>
    <w:qFormat/>
    <w:uiPriority w:val="0"/>
    <w:pPr>
      <w:spacing w:after="120"/>
    </w:pPr>
    <w:rPr>
      <w:sz w:val="16"/>
      <w:szCs w:val="16"/>
    </w:rPr>
  </w:style>
  <w:style w:type="paragraph" w:styleId="17">
    <w:name w:val="Body Text"/>
    <w:basedOn w:val="1"/>
    <w:next w:val="18"/>
    <w:link w:val="82"/>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Calibri" w:hAnsi="Calibri" w:eastAsia="宋体" w:cs="Calibri"/>
      <w:sz w:val="21"/>
      <w:szCs w:val="22"/>
      <w:lang w:val="en-US" w:eastAsia="zh-CN" w:bidi="ar-SA"/>
    </w:rPr>
  </w:style>
  <w:style w:type="paragraph" w:styleId="19">
    <w:name w:val="Body Text Indent"/>
    <w:basedOn w:val="1"/>
    <w:link w:val="70"/>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12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57"/>
    <w:qFormat/>
    <w:uiPriority w:val="0"/>
    <w:pPr>
      <w:ind w:left="100" w:leftChars="2500"/>
    </w:pPr>
    <w:rPr>
      <w:rFonts w:ascii="仿宋_GB2312" w:hAnsi="宋体" w:eastAsia="仿宋_GB2312"/>
      <w:color w:val="000000"/>
      <w:sz w:val="24"/>
    </w:rPr>
  </w:style>
  <w:style w:type="paragraph" w:styleId="27">
    <w:name w:val="Body Text Indent 2"/>
    <w:basedOn w:val="1"/>
    <w:link w:val="96"/>
    <w:qFormat/>
    <w:uiPriority w:val="0"/>
    <w:pPr>
      <w:ind w:firstLine="480" w:firstLineChars="200"/>
    </w:pPr>
    <w:rPr>
      <w:rFonts w:ascii="仿宋_GB2312" w:eastAsia="仿宋_GB2312"/>
      <w:sz w:val="24"/>
    </w:rPr>
  </w:style>
  <w:style w:type="paragraph" w:styleId="28">
    <w:name w:val="Balloon Text"/>
    <w:basedOn w:val="1"/>
    <w:link w:val="65"/>
    <w:qFormat/>
    <w:uiPriority w:val="0"/>
    <w:rPr>
      <w:sz w:val="18"/>
      <w:szCs w:val="18"/>
    </w:rPr>
  </w:style>
  <w:style w:type="paragraph" w:styleId="29">
    <w:name w:val="footer"/>
    <w:basedOn w:val="1"/>
    <w:link w:val="12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5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62"/>
    <w:qFormat/>
    <w:uiPriority w:val="0"/>
    <w:pPr>
      <w:jc w:val="center"/>
      <w:outlineLvl w:val="0"/>
    </w:pPr>
    <w:rPr>
      <w:b/>
      <w:sz w:val="32"/>
      <w:szCs w:val="20"/>
    </w:rPr>
  </w:style>
  <w:style w:type="paragraph" w:styleId="41">
    <w:name w:val="annotation subject"/>
    <w:basedOn w:val="15"/>
    <w:next w:val="15"/>
    <w:link w:val="78"/>
    <w:qFormat/>
    <w:uiPriority w:val="0"/>
    <w:rPr>
      <w:b/>
      <w:bCs/>
    </w:rPr>
  </w:style>
  <w:style w:type="paragraph" w:styleId="42">
    <w:name w:val="Body Text First Indent 2"/>
    <w:basedOn w:val="19"/>
    <w:link w:val="67"/>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Char Char"/>
    <w:qFormat/>
    <w:uiPriority w:val="0"/>
    <w:rPr>
      <w:rFonts w:ascii="Arial" w:hAnsi="Arial" w:eastAsia="黑体"/>
      <w:b/>
      <w:bCs/>
      <w:kern w:val="2"/>
      <w:sz w:val="32"/>
      <w:szCs w:val="32"/>
      <w:lang w:val="en-US" w:eastAsia="zh-CN" w:bidi="ar-SA"/>
    </w:rPr>
  </w:style>
  <w:style w:type="character" w:customStyle="1" w:styleId="55">
    <w:name w:val="标题 2 字符"/>
    <w:link w:val="2"/>
    <w:qFormat/>
    <w:uiPriority w:val="0"/>
    <w:rPr>
      <w:rFonts w:ascii="Arial" w:hAnsi="Arial" w:eastAsia="黑体"/>
      <w:b/>
      <w:sz w:val="30"/>
      <w:lang w:val="en-US" w:eastAsia="zh-CN" w:bidi="ar-SA"/>
    </w:rPr>
  </w:style>
  <w:style w:type="character" w:customStyle="1" w:styleId="56">
    <w:name w:val="页眉 Char"/>
    <w:qFormat/>
    <w:uiPriority w:val="0"/>
    <w:rPr>
      <w:rFonts w:eastAsia="宋体"/>
      <w:kern w:val="2"/>
      <w:sz w:val="18"/>
      <w:szCs w:val="18"/>
      <w:lang w:val="en-US" w:eastAsia="zh-CN" w:bidi="ar-SA"/>
    </w:rPr>
  </w:style>
  <w:style w:type="character" w:customStyle="1" w:styleId="57">
    <w:name w:val="日期 字符"/>
    <w:link w:val="26"/>
    <w:qFormat/>
    <w:uiPriority w:val="0"/>
    <w:rPr>
      <w:rFonts w:ascii="仿宋_GB2312" w:hAnsi="宋体" w:eastAsia="仿宋_GB2312"/>
      <w:color w:val="000000"/>
      <w:kern w:val="2"/>
      <w:sz w:val="24"/>
      <w:szCs w:val="24"/>
    </w:rPr>
  </w:style>
  <w:style w:type="character" w:customStyle="1" w:styleId="58">
    <w:name w:val="正文文本缩进 3 字符"/>
    <w:link w:val="34"/>
    <w:qFormat/>
    <w:uiPriority w:val="0"/>
    <w:rPr>
      <w:rFonts w:ascii="宋体"/>
      <w:sz w:val="24"/>
    </w:rPr>
  </w:style>
  <w:style w:type="character" w:customStyle="1" w:styleId="59">
    <w:name w:val="注释 Char"/>
    <w:link w:val="60"/>
    <w:qFormat/>
    <w:uiPriority w:val="0"/>
    <w:rPr>
      <w:rFonts w:ascii="宋体" w:hAnsi="宋体"/>
      <w:kern w:val="2"/>
      <w:sz w:val="21"/>
      <w:szCs w:val="21"/>
    </w:rPr>
  </w:style>
  <w:style w:type="paragraph" w:customStyle="1" w:styleId="60">
    <w:name w:val="注释"/>
    <w:basedOn w:val="1"/>
    <w:link w:val="59"/>
    <w:qFormat/>
    <w:uiPriority w:val="0"/>
    <w:pPr>
      <w:adjustRightInd w:val="0"/>
      <w:snapToGrid w:val="0"/>
      <w:ind w:left="420" w:hanging="420" w:hangingChars="200"/>
      <w:jc w:val="left"/>
    </w:pPr>
    <w:rPr>
      <w:rFonts w:ascii="宋体" w:hAnsi="宋体"/>
      <w:szCs w:val="21"/>
    </w:rPr>
  </w:style>
  <w:style w:type="character" w:customStyle="1" w:styleId="61">
    <w:name w:val="标题 5 字符"/>
    <w:link w:val="7"/>
    <w:qFormat/>
    <w:uiPriority w:val="0"/>
    <w:rPr>
      <w:b/>
      <w:sz w:val="28"/>
    </w:rPr>
  </w:style>
  <w:style w:type="character" w:customStyle="1" w:styleId="62">
    <w:name w:val="标题 字符"/>
    <w:link w:val="40"/>
    <w:qFormat/>
    <w:uiPriority w:val="0"/>
    <w:rPr>
      <w:b/>
      <w:kern w:val="2"/>
      <w:sz w:val="32"/>
    </w:rPr>
  </w:style>
  <w:style w:type="character" w:customStyle="1" w:styleId="63">
    <w:name w:val="正文缩进 字符"/>
    <w:link w:val="5"/>
    <w:qFormat/>
    <w:uiPriority w:val="0"/>
    <w:rPr>
      <w:rFonts w:ascii="宋体" w:eastAsia="宋体"/>
      <w:kern w:val="2"/>
      <w:sz w:val="24"/>
      <w:szCs w:val="24"/>
      <w:lang w:val="en-US" w:eastAsia="zh-CN" w:bidi="ar-SA"/>
    </w:rPr>
  </w:style>
  <w:style w:type="character" w:customStyle="1" w:styleId="64">
    <w:name w:val="文档结构图 字符"/>
    <w:link w:val="14"/>
    <w:qFormat/>
    <w:uiPriority w:val="0"/>
    <w:rPr>
      <w:kern w:val="2"/>
      <w:sz w:val="21"/>
      <w:szCs w:val="24"/>
      <w:shd w:val="clear" w:color="auto" w:fill="000080"/>
    </w:rPr>
  </w:style>
  <w:style w:type="character" w:customStyle="1" w:styleId="65">
    <w:name w:val="批注框文本 字符"/>
    <w:link w:val="28"/>
    <w:qFormat/>
    <w:uiPriority w:val="0"/>
    <w:rPr>
      <w:kern w:val="2"/>
      <w:sz w:val="18"/>
      <w:szCs w:val="18"/>
    </w:rPr>
  </w:style>
  <w:style w:type="character" w:customStyle="1" w:styleId="66">
    <w:name w:val="页眉 字符"/>
    <w:link w:val="30"/>
    <w:qFormat/>
    <w:uiPriority w:val="0"/>
    <w:rPr>
      <w:rFonts w:eastAsia="宋体"/>
      <w:kern w:val="2"/>
      <w:sz w:val="18"/>
      <w:szCs w:val="18"/>
      <w:lang w:val="en-US" w:eastAsia="zh-CN" w:bidi="ar-SA"/>
    </w:rPr>
  </w:style>
  <w:style w:type="character" w:customStyle="1" w:styleId="67">
    <w:name w:val="正文首行缩进 2 字符"/>
    <w:link w:val="42"/>
    <w:qFormat/>
    <w:uiPriority w:val="0"/>
    <w:rPr>
      <w:rFonts w:eastAsia="宋体"/>
      <w:kern w:val="2"/>
      <w:sz w:val="24"/>
      <w:szCs w:val="24"/>
      <w:lang w:val="en-US" w:eastAsia="zh-CN" w:bidi="ar-SA"/>
    </w:rPr>
  </w:style>
  <w:style w:type="character" w:customStyle="1" w:styleId="68">
    <w:name w:val="列出段落 字符"/>
    <w:link w:val="69"/>
    <w:qFormat/>
    <w:uiPriority w:val="34"/>
    <w:rPr>
      <w:rFonts w:ascii="Calibri" w:hAnsi="Calibri" w:eastAsia="宋体"/>
      <w:kern w:val="2"/>
      <w:sz w:val="21"/>
      <w:szCs w:val="22"/>
      <w:lang w:val="en-US" w:eastAsia="zh-CN" w:bidi="ar-SA"/>
    </w:rPr>
  </w:style>
  <w:style w:type="paragraph" w:styleId="69">
    <w:name w:val="List Paragraph"/>
    <w:basedOn w:val="1"/>
    <w:link w:val="68"/>
    <w:qFormat/>
    <w:uiPriority w:val="34"/>
    <w:pPr>
      <w:ind w:firstLine="420" w:firstLineChars="200"/>
    </w:pPr>
    <w:rPr>
      <w:rFonts w:ascii="Calibri" w:hAnsi="Calibri"/>
      <w:szCs w:val="22"/>
    </w:rPr>
  </w:style>
  <w:style w:type="character" w:customStyle="1" w:styleId="70">
    <w:name w:val="正文文本缩进 字符"/>
    <w:link w:val="19"/>
    <w:qFormat/>
    <w:uiPriority w:val="0"/>
    <w:rPr>
      <w:rFonts w:eastAsia="宋体"/>
      <w:kern w:val="2"/>
      <w:sz w:val="24"/>
      <w:szCs w:val="24"/>
      <w:lang w:val="en-US" w:eastAsia="zh-CN" w:bidi="ar-SA"/>
    </w:rPr>
  </w:style>
  <w:style w:type="character" w:customStyle="1" w:styleId="71">
    <w:name w:val="txt"/>
    <w:qFormat/>
    <w:uiPriority w:val="0"/>
  </w:style>
  <w:style w:type="character" w:customStyle="1" w:styleId="72">
    <w:name w:val="正文小标题 Char"/>
    <w:link w:val="73"/>
    <w:qFormat/>
    <w:uiPriority w:val="0"/>
    <w:rPr>
      <w:rFonts w:ascii="宋体" w:hAnsi="宋体"/>
      <w:b/>
      <w:i/>
      <w:color w:val="FF0000"/>
      <w:kern w:val="2"/>
      <w:sz w:val="24"/>
    </w:rPr>
  </w:style>
  <w:style w:type="paragraph" w:customStyle="1" w:styleId="73">
    <w:name w:val="正文小标题"/>
    <w:basedOn w:val="1"/>
    <w:next w:val="5"/>
    <w:link w:val="7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74">
    <w:name w:val="纯文本 Char1"/>
    <w:qFormat/>
    <w:uiPriority w:val="0"/>
    <w:rPr>
      <w:rFonts w:ascii="宋体" w:hAnsi="Courier New" w:eastAsia="宋体"/>
      <w:kern w:val="2"/>
      <w:sz w:val="21"/>
      <w:lang w:val="en-US" w:eastAsia="zh-CN" w:bidi="ar-SA"/>
    </w:rPr>
  </w:style>
  <w:style w:type="character" w:customStyle="1" w:styleId="75">
    <w:name w:val="普通文字1 Char1"/>
    <w:qFormat/>
    <w:uiPriority w:val="0"/>
    <w:rPr>
      <w:rFonts w:ascii="宋体" w:hAnsi="Courier New" w:eastAsia="宋体"/>
      <w:kern w:val="2"/>
      <w:sz w:val="21"/>
      <w:lang w:val="en-US" w:eastAsia="zh-CN" w:bidi="ar-SA"/>
    </w:rPr>
  </w:style>
  <w:style w:type="character" w:customStyle="1" w:styleId="76">
    <w:name w:val="locality"/>
    <w:qFormat/>
    <w:uiPriority w:val="0"/>
  </w:style>
  <w:style w:type="character" w:customStyle="1" w:styleId="77">
    <w:name w:val="cf21"/>
    <w:qFormat/>
    <w:uiPriority w:val="0"/>
    <w:rPr>
      <w:rFonts w:hint="eastAsia" w:ascii="Microsoft YaHei UI" w:hAnsi="Microsoft YaHei UI" w:eastAsia="Microsoft YaHei UI"/>
      <w:sz w:val="18"/>
      <w:szCs w:val="18"/>
      <w:shd w:val="clear" w:color="auto" w:fill="FFFFFF"/>
    </w:rPr>
  </w:style>
  <w:style w:type="character" w:customStyle="1" w:styleId="78">
    <w:name w:val="批注主题 字符"/>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大标题 Char"/>
    <w:link w:val="81"/>
    <w:qFormat/>
    <w:uiPriority w:val="0"/>
    <w:rPr>
      <w:rFonts w:ascii="宋体" w:hAnsi="宋体"/>
      <w:b/>
      <w:color w:val="000000"/>
      <w:kern w:val="2"/>
      <w:sz w:val="28"/>
      <w:szCs w:val="21"/>
    </w:rPr>
  </w:style>
  <w:style w:type="paragraph" w:customStyle="1" w:styleId="81">
    <w:name w:val="正文大标题"/>
    <w:basedOn w:val="73"/>
    <w:next w:val="5"/>
    <w:link w:val="80"/>
    <w:qFormat/>
    <w:uiPriority w:val="0"/>
    <w:pPr>
      <w:jc w:val="center"/>
    </w:pPr>
    <w:rPr>
      <w:i w:val="0"/>
      <w:color w:val="000000"/>
      <w:sz w:val="28"/>
      <w:szCs w:val="21"/>
    </w:rPr>
  </w:style>
  <w:style w:type="character" w:customStyle="1" w:styleId="82">
    <w:name w:val="正文文本 字符"/>
    <w:link w:val="17"/>
    <w:qFormat/>
    <w:uiPriority w:val="0"/>
    <w:rPr>
      <w:rFonts w:ascii="宋体" w:hAnsi="宋体"/>
      <w:kern w:val="2"/>
      <w:sz w:val="24"/>
      <w:szCs w:val="24"/>
    </w:rPr>
  </w:style>
  <w:style w:type="character" w:customStyle="1" w:styleId="83">
    <w:name w:val="页脚 Char"/>
    <w:qFormat/>
    <w:uiPriority w:val="0"/>
    <w:rPr>
      <w:rFonts w:ascii="宋体" w:eastAsia="宋体"/>
      <w:sz w:val="18"/>
      <w:lang w:val="en-US" w:eastAsia="zh-CN" w:bidi="ar-SA"/>
    </w:rPr>
  </w:style>
  <w:style w:type="character" w:customStyle="1" w:styleId="84">
    <w:name w:val="title4"/>
    <w:qFormat/>
    <w:uiPriority w:val="0"/>
    <w:rPr>
      <w:b/>
      <w:bCs/>
      <w:color w:val="1D87B3"/>
      <w:sz w:val="15"/>
      <w:szCs w:val="15"/>
    </w:rPr>
  </w:style>
  <w:style w:type="character" w:customStyle="1" w:styleId="85">
    <w:name w:val="标题 1 字符"/>
    <w:link w:val="3"/>
    <w:qFormat/>
    <w:uiPriority w:val="0"/>
    <w:rPr>
      <w:rFonts w:ascii="宋体"/>
      <w:b/>
      <w:kern w:val="44"/>
      <w:sz w:val="32"/>
    </w:rPr>
  </w:style>
  <w:style w:type="character" w:customStyle="1" w:styleId="86">
    <w:name w:val="标题 3 字符"/>
    <w:link w:val="4"/>
    <w:qFormat/>
    <w:uiPriority w:val="0"/>
    <w:rPr>
      <w:rFonts w:ascii="宋体" w:eastAsia="宋体"/>
      <w:b/>
      <w:sz w:val="24"/>
      <w:u w:val="single"/>
      <w:lang w:val="en-US" w:eastAsia="zh-CN" w:bidi="ar-SA"/>
    </w:rPr>
  </w:style>
  <w:style w:type="character" w:customStyle="1" w:styleId="87">
    <w:name w:val="black1"/>
    <w:qFormat/>
    <w:uiPriority w:val="0"/>
    <w:rPr>
      <w:color w:val="000000"/>
    </w:rPr>
  </w:style>
  <w:style w:type="character" w:customStyle="1" w:styleId="88">
    <w:name w:val="批注文字 Char"/>
    <w:qFormat/>
    <w:uiPriority w:val="99"/>
    <w:rPr>
      <w:kern w:val="2"/>
      <w:sz w:val="21"/>
      <w:szCs w:val="24"/>
    </w:rPr>
  </w:style>
  <w:style w:type="character" w:customStyle="1" w:styleId="89">
    <w:name w:val="chanpin1"/>
    <w:qFormat/>
    <w:uiPriority w:val="0"/>
    <w:rPr>
      <w:rFonts w:hint="default" w:ascii="ˎ̥" w:hAnsi="ˎ̥"/>
      <w:color w:val="000000"/>
      <w:sz w:val="20"/>
      <w:szCs w:val="20"/>
      <w:u w:val="none"/>
    </w:rPr>
  </w:style>
  <w:style w:type="character" w:customStyle="1" w:styleId="90">
    <w:name w:val="标题 Char"/>
    <w:qFormat/>
    <w:uiPriority w:val="0"/>
    <w:rPr>
      <w:b/>
      <w:kern w:val="2"/>
      <w:sz w:val="32"/>
    </w:rPr>
  </w:style>
  <w:style w:type="character" w:customStyle="1" w:styleId="91">
    <w:name w:val="纯文本 字符"/>
    <w:qFormat/>
    <w:uiPriority w:val="99"/>
    <w:rPr>
      <w:rFonts w:ascii="宋体" w:hAnsi="Courier New" w:eastAsia="宋体" w:cs="Times New Roman"/>
      <w:kern w:val="2"/>
      <w:sz w:val="21"/>
      <w:szCs w:val="21"/>
      <w:lang w:val="en-US" w:eastAsia="zh-CN" w:bidi="ar-SA"/>
    </w:rPr>
  </w:style>
  <w:style w:type="character" w:customStyle="1" w:styleId="92">
    <w:name w:val="标题 2 Char"/>
    <w:qFormat/>
    <w:uiPriority w:val="0"/>
    <w:rPr>
      <w:rFonts w:ascii="Arial" w:hAnsi="Arial" w:eastAsia="黑体"/>
      <w:b/>
      <w:sz w:val="30"/>
      <w:lang w:val="en-US" w:eastAsia="zh-CN" w:bidi="ar-SA"/>
    </w:rPr>
  </w:style>
  <w:style w:type="character" w:customStyle="1" w:styleId="93">
    <w:name w:val="标题 6 字符"/>
    <w:link w:val="8"/>
    <w:qFormat/>
    <w:uiPriority w:val="0"/>
    <w:rPr>
      <w:rFonts w:ascii="Arial" w:hAnsi="Arial" w:eastAsia="黑体"/>
      <w:b/>
      <w:sz w:val="24"/>
    </w:rPr>
  </w:style>
  <w:style w:type="character" w:customStyle="1" w:styleId="94">
    <w:name w:val="正文文本 3 字符"/>
    <w:link w:val="16"/>
    <w:qFormat/>
    <w:uiPriority w:val="0"/>
    <w:rPr>
      <w:kern w:val="2"/>
      <w:sz w:val="16"/>
      <w:szCs w:val="16"/>
    </w:rPr>
  </w:style>
  <w:style w:type="character" w:customStyle="1" w:styleId="95">
    <w:name w:val="标题 7 字符"/>
    <w:link w:val="9"/>
    <w:qFormat/>
    <w:uiPriority w:val="0"/>
    <w:rPr>
      <w:b/>
      <w:sz w:val="24"/>
    </w:rPr>
  </w:style>
  <w:style w:type="character" w:customStyle="1" w:styleId="96">
    <w:name w:val="正文文本缩进 2 字符"/>
    <w:link w:val="27"/>
    <w:qFormat/>
    <w:uiPriority w:val="0"/>
    <w:rPr>
      <w:rFonts w:ascii="仿宋_GB2312" w:eastAsia="仿宋_GB2312"/>
      <w:kern w:val="2"/>
      <w:sz w:val="24"/>
      <w:szCs w:val="24"/>
    </w:rPr>
  </w:style>
  <w:style w:type="character" w:customStyle="1" w:styleId="97">
    <w:name w:val="中等深浅网格 1 - 强调文字颜色 2 Char"/>
    <w:link w:val="98"/>
    <w:qFormat/>
    <w:uiPriority w:val="0"/>
    <w:rPr>
      <w:kern w:val="2"/>
      <w:sz w:val="21"/>
      <w:szCs w:val="24"/>
      <w:lang w:val="zh-CN" w:eastAsia="zh-CN"/>
    </w:rPr>
  </w:style>
  <w:style w:type="paragraph" w:customStyle="1" w:styleId="98">
    <w:name w:val="1"/>
    <w:link w:val="97"/>
    <w:qFormat/>
    <w:uiPriority w:val="0"/>
    <w:rPr>
      <w:rFonts w:ascii="Times New Roman" w:hAnsi="Times New Roman" w:eastAsia="宋体" w:cs="Times New Roman"/>
      <w:kern w:val="2"/>
      <w:sz w:val="21"/>
      <w:szCs w:val="24"/>
      <w:lang w:val="zh-CN" w:eastAsia="zh-CN" w:bidi="ar-SA"/>
    </w:rPr>
  </w:style>
  <w:style w:type="character" w:customStyle="1" w:styleId="99">
    <w:name w:val="apple-style-span"/>
    <w:qFormat/>
    <w:uiPriority w:val="0"/>
    <w:rPr>
      <w:rFonts w:cs="Times New Roman"/>
    </w:rPr>
  </w:style>
  <w:style w:type="character" w:customStyle="1" w:styleId="100">
    <w:name w:val="Char Char111"/>
    <w:qFormat/>
    <w:uiPriority w:val="0"/>
    <w:rPr>
      <w:rFonts w:ascii="宋体" w:eastAsia="宋体"/>
      <w:b/>
      <w:sz w:val="24"/>
      <w:u w:val="single"/>
      <w:lang w:val="en-US" w:eastAsia="zh-CN" w:bidi="ar-SA"/>
    </w:rPr>
  </w:style>
  <w:style w:type="character" w:customStyle="1" w:styleId="101">
    <w:name w:val="c21"/>
    <w:qFormat/>
    <w:uiPriority w:val="0"/>
    <w:rPr>
      <w:rFonts w:hint="default" w:ascii="ˎ̥" w:hAnsi="ˎ̥"/>
      <w:color w:val="000000"/>
      <w:sz w:val="20"/>
      <w:szCs w:val="20"/>
      <w:u w:val="none"/>
    </w:rPr>
  </w:style>
  <w:style w:type="character" w:customStyle="1" w:styleId="102">
    <w:name w:val="cf01"/>
    <w:qFormat/>
    <w:uiPriority w:val="0"/>
    <w:rPr>
      <w:rFonts w:hint="eastAsia" w:ascii="Microsoft YaHei UI" w:hAnsi="Microsoft YaHei UI" w:eastAsia="Microsoft YaHei UI"/>
      <w:sz w:val="18"/>
      <w:szCs w:val="18"/>
    </w:rPr>
  </w:style>
  <w:style w:type="character" w:customStyle="1" w:styleId="103">
    <w:name w:val="纯文本 字符1"/>
    <w:qFormat/>
    <w:uiPriority w:val="0"/>
    <w:rPr>
      <w:rFonts w:ascii="宋体" w:hAnsi="Courier New"/>
    </w:rPr>
  </w:style>
  <w:style w:type="character" w:customStyle="1" w:styleId="104">
    <w:name w:val="段1 Char"/>
    <w:qFormat/>
    <w:uiPriority w:val="0"/>
    <w:rPr>
      <w:rFonts w:ascii="宋体" w:eastAsia="宋体"/>
      <w:sz w:val="24"/>
      <w:lang w:val="en-US" w:eastAsia="zh-CN" w:bidi="ar-SA"/>
    </w:rPr>
  </w:style>
  <w:style w:type="character" w:customStyle="1" w:styleId="105">
    <w:name w:val="cf11"/>
    <w:qFormat/>
    <w:uiPriority w:val="0"/>
    <w:rPr>
      <w:rFonts w:hint="eastAsia" w:ascii="Microsoft YaHei UI" w:hAnsi="Microsoft YaHei UI" w:eastAsia="Microsoft YaHei UI"/>
      <w:sz w:val="18"/>
      <w:szCs w:val="18"/>
    </w:rPr>
  </w:style>
  <w:style w:type="character" w:customStyle="1" w:styleId="106">
    <w:name w:val="标题 3 Char"/>
    <w:qFormat/>
    <w:uiPriority w:val="0"/>
    <w:rPr>
      <w:rFonts w:ascii="宋体" w:eastAsia="宋体"/>
      <w:b/>
      <w:sz w:val="24"/>
      <w:u w:val="single"/>
      <w:lang w:val="en-US" w:eastAsia="zh-CN" w:bidi="ar-SA"/>
    </w:rPr>
  </w:style>
  <w:style w:type="character" w:customStyle="1" w:styleId="107">
    <w:name w:val="标题 8 字符"/>
    <w:link w:val="10"/>
    <w:qFormat/>
    <w:uiPriority w:val="0"/>
    <w:rPr>
      <w:rFonts w:ascii="Arial" w:hAnsi="Arial" w:eastAsia="黑体"/>
      <w:sz w:val="24"/>
    </w:rPr>
  </w:style>
  <w:style w:type="character" w:customStyle="1" w:styleId="108">
    <w:name w:val="批注文字 字符1"/>
    <w:link w:val="15"/>
    <w:qFormat/>
    <w:uiPriority w:val="99"/>
    <w:rPr>
      <w:kern w:val="2"/>
      <w:sz w:val="21"/>
      <w:szCs w:val="24"/>
    </w:rPr>
  </w:style>
  <w:style w:type="character" w:customStyle="1" w:styleId="109">
    <w:name w:val="HTML 预设格式 字符"/>
    <w:link w:val="37"/>
    <w:qFormat/>
    <w:uiPriority w:val="0"/>
    <w:rPr>
      <w:rFonts w:ascii="宋体" w:hAnsi="宋体" w:cs="宋体"/>
      <w:sz w:val="24"/>
      <w:szCs w:val="24"/>
    </w:rPr>
  </w:style>
  <w:style w:type="character" w:customStyle="1" w:styleId="110">
    <w:name w:val="正文格式 Char"/>
    <w:link w:val="111"/>
    <w:qFormat/>
    <w:locked/>
    <w:uiPriority w:val="0"/>
    <w:rPr>
      <w:rFonts w:ascii="宋体" w:hAnsi="宋体"/>
      <w:sz w:val="24"/>
      <w:szCs w:val="24"/>
      <w:lang w:val="en-GB"/>
    </w:rPr>
  </w:style>
  <w:style w:type="paragraph" w:customStyle="1" w:styleId="111">
    <w:name w:val="正文格式"/>
    <w:basedOn w:val="1"/>
    <w:link w:val="110"/>
    <w:qFormat/>
    <w:uiPriority w:val="0"/>
    <w:pPr>
      <w:spacing w:beforeLines="50" w:line="360" w:lineRule="auto"/>
      <w:ind w:firstLine="480" w:firstLineChars="200"/>
    </w:pPr>
    <w:rPr>
      <w:rFonts w:ascii="宋体" w:hAnsi="宋体"/>
      <w:kern w:val="0"/>
      <w:sz w:val="24"/>
      <w:lang w:val="en-GB"/>
    </w:rPr>
  </w:style>
  <w:style w:type="character" w:customStyle="1" w:styleId="112">
    <w:name w:val="正文文本缩进 Char"/>
    <w:qFormat/>
    <w:uiPriority w:val="0"/>
    <w:rPr>
      <w:rFonts w:eastAsia="宋体"/>
      <w:kern w:val="2"/>
      <w:sz w:val="24"/>
      <w:szCs w:val="24"/>
      <w:lang w:val="en-US" w:eastAsia="zh-CN" w:bidi="ar-SA"/>
    </w:rPr>
  </w:style>
  <w:style w:type="character" w:customStyle="1" w:styleId="113">
    <w:name w:val="正文缩进 Char Char"/>
    <w:link w:val="114"/>
    <w:qFormat/>
    <w:uiPriority w:val="0"/>
    <w:rPr>
      <w:rFonts w:ascii="宋体" w:eastAsia="宋体"/>
      <w:snapToGrid w:val="0"/>
      <w:color w:val="000000"/>
      <w:kern w:val="28"/>
      <w:sz w:val="28"/>
      <w:lang w:bidi="ar-SA"/>
    </w:rPr>
  </w:style>
  <w:style w:type="paragraph" w:customStyle="1" w:styleId="114">
    <w:name w:val="正文缩进1"/>
    <w:basedOn w:val="1"/>
    <w:link w:val="11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5">
    <w:name w:val="标题 3 Char Char"/>
    <w:qFormat/>
    <w:uiPriority w:val="0"/>
    <w:rPr>
      <w:rFonts w:eastAsia="宋体"/>
      <w:b/>
      <w:bCs/>
      <w:kern w:val="2"/>
      <w:sz w:val="32"/>
      <w:szCs w:val="32"/>
      <w:lang w:val="en-US" w:eastAsia="zh-CN" w:bidi="ar-SA"/>
    </w:rPr>
  </w:style>
  <w:style w:type="character" w:customStyle="1" w:styleId="116">
    <w:name w:val="Char Char11"/>
    <w:qFormat/>
    <w:uiPriority w:val="0"/>
    <w:rPr>
      <w:rFonts w:ascii="宋体" w:eastAsia="宋体"/>
      <w:b/>
      <w:sz w:val="24"/>
      <w:u w:val="single"/>
      <w:lang w:val="en-US" w:eastAsia="zh-CN" w:bidi="ar-SA"/>
    </w:rPr>
  </w:style>
  <w:style w:type="character" w:customStyle="1" w:styleId="117">
    <w:name w:val="正文表格 Char"/>
    <w:link w:val="118"/>
    <w:qFormat/>
    <w:uiPriority w:val="0"/>
    <w:rPr>
      <w:rFonts w:ascii="宋体" w:hAnsi="宋体"/>
      <w:color w:val="000000"/>
      <w:kern w:val="2"/>
      <w:sz w:val="21"/>
      <w:szCs w:val="21"/>
    </w:rPr>
  </w:style>
  <w:style w:type="paragraph" w:customStyle="1" w:styleId="118">
    <w:name w:val="正文表格"/>
    <w:basedOn w:val="1"/>
    <w:link w:val="117"/>
    <w:qFormat/>
    <w:uiPriority w:val="0"/>
    <w:pPr>
      <w:adjustRightInd w:val="0"/>
      <w:snapToGrid w:val="0"/>
      <w:jc w:val="left"/>
    </w:pPr>
    <w:rPr>
      <w:rFonts w:ascii="宋体" w:hAnsi="宋体"/>
      <w:color w:val="000000"/>
      <w:szCs w:val="21"/>
    </w:rPr>
  </w:style>
  <w:style w:type="character" w:customStyle="1" w:styleId="119">
    <w:name w:val="列出段落 Char"/>
    <w:qFormat/>
    <w:uiPriority w:val="0"/>
    <w:rPr>
      <w:rFonts w:ascii="Calibri" w:hAnsi="Calibri" w:eastAsia="宋体"/>
      <w:kern w:val="2"/>
      <w:sz w:val="21"/>
      <w:szCs w:val="22"/>
      <w:lang w:val="en-US" w:eastAsia="zh-CN" w:bidi="ar-SA"/>
    </w:rPr>
  </w:style>
  <w:style w:type="character" w:customStyle="1" w:styleId="120">
    <w:name w:val="chanpin拷贝"/>
    <w:qFormat/>
    <w:uiPriority w:val="0"/>
  </w:style>
  <w:style w:type="character" w:customStyle="1" w:styleId="121">
    <w:name w:val="标题 9 字符"/>
    <w:link w:val="11"/>
    <w:qFormat/>
    <w:uiPriority w:val="0"/>
    <w:rPr>
      <w:rFonts w:ascii="Arial" w:hAnsi="Arial" w:eastAsia="黑体"/>
      <w:sz w:val="21"/>
    </w:rPr>
  </w:style>
  <w:style w:type="character" w:customStyle="1" w:styleId="122">
    <w:name w:val="标题 4 字符"/>
    <w:link w:val="6"/>
    <w:qFormat/>
    <w:uiPriority w:val="0"/>
    <w:rPr>
      <w:sz w:val="24"/>
    </w:rPr>
  </w:style>
  <w:style w:type="character" w:customStyle="1" w:styleId="123">
    <w:name w:val="纯文本 字符2"/>
    <w:link w:val="24"/>
    <w:qFormat/>
    <w:uiPriority w:val="0"/>
    <w:rPr>
      <w:rFonts w:hint="eastAsia" w:ascii="宋体" w:hAnsi="Courier New" w:eastAsia="宋体" w:cs="宋体"/>
      <w:kern w:val="2"/>
      <w:sz w:val="21"/>
    </w:rPr>
  </w:style>
  <w:style w:type="character" w:customStyle="1" w:styleId="124">
    <w:name w:val="页脚 字符"/>
    <w:link w:val="29"/>
    <w:qFormat/>
    <w:uiPriority w:val="99"/>
    <w:rPr>
      <w:rFonts w:ascii="宋体" w:eastAsia="宋体"/>
      <w:sz w:val="18"/>
      <w:lang w:val="en-US" w:eastAsia="zh-CN" w:bidi="ar-SA"/>
    </w:rPr>
  </w:style>
  <w:style w:type="character" w:customStyle="1" w:styleId="125">
    <w:name w:val="bjh-p"/>
    <w:qFormat/>
    <w:uiPriority w:val="0"/>
  </w:style>
  <w:style w:type="character" w:customStyle="1" w:styleId="126">
    <w:name w:val="正文文本缩进 Char1"/>
    <w:link w:val="127"/>
    <w:qFormat/>
    <w:uiPriority w:val="0"/>
    <w:rPr>
      <w:rFonts w:ascii="宋体" w:hAnsi="宋体" w:eastAsia="宋体"/>
      <w:sz w:val="24"/>
      <w:szCs w:val="24"/>
      <w:lang w:bidi="ar-SA"/>
    </w:rPr>
  </w:style>
  <w:style w:type="paragraph" w:customStyle="1" w:styleId="127">
    <w:name w:val="正文文本缩进1"/>
    <w:basedOn w:val="1"/>
    <w:link w:val="126"/>
    <w:qFormat/>
    <w:uiPriority w:val="0"/>
    <w:pPr>
      <w:spacing w:line="480" w:lineRule="exact"/>
      <w:ind w:firstLine="480" w:firstLineChars="200"/>
    </w:pPr>
    <w:rPr>
      <w:rFonts w:ascii="宋体" w:hAnsi="宋体"/>
      <w:kern w:val="0"/>
      <w:sz w:val="24"/>
    </w:rPr>
  </w:style>
  <w:style w:type="character" w:customStyle="1" w:styleId="128">
    <w:name w:val="正文重点 Char"/>
    <w:link w:val="129"/>
    <w:qFormat/>
    <w:uiPriority w:val="0"/>
    <w:rPr>
      <w:b/>
      <w:sz w:val="24"/>
    </w:rPr>
  </w:style>
  <w:style w:type="paragraph" w:customStyle="1" w:styleId="129">
    <w:name w:val="正文重点"/>
    <w:basedOn w:val="1"/>
    <w:link w:val="128"/>
    <w:qFormat/>
    <w:uiPriority w:val="0"/>
    <w:pPr>
      <w:adjustRightInd w:val="0"/>
      <w:spacing w:line="360" w:lineRule="auto"/>
      <w:ind w:firstLine="482" w:firstLineChars="200"/>
      <w:jc w:val="left"/>
      <w:textAlignment w:val="baseline"/>
    </w:pPr>
    <w:rPr>
      <w:b/>
      <w:kern w:val="0"/>
      <w:sz w:val="24"/>
      <w:szCs w:val="20"/>
    </w:rPr>
  </w:style>
  <w:style w:type="character" w:customStyle="1" w:styleId="130">
    <w:name w:val="正文缩进 Char"/>
    <w:qFormat/>
    <w:uiPriority w:val="0"/>
    <w:rPr>
      <w:rFonts w:ascii="宋体" w:eastAsia="宋体"/>
      <w:kern w:val="2"/>
      <w:sz w:val="24"/>
      <w:szCs w:val="24"/>
      <w:lang w:val="en-US" w:eastAsia="zh-CN" w:bidi="ar-SA"/>
    </w:rPr>
  </w:style>
  <w:style w:type="character" w:customStyle="1" w:styleId="131">
    <w:name w:val="street-address"/>
    <w:qFormat/>
    <w:uiPriority w:val="0"/>
  </w:style>
  <w:style w:type="paragraph" w:customStyle="1" w:styleId="132">
    <w:name w:val="Char Char Char2"/>
    <w:basedOn w:val="1"/>
    <w:qFormat/>
    <w:uiPriority w:val="0"/>
    <w:rPr>
      <w:rFonts w:ascii="Tahoma" w:hAnsi="Tahoma"/>
      <w:sz w:val="24"/>
      <w:szCs w:val="20"/>
    </w:rPr>
  </w:style>
  <w:style w:type="paragraph" w:customStyle="1" w:styleId="13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3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3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Char2 Char Char Char Char Char Char1"/>
    <w:basedOn w:val="1"/>
    <w:qFormat/>
    <w:uiPriority w:val="0"/>
    <w:pPr>
      <w:widowControl/>
      <w:spacing w:line="400" w:lineRule="exact"/>
      <w:jc w:val="center"/>
    </w:pPr>
  </w:style>
  <w:style w:type="paragraph" w:customStyle="1" w:styleId="13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38">
    <w:name w:val="font8"/>
    <w:basedOn w:val="1"/>
    <w:qFormat/>
    <w:uiPriority w:val="0"/>
    <w:pPr>
      <w:widowControl/>
      <w:spacing w:before="100" w:beforeAutospacing="1" w:after="100" w:afterAutospacing="1"/>
      <w:jc w:val="left"/>
    </w:pPr>
    <w:rPr>
      <w:kern w:val="0"/>
      <w:sz w:val="36"/>
      <w:szCs w:val="36"/>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一级条标题"/>
    <w:basedOn w:val="134"/>
    <w:next w:val="1"/>
    <w:qFormat/>
    <w:uiPriority w:val="0"/>
    <w:pPr>
      <w:numPr>
        <w:ilvl w:val="1"/>
      </w:numPr>
      <w:tabs>
        <w:tab w:val="left" w:pos="360"/>
        <w:tab w:val="left" w:pos="840"/>
      </w:tabs>
      <w:ind w:left="0" w:hanging="840"/>
      <w:outlineLvl w:val="1"/>
    </w:pPr>
  </w:style>
  <w:style w:type="paragraph" w:customStyle="1" w:styleId="141">
    <w:name w:val="二级条标题"/>
    <w:basedOn w:val="140"/>
    <w:next w:val="1"/>
    <w:qFormat/>
    <w:uiPriority w:val="0"/>
    <w:pPr>
      <w:numPr>
        <w:ilvl w:val="0"/>
        <w:numId w:val="0"/>
      </w:numPr>
      <w:ind w:hanging="840"/>
      <w:outlineLvl w:val="2"/>
    </w:pPr>
    <w:rPr>
      <w:rFonts w:ascii="宋体" w:eastAsia="宋体"/>
      <w:b w:val="0"/>
    </w:rPr>
  </w:style>
  <w:style w:type="paragraph" w:customStyle="1" w:styleId="14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正文文本样式"/>
    <w:basedOn w:val="1"/>
    <w:qFormat/>
    <w:uiPriority w:val="0"/>
    <w:pPr>
      <w:spacing w:line="360" w:lineRule="auto"/>
      <w:ind w:firstLine="482"/>
    </w:pPr>
    <w:rPr>
      <w:rFonts w:cs="宋体"/>
      <w:sz w:val="24"/>
      <w:szCs w:val="20"/>
    </w:rPr>
  </w:style>
  <w:style w:type="paragraph" w:customStyle="1" w:styleId="1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4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41"/>
    <w:next w:val="1"/>
    <w:qFormat/>
    <w:uiPriority w:val="0"/>
    <w:pPr>
      <w:numPr>
        <w:ilvl w:val="3"/>
        <w:numId w:val="1"/>
      </w:numPr>
      <w:ind w:left="0" w:hanging="840"/>
      <w:outlineLvl w:val="3"/>
    </w:pPr>
  </w:style>
  <w:style w:type="paragraph" w:customStyle="1" w:styleId="14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150">
    <w:name w:val="字元 字元"/>
    <w:basedOn w:val="1"/>
    <w:qFormat/>
    <w:uiPriority w:val="0"/>
    <w:rPr>
      <w:rFonts w:ascii="Tahoma" w:hAnsi="Tahoma"/>
      <w:sz w:val="24"/>
      <w:szCs w:val="20"/>
    </w:rPr>
  </w:style>
  <w:style w:type="paragraph" w:customStyle="1" w:styleId="15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默认段落字体 Para Char Char Char Char"/>
    <w:basedOn w:val="1"/>
    <w:qFormat/>
    <w:uiPriority w:val="0"/>
    <w:rPr>
      <w:rFonts w:ascii="Arial" w:hAnsi="Arial" w:cs="Arial"/>
      <w:szCs w:val="21"/>
    </w:rPr>
  </w:style>
  <w:style w:type="paragraph" w:customStyle="1" w:styleId="155">
    <w:name w:val="项目编号2"/>
    <w:basedOn w:val="156"/>
    <w:qFormat/>
    <w:uiPriority w:val="0"/>
    <w:pPr>
      <w:numPr>
        <w:numId w:val="2"/>
      </w:numPr>
    </w:pPr>
  </w:style>
  <w:style w:type="paragraph" w:customStyle="1" w:styleId="15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57">
    <w:name w:val="Char Char Char1"/>
    <w:basedOn w:val="1"/>
    <w:qFormat/>
    <w:uiPriority w:val="0"/>
    <w:rPr>
      <w:rFonts w:ascii="Tahoma" w:hAnsi="Tahoma"/>
      <w:sz w:val="24"/>
      <w:szCs w:val="20"/>
    </w:rPr>
  </w:style>
  <w:style w:type="paragraph" w:customStyle="1" w:styleId="15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5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列出段落1"/>
    <w:basedOn w:val="1"/>
    <w:qFormat/>
    <w:uiPriority w:val="0"/>
    <w:pPr>
      <w:ind w:firstLine="420" w:firstLineChars="200"/>
    </w:pPr>
    <w:rPr>
      <w:rFonts w:ascii="Calibri" w:hAnsi="Calibri"/>
      <w:szCs w:val="22"/>
    </w:rPr>
  </w:style>
  <w:style w:type="paragraph" w:customStyle="1" w:styleId="165">
    <w:name w:val="List Paragraph1"/>
    <w:basedOn w:val="1"/>
    <w:qFormat/>
    <w:uiPriority w:val="0"/>
    <w:pPr>
      <w:ind w:firstLine="420" w:firstLineChars="200"/>
    </w:pPr>
    <w:rPr>
      <w:rFonts w:ascii="Calibri" w:hAnsi="Calibri"/>
      <w:szCs w:val="22"/>
    </w:rPr>
  </w:style>
  <w:style w:type="paragraph" w:customStyle="1" w:styleId="166">
    <w:name w:val="Char Char Char1 Char1"/>
    <w:basedOn w:val="1"/>
    <w:qFormat/>
    <w:uiPriority w:val="0"/>
    <w:rPr>
      <w:rFonts w:ascii="Tahoma" w:hAnsi="Tahoma"/>
      <w:sz w:val="24"/>
      <w:szCs w:val="20"/>
    </w:rPr>
  </w:style>
  <w:style w:type="paragraph" w:customStyle="1" w:styleId="16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6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7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2">
    <w:name w:val="Char3 Char Char Char1"/>
    <w:basedOn w:val="1"/>
    <w:qFormat/>
    <w:uiPriority w:val="0"/>
    <w:rPr>
      <w:rFonts w:ascii="Tahoma" w:hAnsi="Tahoma"/>
      <w:sz w:val="24"/>
      <w:szCs w:val="20"/>
    </w:rPr>
  </w:style>
  <w:style w:type="paragraph" w:customStyle="1" w:styleId="17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4">
    <w:name w:val="Char Char4"/>
    <w:basedOn w:val="1"/>
    <w:qFormat/>
    <w:uiPriority w:val="0"/>
    <w:pPr>
      <w:widowControl/>
      <w:spacing w:line="400" w:lineRule="exact"/>
      <w:jc w:val="center"/>
    </w:pPr>
  </w:style>
  <w:style w:type="paragraph" w:customStyle="1" w:styleId="175">
    <w:name w:val="Char Char Char1 Char"/>
    <w:basedOn w:val="1"/>
    <w:qFormat/>
    <w:uiPriority w:val="0"/>
    <w:rPr>
      <w:rFonts w:ascii="Tahoma" w:hAnsi="Tahoma"/>
      <w:sz w:val="24"/>
      <w:szCs w:val="20"/>
    </w:rPr>
  </w:style>
  <w:style w:type="paragraph" w:customStyle="1" w:styleId="17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8">
    <w:name w:val="Char2 Char Char Char Char Char Char"/>
    <w:basedOn w:val="1"/>
    <w:qFormat/>
    <w:uiPriority w:val="0"/>
    <w:pPr>
      <w:widowControl/>
      <w:spacing w:line="400" w:lineRule="exact"/>
      <w:jc w:val="center"/>
    </w:pPr>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8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8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Char Char41"/>
    <w:basedOn w:val="1"/>
    <w:qFormat/>
    <w:uiPriority w:val="0"/>
    <w:pPr>
      <w:widowControl/>
      <w:spacing w:line="400" w:lineRule="exact"/>
      <w:jc w:val="center"/>
    </w:pPr>
  </w:style>
  <w:style w:type="paragraph" w:customStyle="1" w:styleId="18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7">
    <w:name w:val="1名"/>
    <w:basedOn w:val="1"/>
    <w:qFormat/>
    <w:uiPriority w:val="0"/>
    <w:pPr>
      <w:numPr>
        <w:ilvl w:val="0"/>
        <w:numId w:val="5"/>
      </w:numPr>
      <w:spacing w:before="120"/>
    </w:pPr>
    <w:rPr>
      <w:rFonts w:ascii="宋体"/>
      <w:sz w:val="28"/>
      <w:szCs w:val="20"/>
    </w:rPr>
  </w:style>
  <w:style w:type="paragraph" w:customStyle="1" w:styleId="188">
    <w:name w:val="Char1"/>
    <w:basedOn w:val="1"/>
    <w:qFormat/>
    <w:uiPriority w:val="0"/>
    <w:pPr>
      <w:tabs>
        <w:tab w:val="left" w:pos="360"/>
      </w:tabs>
    </w:pPr>
    <w:rPr>
      <w:sz w:val="24"/>
    </w:rPr>
  </w:style>
  <w:style w:type="paragraph" w:customStyle="1" w:styleId="1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90">
    <w:name w:val="项目符号1"/>
    <w:basedOn w:val="143"/>
    <w:qFormat/>
    <w:uiPriority w:val="0"/>
    <w:pPr>
      <w:ind w:left="-25" w:firstLine="0"/>
    </w:pPr>
  </w:style>
  <w:style w:type="paragraph" w:customStyle="1" w:styleId="191">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19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93">
    <w:name w:val="Char3 Char Char Char"/>
    <w:basedOn w:val="1"/>
    <w:qFormat/>
    <w:uiPriority w:val="0"/>
    <w:rPr>
      <w:rFonts w:ascii="Tahoma" w:hAnsi="Tahoma"/>
      <w:sz w:val="24"/>
      <w:szCs w:val="20"/>
    </w:rPr>
  </w:style>
  <w:style w:type="paragraph" w:customStyle="1" w:styleId="194">
    <w:name w:val="样式 标题 2 + 宋体 五号 行距: 单倍行距"/>
    <w:basedOn w:val="2"/>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195">
    <w:name w:val="_Style 160"/>
    <w:qFormat/>
    <w:uiPriority w:val="0"/>
    <w:rPr>
      <w:rFonts w:ascii="Times New Roman" w:hAnsi="Times New Roman" w:eastAsia="宋体" w:cs="Times New Roman"/>
      <w:kern w:val="2"/>
      <w:sz w:val="21"/>
      <w:szCs w:val="24"/>
      <w:lang w:val="en-US" w:eastAsia="zh-CN" w:bidi="ar-SA"/>
    </w:rPr>
  </w:style>
  <w:style w:type="paragraph" w:customStyle="1" w:styleId="196">
    <w:name w:val="字元 字元1"/>
    <w:basedOn w:val="1"/>
    <w:qFormat/>
    <w:uiPriority w:val="0"/>
    <w:rPr>
      <w:rFonts w:ascii="Tahoma" w:hAnsi="Tahoma"/>
      <w:sz w:val="24"/>
      <w:szCs w:val="20"/>
    </w:rPr>
  </w:style>
  <w:style w:type="paragraph" w:customStyle="1" w:styleId="19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98">
    <w:name w:val="1 Char Char Char Char"/>
    <w:basedOn w:val="1"/>
    <w:qFormat/>
    <w:uiPriority w:val="0"/>
    <w:rPr>
      <w:rFonts w:ascii="Tahoma" w:hAnsi="Tahoma"/>
      <w:sz w:val="24"/>
      <w:szCs w:val="20"/>
    </w:rPr>
  </w:style>
  <w:style w:type="paragraph" w:customStyle="1" w:styleId="199">
    <w:name w:val="样式2"/>
    <w:basedOn w:val="39"/>
    <w:qFormat/>
    <w:uiPriority w:val="0"/>
    <w:pPr>
      <w:spacing w:line="360" w:lineRule="auto"/>
      <w:jc w:val="center"/>
    </w:pPr>
    <w:rPr>
      <w:sz w:val="24"/>
    </w:rPr>
  </w:style>
  <w:style w:type="paragraph" w:customStyle="1" w:styleId="2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2">
    <w:name w:val="Char Char1"/>
    <w:basedOn w:val="14"/>
    <w:qFormat/>
    <w:uiPriority w:val="0"/>
    <w:rPr>
      <w:rFonts w:ascii="Tahoma" w:hAnsi="Tahoma"/>
      <w:sz w:val="24"/>
    </w:rPr>
  </w:style>
  <w:style w:type="paragraph" w:customStyle="1" w:styleId="203">
    <w:name w:val="Char Char Char1 Char2"/>
    <w:basedOn w:val="1"/>
    <w:qFormat/>
    <w:uiPriority w:val="0"/>
    <w:rPr>
      <w:rFonts w:ascii="Tahoma" w:hAnsi="Tahoma"/>
      <w:sz w:val="24"/>
      <w:szCs w:val="20"/>
    </w:rPr>
  </w:style>
  <w:style w:type="paragraph" w:customStyle="1" w:styleId="204">
    <w:name w:val="Char22"/>
    <w:basedOn w:val="1"/>
    <w:qFormat/>
    <w:uiPriority w:val="0"/>
    <w:rPr>
      <w:rFonts w:ascii="Tahoma" w:hAnsi="Tahoma"/>
      <w:sz w:val="24"/>
      <w:szCs w:val="20"/>
    </w:rPr>
  </w:style>
  <w:style w:type="paragraph" w:customStyle="1" w:styleId="205">
    <w:name w:val="五级条标题"/>
    <w:basedOn w:val="146"/>
    <w:next w:val="1"/>
    <w:qFormat/>
    <w:uiPriority w:val="0"/>
    <w:pPr>
      <w:numPr>
        <w:ilvl w:val="5"/>
      </w:numPr>
      <w:ind w:left="0" w:hanging="840"/>
      <w:outlineLvl w:val="5"/>
    </w:pPr>
  </w:style>
  <w:style w:type="paragraph" w:customStyle="1" w:styleId="20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7">
    <w:name w:val="缺省文本"/>
    <w:basedOn w:val="1"/>
    <w:qFormat/>
    <w:uiPriority w:val="0"/>
    <w:pPr>
      <w:autoSpaceDE w:val="0"/>
      <w:autoSpaceDN w:val="0"/>
      <w:adjustRightInd w:val="0"/>
      <w:jc w:val="left"/>
    </w:pPr>
    <w:rPr>
      <w:kern w:val="0"/>
      <w:sz w:val="24"/>
    </w:rPr>
  </w:style>
  <w:style w:type="paragraph" w:customStyle="1" w:styleId="208">
    <w:name w:val="Char3 Char Char Char2"/>
    <w:basedOn w:val="1"/>
    <w:qFormat/>
    <w:uiPriority w:val="0"/>
    <w:rPr>
      <w:rFonts w:ascii="Tahoma" w:hAnsi="Tahoma"/>
      <w:sz w:val="24"/>
      <w:szCs w:val="20"/>
    </w:rPr>
  </w:style>
  <w:style w:type="paragraph" w:customStyle="1" w:styleId="209">
    <w:name w:val="图中文字"/>
    <w:basedOn w:val="1"/>
    <w:qFormat/>
    <w:uiPriority w:val="0"/>
    <w:pPr>
      <w:adjustRightInd w:val="0"/>
      <w:snapToGrid w:val="0"/>
      <w:spacing w:line="0" w:lineRule="atLeast"/>
      <w:jc w:val="center"/>
    </w:pPr>
    <w:rPr>
      <w:sz w:val="24"/>
      <w:szCs w:val="20"/>
    </w:rPr>
  </w:style>
  <w:style w:type="paragraph" w:customStyle="1" w:styleId="210">
    <w:name w:val="Char Char Char Char Char Char Char Char Char Char"/>
    <w:basedOn w:val="1"/>
    <w:qFormat/>
    <w:uiPriority w:val="0"/>
  </w:style>
  <w:style w:type="paragraph" w:customStyle="1" w:styleId="211">
    <w:name w:val="Char Char Char"/>
    <w:basedOn w:val="1"/>
    <w:qFormat/>
    <w:uiPriority w:val="0"/>
    <w:rPr>
      <w:rFonts w:ascii="Tahoma" w:hAnsi="Tahoma"/>
      <w:sz w:val="24"/>
      <w:szCs w:val="20"/>
    </w:rPr>
  </w:style>
  <w:style w:type="paragraph" w:customStyle="1" w:styleId="212">
    <w:name w:val="表格1"/>
    <w:basedOn w:val="1"/>
    <w:qFormat/>
    <w:uiPriority w:val="0"/>
    <w:pPr>
      <w:ind w:firstLine="480" w:firstLineChars="200"/>
      <w:jc w:val="center"/>
    </w:pPr>
    <w:rPr>
      <w:sz w:val="24"/>
      <w:szCs w:val="20"/>
    </w:rPr>
  </w:style>
  <w:style w:type="paragraph" w:customStyle="1" w:styleId="213">
    <w:name w:val="列出段落2"/>
    <w:basedOn w:val="1"/>
    <w:qFormat/>
    <w:uiPriority w:val="0"/>
    <w:pPr>
      <w:ind w:firstLine="420" w:firstLineChars="200"/>
    </w:pPr>
    <w:rPr>
      <w:rFonts w:ascii="Calibri" w:hAnsi="Calibri"/>
      <w:szCs w:val="22"/>
    </w:rPr>
  </w:style>
  <w:style w:type="paragraph" w:customStyle="1" w:styleId="214">
    <w:name w:val="Char2"/>
    <w:basedOn w:val="1"/>
    <w:qFormat/>
    <w:uiPriority w:val="0"/>
    <w:rPr>
      <w:rFonts w:ascii="Tahoma" w:hAnsi="Tahoma"/>
      <w:sz w:val="24"/>
      <w:szCs w:val="20"/>
    </w:rPr>
  </w:style>
  <w:style w:type="paragraph" w:customStyle="1" w:styleId="21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0">
    <w:name w:val="图例"/>
    <w:basedOn w:val="1"/>
    <w:qFormat/>
    <w:uiPriority w:val="0"/>
    <w:pPr>
      <w:spacing w:before="120" w:after="120" w:line="360" w:lineRule="auto"/>
      <w:jc w:val="center"/>
    </w:pPr>
    <w:rPr>
      <w:rFonts w:eastAsia="仿宋_GB2312"/>
      <w:b/>
      <w:sz w:val="24"/>
      <w:szCs w:val="20"/>
    </w:rPr>
  </w:style>
  <w:style w:type="paragraph" w:customStyle="1" w:styleId="221">
    <w:name w:val="Char"/>
    <w:basedOn w:val="1"/>
    <w:qFormat/>
    <w:uiPriority w:val="0"/>
    <w:pPr>
      <w:tabs>
        <w:tab w:val="left" w:pos="360"/>
      </w:tabs>
    </w:pPr>
    <w:rPr>
      <w:sz w:val="24"/>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styleId="22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Char1 Char Char Char1"/>
    <w:basedOn w:val="1"/>
    <w:qFormat/>
    <w:uiPriority w:val="0"/>
    <w:rPr>
      <w:rFonts w:ascii="Tahoma" w:hAnsi="Tahoma" w:cs="仿宋_GB2312"/>
      <w:sz w:val="24"/>
      <w:szCs w:val="28"/>
    </w:rPr>
  </w:style>
  <w:style w:type="paragraph" w:customStyle="1" w:styleId="228">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字元 字元2"/>
    <w:basedOn w:val="1"/>
    <w:qFormat/>
    <w:uiPriority w:val="0"/>
    <w:rPr>
      <w:rFonts w:ascii="Tahoma" w:hAnsi="Tahoma"/>
      <w:sz w:val="24"/>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31">
    <w:name w:val="Char3"/>
    <w:basedOn w:val="1"/>
    <w:qFormat/>
    <w:uiPriority w:val="0"/>
    <w:pPr>
      <w:tabs>
        <w:tab w:val="left" w:pos="360"/>
      </w:tabs>
    </w:pPr>
    <w:rPr>
      <w:sz w:val="24"/>
    </w:rPr>
  </w:style>
  <w:style w:type="paragraph" w:customStyle="1" w:styleId="23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33">
    <w:name w:val="项目编号3"/>
    <w:basedOn w:val="143"/>
    <w:qFormat/>
    <w:uiPriority w:val="0"/>
    <w:pPr>
      <w:numPr>
        <w:ilvl w:val="0"/>
        <w:numId w:val="7"/>
      </w:numPr>
    </w:pPr>
  </w:style>
  <w:style w:type="paragraph" w:customStyle="1" w:styleId="234">
    <w:name w:val="文档正文"/>
    <w:basedOn w:val="1"/>
    <w:qFormat/>
    <w:uiPriority w:val="0"/>
    <w:pPr>
      <w:snapToGrid w:val="0"/>
      <w:spacing w:before="120" w:after="120" w:line="180" w:lineRule="auto"/>
    </w:pPr>
    <w:rPr>
      <w:rFonts w:ascii="Arial" w:hAnsi="Arial"/>
      <w:szCs w:val="20"/>
    </w:rPr>
  </w:style>
  <w:style w:type="paragraph" w:customStyle="1" w:styleId="235">
    <w:name w:val="Revision"/>
    <w:qFormat/>
    <w:uiPriority w:val="0"/>
    <w:rPr>
      <w:rFonts w:ascii="Times New Roman" w:hAnsi="Times New Roman" w:eastAsia="宋体" w:cs="Times New Roman"/>
      <w:kern w:val="2"/>
      <w:sz w:val="21"/>
      <w:szCs w:val="24"/>
      <w:lang w:val="en-US" w:eastAsia="zh-CN" w:bidi="ar-SA"/>
    </w:rPr>
  </w:style>
  <w:style w:type="paragraph" w:customStyle="1" w:styleId="23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3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4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4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4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43">
    <w:name w:val="正文 + 楷体_GB2312"/>
    <w:basedOn w:val="1"/>
    <w:qFormat/>
    <w:uiPriority w:val="0"/>
    <w:pPr>
      <w:widowControl/>
      <w:jc w:val="left"/>
    </w:pPr>
    <w:rPr>
      <w:rFonts w:ascii="楷体_GB2312" w:eastAsia="楷体_GB2312" w:cs="Arial"/>
      <w:kern w:val="0"/>
      <w:sz w:val="24"/>
    </w:rPr>
  </w:style>
  <w:style w:type="paragraph" w:customStyle="1" w:styleId="244">
    <w:name w:val="Char21"/>
    <w:basedOn w:val="1"/>
    <w:qFormat/>
    <w:uiPriority w:val="0"/>
    <w:rPr>
      <w:rFonts w:ascii="Tahoma" w:hAnsi="Tahoma"/>
      <w:sz w:val="24"/>
      <w:szCs w:val="20"/>
    </w:rPr>
  </w:style>
  <w:style w:type="paragraph" w:customStyle="1" w:styleId="245">
    <w:name w:val="Char Char Char Char Char Char Char Char Char Char1"/>
    <w:basedOn w:val="1"/>
    <w:qFormat/>
    <w:uiPriority w:val="0"/>
    <w:rPr>
      <w:rFonts w:ascii="宋体" w:hAnsi="宋体" w:cs="Courier New"/>
      <w:sz w:val="32"/>
      <w:szCs w:val="32"/>
    </w:rPr>
  </w:style>
  <w:style w:type="paragraph" w:customStyle="1" w:styleId="246">
    <w:name w:val="正文文本样式 加粗"/>
    <w:basedOn w:val="143"/>
    <w:qFormat/>
    <w:uiPriority w:val="0"/>
    <w:rPr>
      <w:b/>
    </w:rPr>
  </w:style>
  <w:style w:type="paragraph" w:customStyle="1" w:styleId="24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8">
    <w:name w:val="图文"/>
    <w:basedOn w:val="1"/>
    <w:qFormat/>
    <w:uiPriority w:val="0"/>
    <w:pPr>
      <w:adjustRightInd w:val="0"/>
      <w:snapToGrid w:val="0"/>
      <w:spacing w:after="50" w:line="360" w:lineRule="auto"/>
    </w:pPr>
    <w:rPr>
      <w:sz w:val="24"/>
    </w:rPr>
  </w:style>
  <w:style w:type="paragraph" w:customStyle="1" w:styleId="249">
    <w:name w:val="标题1-附件"/>
    <w:basedOn w:val="3"/>
    <w:qFormat/>
    <w:uiPriority w:val="0"/>
    <w:pPr>
      <w:jc w:val="left"/>
    </w:pPr>
    <w:rPr>
      <w:sz w:val="24"/>
      <w:szCs w:val="24"/>
    </w:rPr>
  </w:style>
  <w:style w:type="paragraph" w:customStyle="1" w:styleId="25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51">
    <w:name w:val="Char Char Char Char Char Char Char Char Char Char2"/>
    <w:basedOn w:val="1"/>
    <w:qFormat/>
    <w:uiPriority w:val="0"/>
    <w:rPr>
      <w:rFonts w:ascii="宋体" w:hAnsi="宋体" w:cs="Courier New"/>
      <w:sz w:val="32"/>
      <w:szCs w:val="32"/>
    </w:rPr>
  </w:style>
  <w:style w:type="table" w:customStyle="1" w:styleId="252">
    <w:name w:val="Table Normal"/>
    <w:unhideWhenUsed/>
    <w:qFormat/>
    <w:uiPriority w:val="2"/>
    <w:pPr>
      <w:widowControl w:val="0"/>
      <w:autoSpaceDE w:val="0"/>
      <w:autoSpaceDN w:val="0"/>
    </w:pPr>
    <w:rPr>
      <w:rFonts w:ascii="Calibri" w:hAnsi="Calibri"/>
      <w:sz w:val="22"/>
      <w:szCs w:val="22"/>
      <w:lang w:val="en-US" w:eastAsia="en-US"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96</Pages>
  <Words>1425</Words>
  <Characters>1722</Characters>
  <Lines>402</Lines>
  <Paragraphs>113</Paragraphs>
  <TotalTime>1</TotalTime>
  <ScaleCrop>false</ScaleCrop>
  <LinksUpToDate>false</LinksUpToDate>
  <CharactersWithSpaces>1774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user</cp:lastModifiedBy>
  <cp:lastPrinted>2020-04-01T19:13:00Z</cp:lastPrinted>
  <dcterms:modified xsi:type="dcterms:W3CDTF">2025-03-10T02:13:48Z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B0296AE562FF4C60AC2C1D4F3AC175F1_13</vt:lpwstr>
  </property>
  <property fmtid="{D5CDD505-2E9C-101B-9397-08002B2CF9AE}" pid="4" name="KSOTemplateDocerSaveRecord">
    <vt:lpwstr>eyJoZGlkIjoiZmRkNjNiYjJmMjkwNjllMzY3NmQzODQwYjMyYWUzZDYifQ==</vt:lpwstr>
  </property>
</Properties>
</file>