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CD7A6">
      <w:pPr>
        <w:spacing w:line="360" w:lineRule="auto"/>
        <w:jc w:val="center"/>
        <w:outlineLvl w:val="0"/>
        <w:rPr>
          <w:b/>
          <w:sz w:val="36"/>
          <w:szCs w:val="36"/>
        </w:rPr>
      </w:pPr>
      <w:r>
        <w:rPr>
          <w:b/>
          <w:sz w:val="36"/>
          <w:szCs w:val="36"/>
        </w:rPr>
        <w:t>采购需求</w:t>
      </w:r>
    </w:p>
    <w:p w14:paraId="5C20D890">
      <w:pPr>
        <w:keepNext/>
        <w:keepLines/>
        <w:numPr>
          <w:ilvl w:val="0"/>
          <w:numId w:val="1"/>
        </w:numPr>
        <w:spacing w:before="10" w:after="10" w:line="360" w:lineRule="auto"/>
        <w:outlineLvl w:val="0"/>
        <w:rPr>
          <w:rFonts w:eastAsia="黑体"/>
          <w:b/>
          <w:kern w:val="44"/>
          <w:sz w:val="24"/>
        </w:rPr>
      </w:pPr>
      <w:bookmarkStart w:id="0" w:name="_Toc192776005"/>
      <w:bookmarkStart w:id="1" w:name="_Toc172215529"/>
      <w:r>
        <w:rPr>
          <w:rFonts w:hint="eastAsia" w:eastAsia="黑体"/>
          <w:b/>
          <w:kern w:val="44"/>
          <w:sz w:val="24"/>
        </w:rPr>
        <w:t>采购项目情况</w:t>
      </w:r>
      <w:bookmarkEnd w:id="0"/>
      <w:bookmarkEnd w:id="1"/>
    </w:p>
    <w:p w14:paraId="13E5901B">
      <w:pPr>
        <w:keepNext/>
        <w:keepLines/>
        <w:snapToGrid w:val="0"/>
        <w:spacing w:line="360" w:lineRule="auto"/>
        <w:ind w:firstLine="482" w:firstLineChars="200"/>
        <w:outlineLvl w:val="1"/>
        <w:rPr>
          <w:rFonts w:eastAsia="楷体"/>
          <w:b/>
          <w:sz w:val="24"/>
        </w:rPr>
      </w:pPr>
      <w:bookmarkStart w:id="2" w:name="_Toc192776006"/>
      <w:bookmarkStart w:id="3" w:name="_Toc172215530"/>
      <w:r>
        <w:rPr>
          <w:rFonts w:hint="eastAsia" w:eastAsia="楷体"/>
          <w:b/>
          <w:sz w:val="24"/>
        </w:rPr>
        <w:t>（一）采购方式</w:t>
      </w:r>
      <w:bookmarkEnd w:id="2"/>
      <w:bookmarkEnd w:id="3"/>
    </w:p>
    <w:p w14:paraId="593EB14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公开招标</w:t>
      </w:r>
    </w:p>
    <w:p w14:paraId="2D94A743">
      <w:pPr>
        <w:widowControl/>
        <w:adjustRightInd w:val="0"/>
        <w:snapToGrid w:val="0"/>
        <w:spacing w:line="360" w:lineRule="auto"/>
        <w:ind w:firstLine="482" w:firstLineChars="200"/>
        <w:jc w:val="left"/>
        <w:rPr>
          <w:rFonts w:eastAsia="楷体"/>
          <w:b/>
          <w:sz w:val="24"/>
        </w:rPr>
      </w:pPr>
      <w:bookmarkStart w:id="4" w:name="_Toc172215531"/>
      <w:bookmarkStart w:id="5" w:name="_Toc192776007"/>
      <w:r>
        <w:rPr>
          <w:rFonts w:hint="eastAsia" w:eastAsia="楷体"/>
          <w:b/>
          <w:sz w:val="24"/>
        </w:rPr>
        <w:t>（二）项目基本情况</w:t>
      </w:r>
      <w:bookmarkEnd w:id="4"/>
      <w:bookmarkEnd w:id="5"/>
    </w:p>
    <w:p w14:paraId="7185C5DD">
      <w:pPr>
        <w:adjustRightInd w:val="0"/>
        <w:snapToGrid w:val="0"/>
        <w:spacing w:line="360" w:lineRule="auto"/>
        <w:ind w:firstLine="480" w:firstLineChars="200"/>
        <w:rPr>
          <w:rFonts w:ascii="宋体" w:hAnsi="宋体" w:cs="宋体"/>
          <w:sz w:val="24"/>
          <w:u w:val="single"/>
        </w:rPr>
      </w:pPr>
      <w:r>
        <w:rPr>
          <w:rFonts w:ascii="宋体" w:hAnsi="宋体" w:cs="宋体"/>
          <w:sz w:val="24"/>
        </w:rPr>
        <w:t>1.</w:t>
      </w:r>
      <w:r>
        <w:rPr>
          <w:rFonts w:hint="eastAsia" w:ascii="宋体" w:hAnsi="宋体" w:cs="宋体"/>
          <w:sz w:val="24"/>
        </w:rPr>
        <w:t>项目名称：</w:t>
      </w:r>
      <w:r>
        <w:rPr>
          <w:rFonts w:hint="eastAsia" w:ascii="宋体" w:hAnsi="宋体" w:cs="宋体"/>
          <w:sz w:val="24"/>
          <w:u w:val="single"/>
        </w:rPr>
        <w:t xml:space="preserve">   北京市工业技师学院2</w:t>
      </w:r>
      <w:r>
        <w:rPr>
          <w:rFonts w:ascii="宋体" w:hAnsi="宋体" w:cs="宋体"/>
          <w:sz w:val="24"/>
          <w:u w:val="single"/>
        </w:rPr>
        <w:t>025</w:t>
      </w:r>
      <w:r>
        <w:rPr>
          <w:rFonts w:hint="eastAsia" w:ascii="宋体" w:hAnsi="宋体" w:cs="宋体"/>
          <w:sz w:val="24"/>
          <w:u w:val="single"/>
        </w:rPr>
        <w:t>-</w:t>
      </w:r>
      <w:r>
        <w:rPr>
          <w:rFonts w:ascii="宋体" w:hAnsi="宋体" w:cs="宋体"/>
          <w:sz w:val="24"/>
          <w:u w:val="single"/>
        </w:rPr>
        <w:t>2026</w:t>
      </w:r>
      <w:r>
        <w:rPr>
          <w:rFonts w:hint="eastAsia" w:ascii="宋体" w:hAnsi="宋体" w:cs="宋体"/>
          <w:sz w:val="24"/>
          <w:u w:val="single"/>
        </w:rPr>
        <w:t xml:space="preserve">年度物业管理服务采购项目                  </w:t>
      </w:r>
    </w:p>
    <w:p w14:paraId="391ACA63">
      <w:pPr>
        <w:adjustRightInd w:val="0"/>
        <w:snapToGrid w:val="0"/>
        <w:spacing w:line="360" w:lineRule="auto"/>
        <w:ind w:firstLine="480" w:firstLineChars="200"/>
        <w:rPr>
          <w:rFonts w:ascii="宋体" w:hAnsi="宋体" w:eastAsia="仿宋" w:cs="宋体"/>
          <w:sz w:val="24"/>
        </w:rPr>
      </w:pPr>
      <w:r>
        <w:rPr>
          <w:rFonts w:ascii="宋体" w:hAnsi="宋体" w:cs="宋体"/>
          <w:sz w:val="24"/>
        </w:rPr>
        <w:t>2.</w:t>
      </w:r>
      <w:r>
        <w:rPr>
          <w:rFonts w:hint="eastAsia" w:ascii="宋体" w:hAnsi="宋体" w:cs="宋体"/>
          <w:sz w:val="24"/>
        </w:rPr>
        <w:t>项目预算金额：</w:t>
      </w:r>
      <w:r>
        <w:rPr>
          <w:rFonts w:hint="eastAsia" w:ascii="宋体" w:hAnsi="宋体" w:cs="宋体"/>
          <w:sz w:val="24"/>
          <w:u w:val="single"/>
        </w:rPr>
        <w:t xml:space="preserve">  </w:t>
      </w:r>
      <w:r>
        <w:rPr>
          <w:rFonts w:ascii="宋体" w:hAnsi="宋体" w:cs="宋体"/>
          <w:sz w:val="24"/>
          <w:u w:val="single"/>
        </w:rPr>
        <w:t>419.295922</w:t>
      </w:r>
      <w:r>
        <w:rPr>
          <w:rFonts w:hint="eastAsia" w:ascii="宋体" w:hAnsi="宋体" w:cs="宋体"/>
          <w:sz w:val="24"/>
          <w:u w:val="single"/>
        </w:rPr>
        <w:t xml:space="preserve">  </w:t>
      </w:r>
      <w:r>
        <w:rPr>
          <w:rFonts w:hint="eastAsia" w:ascii="宋体" w:hAnsi="宋体" w:cs="宋体"/>
          <w:sz w:val="24"/>
        </w:rPr>
        <w:t>万元、项目最高限价（如有）：</w:t>
      </w:r>
      <w:r>
        <w:rPr>
          <w:rFonts w:hint="eastAsia" w:ascii="宋体" w:hAnsi="宋体" w:cs="宋体"/>
          <w:sz w:val="24"/>
          <w:u w:val="single"/>
        </w:rPr>
        <w:t xml:space="preserve"> </w:t>
      </w:r>
      <w:r>
        <w:rPr>
          <w:rFonts w:ascii="宋体" w:hAnsi="宋体" w:cs="宋体"/>
          <w:sz w:val="24"/>
          <w:u w:val="single"/>
        </w:rPr>
        <w:t>419.295922</w:t>
      </w:r>
      <w:r>
        <w:rPr>
          <w:rFonts w:hint="eastAsia" w:ascii="宋体" w:hAnsi="宋体" w:cs="宋体"/>
          <w:sz w:val="24"/>
          <w:u w:val="single"/>
        </w:rPr>
        <w:t xml:space="preserve">    </w:t>
      </w:r>
      <w:r>
        <w:rPr>
          <w:rFonts w:hint="eastAsia" w:ascii="宋体" w:hAnsi="宋体" w:cs="宋体"/>
          <w:sz w:val="24"/>
        </w:rPr>
        <w:t>万元</w:t>
      </w:r>
    </w:p>
    <w:p w14:paraId="45818FE1">
      <w:pPr>
        <w:adjustRightInd w:val="0"/>
        <w:snapToGrid w:val="0"/>
        <w:spacing w:line="360" w:lineRule="auto"/>
        <w:ind w:firstLine="480" w:firstLineChars="200"/>
        <w:rPr>
          <w:rFonts w:ascii="宋体" w:hAnsi="宋体" w:eastAsia="仿宋" w:cs="宋体"/>
          <w:sz w:val="24"/>
        </w:rPr>
      </w:pPr>
      <w:r>
        <w:rPr>
          <w:rFonts w:ascii="宋体" w:hAnsi="宋体" w:cs="宋体"/>
          <w:sz w:val="24"/>
        </w:rPr>
        <w:t>3.</w:t>
      </w:r>
      <w:r>
        <w:rPr>
          <w:rFonts w:hint="eastAsia" w:ascii="宋体" w:hAnsi="宋体" w:cs="宋体"/>
          <w:sz w:val="24"/>
        </w:rPr>
        <w:t>采购包情况：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615"/>
        <w:gridCol w:w="3116"/>
        <w:gridCol w:w="1753"/>
      </w:tblGrid>
      <w:tr w14:paraId="5265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noWrap w:val="0"/>
            <w:vAlign w:val="center"/>
          </w:tcPr>
          <w:p w14:paraId="4807E421">
            <w:pPr>
              <w:adjustRightInd w:val="0"/>
              <w:snapToGrid w:val="0"/>
              <w:spacing w:line="360" w:lineRule="auto"/>
              <w:jc w:val="center"/>
              <w:rPr>
                <w:rFonts w:ascii="宋体" w:hAnsi="宋体" w:cs="宋体"/>
                <w:bCs/>
                <w:sz w:val="24"/>
              </w:rPr>
            </w:pPr>
            <w:r>
              <w:rPr>
                <w:rFonts w:hint="eastAsia" w:ascii="宋体" w:hAnsi="宋体" w:cs="宋体"/>
                <w:bCs/>
                <w:sz w:val="24"/>
              </w:rPr>
              <w:t>包号</w:t>
            </w:r>
          </w:p>
        </w:tc>
        <w:tc>
          <w:tcPr>
            <w:tcW w:w="2615" w:type="dxa"/>
            <w:noWrap w:val="0"/>
            <w:vAlign w:val="center"/>
          </w:tcPr>
          <w:p w14:paraId="35EE922D">
            <w:pPr>
              <w:adjustRightInd w:val="0"/>
              <w:snapToGrid w:val="0"/>
              <w:spacing w:line="360" w:lineRule="auto"/>
              <w:jc w:val="center"/>
              <w:rPr>
                <w:rFonts w:ascii="宋体" w:hAnsi="宋体" w:cs="宋体"/>
                <w:bCs/>
                <w:sz w:val="24"/>
              </w:rPr>
            </w:pPr>
            <w:r>
              <w:rPr>
                <w:rFonts w:hint="eastAsia" w:ascii="宋体" w:hAnsi="宋体" w:cs="宋体"/>
                <w:bCs/>
                <w:sz w:val="24"/>
              </w:rPr>
              <w:t>标的名称</w:t>
            </w:r>
          </w:p>
        </w:tc>
        <w:tc>
          <w:tcPr>
            <w:tcW w:w="3116" w:type="dxa"/>
            <w:noWrap w:val="0"/>
            <w:vAlign w:val="center"/>
          </w:tcPr>
          <w:p w14:paraId="29E03BDD">
            <w:pPr>
              <w:adjustRightInd w:val="0"/>
              <w:snapToGrid w:val="0"/>
              <w:spacing w:line="360" w:lineRule="auto"/>
              <w:jc w:val="center"/>
              <w:rPr>
                <w:rFonts w:ascii="宋体" w:hAnsi="宋体" w:cs="宋体"/>
                <w:bCs/>
                <w:sz w:val="24"/>
              </w:rPr>
            </w:pPr>
            <w:r>
              <w:rPr>
                <w:rFonts w:hint="eastAsia" w:ascii="宋体" w:hAnsi="宋体" w:cs="宋体"/>
                <w:bCs/>
                <w:sz w:val="24"/>
              </w:rPr>
              <w:t>采购包预算金额（万元）</w:t>
            </w:r>
          </w:p>
        </w:tc>
        <w:tc>
          <w:tcPr>
            <w:tcW w:w="1753" w:type="dxa"/>
            <w:noWrap w:val="0"/>
            <w:vAlign w:val="center"/>
          </w:tcPr>
          <w:p w14:paraId="0A502930">
            <w:pPr>
              <w:adjustRightInd w:val="0"/>
              <w:snapToGrid w:val="0"/>
              <w:spacing w:line="360" w:lineRule="auto"/>
              <w:jc w:val="center"/>
              <w:rPr>
                <w:rFonts w:ascii="宋体" w:hAnsi="宋体" w:cs="宋体"/>
                <w:bCs/>
                <w:sz w:val="24"/>
              </w:rPr>
            </w:pPr>
            <w:r>
              <w:rPr>
                <w:rFonts w:hint="eastAsia" w:ascii="宋体" w:hAnsi="宋体" w:cs="宋体"/>
                <w:bCs/>
                <w:sz w:val="24"/>
              </w:rPr>
              <w:t>数量</w:t>
            </w:r>
          </w:p>
        </w:tc>
      </w:tr>
      <w:tr w14:paraId="7D22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noWrap w:val="0"/>
            <w:vAlign w:val="center"/>
          </w:tcPr>
          <w:p w14:paraId="251C749E">
            <w:pPr>
              <w:adjustRightInd w:val="0"/>
              <w:snapToGrid w:val="0"/>
              <w:spacing w:line="360" w:lineRule="auto"/>
              <w:jc w:val="center"/>
              <w:rPr>
                <w:rFonts w:ascii="宋体" w:hAnsi="宋体" w:cs="宋体"/>
                <w:bCs/>
                <w:sz w:val="24"/>
              </w:rPr>
            </w:pPr>
            <w:r>
              <w:rPr>
                <w:rFonts w:hint="eastAsia" w:ascii="宋体" w:hAnsi="宋体" w:cs="宋体"/>
                <w:bCs/>
                <w:sz w:val="24"/>
              </w:rPr>
              <w:t>01</w:t>
            </w:r>
          </w:p>
        </w:tc>
        <w:tc>
          <w:tcPr>
            <w:tcW w:w="2615" w:type="dxa"/>
            <w:noWrap w:val="0"/>
            <w:vAlign w:val="center"/>
          </w:tcPr>
          <w:p w14:paraId="70A1A5C0">
            <w:pPr>
              <w:adjustRightInd w:val="0"/>
              <w:snapToGrid w:val="0"/>
              <w:spacing w:line="360" w:lineRule="auto"/>
              <w:ind w:firstLine="480" w:firstLineChars="200"/>
              <w:jc w:val="center"/>
              <w:rPr>
                <w:rFonts w:ascii="宋体" w:hAnsi="宋体" w:cs="宋体"/>
                <w:bCs/>
                <w:sz w:val="24"/>
              </w:rPr>
            </w:pPr>
            <w:r>
              <w:rPr>
                <w:rFonts w:hint="eastAsia" w:ascii="宋体" w:hAnsi="宋体" w:cs="宋体"/>
                <w:sz w:val="24"/>
                <w:u w:val="single"/>
              </w:rPr>
              <w:t>北京市工业技师学院2</w:t>
            </w:r>
            <w:r>
              <w:rPr>
                <w:rFonts w:ascii="宋体" w:hAnsi="宋体" w:cs="宋体"/>
                <w:sz w:val="24"/>
                <w:u w:val="single"/>
              </w:rPr>
              <w:t>025</w:t>
            </w:r>
            <w:r>
              <w:rPr>
                <w:rFonts w:hint="eastAsia" w:ascii="宋体" w:hAnsi="宋体" w:cs="宋体"/>
                <w:sz w:val="24"/>
                <w:u w:val="single"/>
              </w:rPr>
              <w:t>-</w:t>
            </w:r>
            <w:r>
              <w:rPr>
                <w:rFonts w:ascii="宋体" w:hAnsi="宋体" w:cs="宋体"/>
                <w:sz w:val="24"/>
                <w:u w:val="single"/>
              </w:rPr>
              <w:t>2026</w:t>
            </w:r>
            <w:r>
              <w:rPr>
                <w:rFonts w:hint="eastAsia" w:ascii="宋体" w:hAnsi="宋体" w:cs="宋体"/>
                <w:sz w:val="24"/>
                <w:u w:val="single"/>
              </w:rPr>
              <w:t>年度物业管理服务采购项目</w:t>
            </w:r>
          </w:p>
        </w:tc>
        <w:tc>
          <w:tcPr>
            <w:tcW w:w="3116" w:type="dxa"/>
            <w:noWrap w:val="0"/>
            <w:vAlign w:val="center"/>
          </w:tcPr>
          <w:p w14:paraId="4588FB5F">
            <w:pPr>
              <w:adjustRightInd w:val="0"/>
              <w:snapToGrid w:val="0"/>
              <w:spacing w:line="360" w:lineRule="auto"/>
              <w:ind w:firstLine="480" w:firstLineChars="200"/>
              <w:jc w:val="center"/>
              <w:rPr>
                <w:rFonts w:ascii="宋体" w:hAnsi="宋体" w:cs="宋体"/>
                <w:bCs/>
                <w:sz w:val="24"/>
              </w:rPr>
            </w:pPr>
            <w:r>
              <w:rPr>
                <w:rFonts w:ascii="宋体" w:hAnsi="宋体" w:cs="宋体"/>
                <w:sz w:val="24"/>
                <w:u w:val="single"/>
              </w:rPr>
              <w:t>419.295922</w:t>
            </w:r>
          </w:p>
        </w:tc>
        <w:tc>
          <w:tcPr>
            <w:tcW w:w="1753" w:type="dxa"/>
            <w:noWrap w:val="0"/>
            <w:vAlign w:val="center"/>
          </w:tcPr>
          <w:p w14:paraId="6DAA4530">
            <w:pPr>
              <w:adjustRightInd w:val="0"/>
              <w:snapToGrid w:val="0"/>
              <w:spacing w:line="360" w:lineRule="auto"/>
              <w:jc w:val="center"/>
              <w:rPr>
                <w:rFonts w:ascii="宋体" w:hAnsi="宋体" w:cs="宋体"/>
                <w:bCs/>
                <w:sz w:val="24"/>
              </w:rPr>
            </w:pPr>
            <w:r>
              <w:rPr>
                <w:rFonts w:hint="eastAsia" w:ascii="宋体" w:hAnsi="宋体" w:cs="宋体"/>
                <w:bCs/>
                <w:sz w:val="24"/>
              </w:rPr>
              <w:t>1</w:t>
            </w:r>
          </w:p>
        </w:tc>
      </w:tr>
    </w:tbl>
    <w:p w14:paraId="50CF5269">
      <w:pPr>
        <w:snapToGrid w:val="0"/>
        <w:spacing w:line="360" w:lineRule="auto"/>
        <w:ind w:firstLine="480" w:firstLineChars="200"/>
        <w:rPr>
          <w:rFonts w:ascii="宋体" w:hAnsi="宋体" w:cs="宋体"/>
          <w:sz w:val="24"/>
          <w:u w:val="single"/>
        </w:rPr>
      </w:pPr>
      <w:r>
        <w:rPr>
          <w:rFonts w:ascii="宋体" w:hAnsi="宋体" w:cs="宋体"/>
          <w:sz w:val="24"/>
        </w:rPr>
        <w:t>4.</w:t>
      </w:r>
      <w:r>
        <w:rPr>
          <w:rFonts w:hint="eastAsia" w:ascii="宋体" w:hAnsi="宋体" w:cs="宋体"/>
          <w:sz w:val="24"/>
        </w:rPr>
        <w:t>合同履行期限：</w:t>
      </w:r>
      <w:r>
        <w:rPr>
          <w:rFonts w:hint="eastAsia" w:ascii="宋体" w:hAnsi="宋体" w:cs="宋体"/>
          <w:sz w:val="24"/>
          <w:u w:val="single"/>
        </w:rPr>
        <w:t xml:space="preserve"> 自2</w:t>
      </w:r>
      <w:r>
        <w:rPr>
          <w:rFonts w:ascii="宋体" w:hAnsi="宋体" w:cs="宋体"/>
          <w:sz w:val="24"/>
          <w:u w:val="single"/>
        </w:rPr>
        <w:t>025</w:t>
      </w:r>
      <w:r>
        <w:rPr>
          <w:rFonts w:hint="eastAsia" w:ascii="宋体" w:hAnsi="宋体" w:cs="宋体"/>
          <w:sz w:val="24"/>
          <w:u w:val="single"/>
        </w:rPr>
        <w:t>年8月1日起至2</w:t>
      </w:r>
      <w:r>
        <w:rPr>
          <w:rFonts w:ascii="宋体" w:hAnsi="宋体" w:cs="宋体"/>
          <w:sz w:val="24"/>
          <w:u w:val="single"/>
        </w:rPr>
        <w:t>026</w:t>
      </w:r>
      <w:r>
        <w:rPr>
          <w:rFonts w:hint="eastAsia" w:ascii="宋体" w:hAnsi="宋体" w:cs="宋体"/>
          <w:sz w:val="24"/>
          <w:u w:val="single"/>
        </w:rPr>
        <w:t>年1</w:t>
      </w:r>
      <w:r>
        <w:rPr>
          <w:rFonts w:ascii="宋体" w:hAnsi="宋体" w:cs="宋体"/>
          <w:sz w:val="24"/>
          <w:u w:val="single"/>
        </w:rPr>
        <w:t>2</w:t>
      </w:r>
      <w:r>
        <w:rPr>
          <w:rFonts w:hint="eastAsia" w:ascii="宋体" w:hAnsi="宋体" w:cs="宋体"/>
          <w:sz w:val="24"/>
          <w:u w:val="single"/>
        </w:rPr>
        <w:t>月3</w:t>
      </w:r>
      <w:r>
        <w:rPr>
          <w:rFonts w:ascii="宋体" w:hAnsi="宋体" w:cs="宋体"/>
          <w:sz w:val="24"/>
          <w:u w:val="single"/>
        </w:rPr>
        <w:t>1</w:t>
      </w:r>
      <w:r>
        <w:rPr>
          <w:rFonts w:hint="eastAsia" w:ascii="宋体" w:hAnsi="宋体" w:cs="宋体"/>
          <w:sz w:val="24"/>
          <w:u w:val="single"/>
        </w:rPr>
        <w:t xml:space="preserve">日止。  </w:t>
      </w:r>
    </w:p>
    <w:p w14:paraId="7730BE3C">
      <w:pPr>
        <w:snapToGrid w:val="0"/>
        <w:spacing w:line="360" w:lineRule="auto"/>
        <w:ind w:firstLine="480" w:firstLineChars="200"/>
        <w:rPr>
          <w:rFonts w:ascii="宋体" w:hAnsi="宋体" w:eastAsia="仿宋" w:cs="宋体"/>
          <w:sz w:val="24"/>
        </w:rPr>
      </w:pPr>
      <w:r>
        <w:rPr>
          <w:rFonts w:ascii="宋体" w:hAnsi="宋体" w:cs="宋体"/>
          <w:sz w:val="24"/>
        </w:rPr>
        <w:t>5.</w:t>
      </w:r>
      <w:r>
        <w:rPr>
          <w:rFonts w:hint="eastAsia" w:ascii="宋体" w:hAnsi="宋体" w:cs="宋体"/>
          <w:sz w:val="24"/>
        </w:rPr>
        <w:t>本项目是否接受联合体投标：□是</w:t>
      </w:r>
      <w:r>
        <w:rPr>
          <w:rFonts w:ascii="宋体" w:hAnsi="宋体" w:cs="宋体"/>
          <w:sz w:val="24"/>
        </w:rPr>
        <w:t xml:space="preserve"> </w:t>
      </w:r>
      <w:r>
        <w:rPr>
          <w:rFonts w:ascii="Segoe UI Symbol" w:hAnsi="Segoe UI Symbol" w:cs="Segoe UI Symbol"/>
          <w:sz w:val="24"/>
        </w:rPr>
        <w:t>☑</w:t>
      </w:r>
      <w:r>
        <w:rPr>
          <w:rFonts w:hint="eastAsia" w:ascii="宋体" w:hAnsi="宋体" w:cs="宋体"/>
          <w:sz w:val="24"/>
        </w:rPr>
        <w:t>否。</w:t>
      </w:r>
    </w:p>
    <w:p w14:paraId="1D92E68F">
      <w:pPr>
        <w:snapToGrid w:val="0"/>
        <w:spacing w:line="360" w:lineRule="auto"/>
        <w:ind w:firstLine="480" w:firstLineChars="200"/>
        <w:rPr>
          <w:rFonts w:ascii="宋体" w:hAnsi="宋体" w:cs="宋体"/>
          <w:sz w:val="24"/>
        </w:rPr>
      </w:pPr>
      <w:r>
        <w:rPr>
          <w:rFonts w:hint="eastAsia" w:ascii="宋体" w:hAnsi="宋体" w:cs="宋体"/>
          <w:sz w:val="24"/>
        </w:rPr>
        <w:t>6.付款进度及方式：</w:t>
      </w:r>
      <w:r>
        <w:rPr>
          <w:rFonts w:hint="eastAsia" w:ascii="宋体" w:hAnsi="宋体"/>
          <w:sz w:val="24"/>
        </w:rPr>
        <w:t>服务费每季度结算一次。乙</w:t>
      </w:r>
      <w:r>
        <w:rPr>
          <w:rFonts w:ascii="宋体" w:hAnsi="宋体"/>
          <w:sz w:val="24"/>
        </w:rPr>
        <w:t>方应在合同签订后</w:t>
      </w:r>
      <w:r>
        <w:rPr>
          <w:rFonts w:hint="eastAsia" w:ascii="宋体" w:hAnsi="宋体"/>
          <w:sz w:val="24"/>
        </w:rPr>
        <w:t>7</w:t>
      </w:r>
      <w:r>
        <w:rPr>
          <w:rFonts w:ascii="宋体" w:hAnsi="宋体"/>
          <w:sz w:val="24"/>
        </w:rPr>
        <w:t>天内，按约定的方式向</w:t>
      </w:r>
      <w:r>
        <w:rPr>
          <w:rFonts w:hint="eastAsia" w:ascii="宋体" w:hAnsi="宋体"/>
          <w:sz w:val="24"/>
        </w:rPr>
        <w:t>甲</w:t>
      </w:r>
      <w:r>
        <w:rPr>
          <w:rFonts w:ascii="宋体" w:hAnsi="宋体"/>
          <w:sz w:val="24"/>
        </w:rPr>
        <w:t>方提交</w:t>
      </w:r>
      <w:r>
        <w:rPr>
          <w:rFonts w:hint="eastAsia" w:ascii="宋体" w:hAnsi="宋体"/>
          <w:sz w:val="24"/>
        </w:rPr>
        <w:t>10万元</w:t>
      </w:r>
      <w:r>
        <w:rPr>
          <w:rFonts w:ascii="宋体" w:hAnsi="宋体"/>
          <w:sz w:val="24"/>
        </w:rPr>
        <w:t>的履约保证金。</w:t>
      </w:r>
      <w:r>
        <w:rPr>
          <w:rFonts w:hint="eastAsia" w:ascii="宋体" w:hAnsi="宋体"/>
          <w:sz w:val="24"/>
        </w:rPr>
        <w:t>甲方在收到乙方的履约保证金后支付第一季度服务费。</w:t>
      </w:r>
      <w:r>
        <w:rPr>
          <w:rFonts w:ascii="宋体" w:hAnsi="宋体"/>
          <w:sz w:val="24"/>
        </w:rPr>
        <w:t>履约保证金</w:t>
      </w:r>
      <w:r>
        <w:rPr>
          <w:rFonts w:hint="eastAsia" w:ascii="宋体" w:hAnsi="宋体"/>
          <w:sz w:val="24"/>
        </w:rPr>
        <w:t>为乙方履行本合同的担保，</w:t>
      </w:r>
      <w:r>
        <w:rPr>
          <w:rFonts w:ascii="宋体" w:hAnsi="宋体"/>
          <w:sz w:val="24"/>
        </w:rPr>
        <w:t>用于补偿</w:t>
      </w:r>
      <w:r>
        <w:rPr>
          <w:rFonts w:hint="eastAsia" w:ascii="宋体" w:hAnsi="宋体"/>
          <w:sz w:val="24"/>
        </w:rPr>
        <w:t>或赔偿甲</w:t>
      </w:r>
      <w:r>
        <w:rPr>
          <w:rFonts w:ascii="宋体" w:hAnsi="宋体"/>
          <w:sz w:val="24"/>
        </w:rPr>
        <w:t>方</w:t>
      </w:r>
      <w:r>
        <w:rPr>
          <w:rFonts w:hint="eastAsia" w:ascii="宋体" w:hAnsi="宋体"/>
          <w:sz w:val="24"/>
        </w:rPr>
        <w:t>损失，若</w:t>
      </w:r>
      <w:r>
        <w:rPr>
          <w:rFonts w:ascii="宋体" w:hAnsi="宋体"/>
          <w:sz w:val="24"/>
        </w:rPr>
        <w:t>因</w:t>
      </w:r>
      <w:r>
        <w:rPr>
          <w:rFonts w:hint="eastAsia" w:ascii="宋体" w:hAnsi="宋体"/>
          <w:sz w:val="24"/>
        </w:rPr>
        <w:t>乙</w:t>
      </w:r>
      <w:r>
        <w:rPr>
          <w:rFonts w:ascii="宋体" w:hAnsi="宋体"/>
          <w:sz w:val="24"/>
        </w:rPr>
        <w:t>方不履行其合同义务</w:t>
      </w:r>
      <w:r>
        <w:rPr>
          <w:rFonts w:hint="eastAsia" w:ascii="宋体" w:hAnsi="宋体"/>
          <w:sz w:val="24"/>
        </w:rPr>
        <w:t>，甲方有权自行扣除相应的违约金、补偿金、</w:t>
      </w:r>
      <w:r>
        <w:rPr>
          <w:rFonts w:ascii="宋体" w:hAnsi="宋体"/>
          <w:sz w:val="24"/>
        </w:rPr>
        <w:t>损失</w:t>
      </w:r>
      <w:r>
        <w:rPr>
          <w:rFonts w:hint="eastAsia" w:ascii="宋体" w:hAnsi="宋体"/>
          <w:sz w:val="24"/>
        </w:rPr>
        <w:t>等</w:t>
      </w:r>
      <w:r>
        <w:rPr>
          <w:rFonts w:ascii="宋体" w:hAnsi="宋体"/>
          <w:sz w:val="24"/>
        </w:rPr>
        <w:t>。</w:t>
      </w:r>
      <w:r>
        <w:rPr>
          <w:rFonts w:hint="eastAsia" w:ascii="宋体" w:hAnsi="宋体"/>
          <w:sz w:val="24"/>
        </w:rPr>
        <w:t>履约保证金在被扣除后，乙方应在甲方要求的期限内立即向甲方补足至10万元，若逾期7日仍未补足至10万元的，甲方有权单方解除本合同，并有权要求乙方赔偿甲方损失与支付合同总价款5%的违约金。合同服务期满</w:t>
      </w:r>
      <w:r>
        <w:rPr>
          <w:rFonts w:ascii="宋体" w:hAnsi="宋体"/>
          <w:sz w:val="24"/>
        </w:rPr>
        <w:t>后三十(30)天内，</w:t>
      </w:r>
      <w:r>
        <w:rPr>
          <w:rFonts w:hint="eastAsia" w:ascii="宋体" w:hAnsi="宋体"/>
          <w:sz w:val="24"/>
        </w:rPr>
        <w:t>甲</w:t>
      </w:r>
      <w:r>
        <w:rPr>
          <w:rFonts w:ascii="宋体" w:hAnsi="宋体"/>
          <w:sz w:val="24"/>
        </w:rPr>
        <w:t>方</w:t>
      </w:r>
      <w:r>
        <w:rPr>
          <w:rFonts w:hint="eastAsia" w:ascii="宋体" w:hAnsi="宋体"/>
          <w:sz w:val="24"/>
        </w:rPr>
        <w:t>在扣除乙方应承担的责任（如违约金、补偿金、损失等）后，</w:t>
      </w:r>
      <w:r>
        <w:rPr>
          <w:rFonts w:ascii="宋体" w:hAnsi="宋体"/>
          <w:sz w:val="24"/>
        </w:rPr>
        <w:t>将把</w:t>
      </w:r>
      <w:r>
        <w:rPr>
          <w:rFonts w:hint="eastAsia" w:ascii="宋体" w:hAnsi="宋体"/>
          <w:sz w:val="24"/>
        </w:rPr>
        <w:t>剩余的</w:t>
      </w:r>
      <w:r>
        <w:rPr>
          <w:rFonts w:ascii="宋体" w:hAnsi="宋体"/>
          <w:sz w:val="24"/>
        </w:rPr>
        <w:t>履约保证金</w:t>
      </w:r>
      <w:r>
        <w:rPr>
          <w:rFonts w:hint="eastAsia" w:ascii="宋体" w:hAnsi="宋体"/>
          <w:sz w:val="24"/>
          <w:lang w:eastAsia="zh-Hans"/>
        </w:rPr>
        <w:t>无息</w:t>
      </w:r>
      <w:r>
        <w:rPr>
          <w:rFonts w:ascii="宋体" w:hAnsi="宋体"/>
          <w:sz w:val="24"/>
        </w:rPr>
        <w:t>退还</w:t>
      </w:r>
      <w:r>
        <w:rPr>
          <w:rFonts w:hint="eastAsia" w:ascii="宋体" w:hAnsi="宋体"/>
          <w:sz w:val="24"/>
        </w:rPr>
        <w:t>乙</w:t>
      </w:r>
      <w:r>
        <w:rPr>
          <w:rFonts w:ascii="宋体" w:hAnsi="宋体"/>
          <w:sz w:val="24"/>
        </w:rPr>
        <w:t>方。</w:t>
      </w:r>
    </w:p>
    <w:p w14:paraId="11E4B2C1">
      <w:pPr>
        <w:rPr>
          <w:rFonts w:eastAsia="黑体"/>
          <w:b/>
          <w:kern w:val="44"/>
          <w:sz w:val="24"/>
        </w:rPr>
      </w:pPr>
      <w:r>
        <w:rPr>
          <w:rFonts w:hint="eastAsia" w:ascii="宋体" w:hAnsi="宋体" w:cs="宋体"/>
          <w:sz w:val="24"/>
        </w:rPr>
        <w:br w:type="page"/>
      </w:r>
      <w:bookmarkStart w:id="6" w:name="_Toc192776009"/>
      <w:r>
        <w:rPr>
          <w:rFonts w:hint="eastAsia" w:eastAsia="黑体"/>
          <w:b/>
          <w:kern w:val="44"/>
          <w:sz w:val="24"/>
        </w:rPr>
        <w:t>二</w:t>
      </w:r>
      <w:r>
        <w:rPr>
          <w:rFonts w:eastAsia="黑体"/>
          <w:b/>
          <w:kern w:val="44"/>
          <w:sz w:val="24"/>
        </w:rPr>
        <w:t>、</w:t>
      </w:r>
      <w:r>
        <w:rPr>
          <w:rFonts w:hint="eastAsia" w:eastAsia="黑体"/>
          <w:b/>
          <w:kern w:val="44"/>
          <w:sz w:val="24"/>
        </w:rPr>
        <w:t>规范性引用文件</w:t>
      </w:r>
      <w:bookmarkEnd w:id="6"/>
    </w:p>
    <w:p w14:paraId="109ABB68">
      <w:pPr>
        <w:keepNext/>
        <w:keepLines/>
        <w:snapToGrid w:val="0"/>
        <w:spacing w:before="120" w:after="120" w:line="360" w:lineRule="auto"/>
        <w:ind w:firstLine="482" w:firstLineChars="200"/>
        <w:outlineLvl w:val="1"/>
        <w:rPr>
          <w:rFonts w:ascii="楷体_GB2312" w:eastAsia="楷体"/>
          <w:b/>
          <w:sz w:val="24"/>
        </w:rPr>
      </w:pPr>
      <w:bookmarkStart w:id="7" w:name="_Toc192776010"/>
      <w:r>
        <w:rPr>
          <w:rFonts w:hint="eastAsia" w:ascii="楷体_GB2312" w:eastAsia="楷体"/>
          <w:b/>
          <w:sz w:val="24"/>
        </w:rPr>
        <w:t>（一）国家及北京市有关政策</w:t>
      </w:r>
      <w:bookmarkEnd w:id="7"/>
    </w:p>
    <w:p w14:paraId="5127981A">
      <w:pPr>
        <w:widowControl/>
        <w:spacing w:line="360" w:lineRule="auto"/>
        <w:ind w:firstLine="480" w:firstLineChars="200"/>
        <w:rPr>
          <w:rFonts w:ascii="宋体" w:hAnsi="宋体" w:cs="宋体"/>
          <w:sz w:val="24"/>
        </w:rPr>
      </w:pPr>
      <w:r>
        <w:rPr>
          <w:rFonts w:hint="eastAsia" w:ascii="宋体" w:hAnsi="宋体" w:cs="宋体"/>
          <w:sz w:val="24"/>
        </w:rPr>
        <w:t>1.《中华人民共和国消防法》中华人民共和国主席令第六号</w:t>
      </w:r>
    </w:p>
    <w:p w14:paraId="1F7C3ED7">
      <w:pPr>
        <w:snapToGrid w:val="0"/>
        <w:spacing w:line="360" w:lineRule="auto"/>
        <w:ind w:firstLine="480" w:firstLineChars="200"/>
        <w:rPr>
          <w:rFonts w:ascii="宋体" w:hAnsi="宋体" w:cs="宋体"/>
          <w:sz w:val="24"/>
        </w:rPr>
      </w:pPr>
      <w:r>
        <w:rPr>
          <w:rFonts w:hint="eastAsia" w:ascii="宋体" w:hAnsi="宋体" w:cs="宋体"/>
          <w:sz w:val="24"/>
        </w:rPr>
        <w:t>2.《中华人民共和国特种设备安全法》中华人民共和国主席令第四号</w:t>
      </w:r>
    </w:p>
    <w:p w14:paraId="43C1322B">
      <w:pPr>
        <w:spacing w:line="360" w:lineRule="auto"/>
        <w:ind w:firstLine="480" w:firstLineChars="200"/>
        <w:rPr>
          <w:rFonts w:ascii="宋体" w:hAnsi="宋体" w:cs="宋体"/>
          <w:sz w:val="24"/>
        </w:rPr>
      </w:pPr>
      <w:r>
        <w:rPr>
          <w:rFonts w:hint="eastAsia" w:ascii="宋体" w:hAnsi="宋体" w:cs="宋体"/>
          <w:sz w:val="24"/>
        </w:rPr>
        <w:t>3.《物业管理条例》中华人民共和国国务院令第379号</w:t>
      </w:r>
    </w:p>
    <w:p w14:paraId="4D32906B">
      <w:pPr>
        <w:spacing w:line="360" w:lineRule="auto"/>
        <w:ind w:firstLine="480" w:firstLineChars="200"/>
        <w:rPr>
          <w:rFonts w:ascii="宋体" w:hAnsi="宋体" w:cs="宋体"/>
          <w:sz w:val="24"/>
        </w:rPr>
      </w:pPr>
      <w:r>
        <w:rPr>
          <w:rFonts w:hint="eastAsia" w:ascii="宋体" w:hAnsi="宋体" w:cs="宋体"/>
          <w:sz w:val="24"/>
        </w:rPr>
        <w:t>4.《保安服务管理条例》中华人民共和国国务院令第564号</w:t>
      </w:r>
    </w:p>
    <w:p w14:paraId="0DFEE9A3">
      <w:pPr>
        <w:spacing w:line="360" w:lineRule="auto"/>
        <w:ind w:firstLine="480" w:firstLineChars="200"/>
        <w:rPr>
          <w:rFonts w:ascii="宋体" w:hAnsi="宋体" w:cs="宋体"/>
          <w:sz w:val="24"/>
        </w:rPr>
      </w:pPr>
      <w:r>
        <w:rPr>
          <w:rFonts w:hint="eastAsia" w:ascii="宋体" w:hAnsi="宋体" w:cs="宋体"/>
          <w:sz w:val="24"/>
        </w:rPr>
        <w:t>5.《机关、团体、企业、事业单位消防安全管理规定》中华人民共和国公安部第61号令</w:t>
      </w:r>
    </w:p>
    <w:p w14:paraId="1C9B779B">
      <w:pPr>
        <w:spacing w:line="360" w:lineRule="auto"/>
        <w:ind w:firstLine="480" w:firstLineChars="200"/>
        <w:rPr>
          <w:rFonts w:ascii="宋体" w:hAnsi="宋体" w:cs="宋体"/>
          <w:sz w:val="24"/>
        </w:rPr>
      </w:pPr>
      <w:r>
        <w:rPr>
          <w:rFonts w:hint="eastAsia" w:ascii="宋体" w:hAnsi="宋体" w:cs="宋体"/>
          <w:sz w:val="24"/>
        </w:rPr>
        <w:t>6.《消防监督检查规定》中华人民共和国公安部令第107号</w:t>
      </w:r>
    </w:p>
    <w:p w14:paraId="3F8FA3E2">
      <w:pPr>
        <w:spacing w:line="360" w:lineRule="auto"/>
        <w:ind w:firstLine="480" w:firstLineChars="200"/>
        <w:rPr>
          <w:rFonts w:ascii="宋体" w:hAnsi="宋体" w:cs="宋体"/>
          <w:sz w:val="24"/>
        </w:rPr>
      </w:pPr>
      <w:r>
        <w:rPr>
          <w:rFonts w:hint="eastAsia" w:ascii="宋体" w:hAnsi="宋体" w:cs="宋体"/>
          <w:sz w:val="24"/>
        </w:rPr>
        <w:t>7.《城市生活垃圾管理办法》中华人民共和国建设部令第157号</w:t>
      </w:r>
    </w:p>
    <w:p w14:paraId="54B02909">
      <w:pPr>
        <w:spacing w:line="360" w:lineRule="auto"/>
        <w:ind w:firstLine="480" w:firstLineChars="200"/>
        <w:rPr>
          <w:rFonts w:ascii="宋体" w:hAnsi="宋体" w:cs="宋体"/>
          <w:sz w:val="24"/>
        </w:rPr>
      </w:pPr>
      <w:r>
        <w:rPr>
          <w:rFonts w:hint="eastAsia" w:ascii="宋体" w:hAnsi="宋体" w:cs="宋体"/>
          <w:sz w:val="24"/>
        </w:rPr>
        <w:t>8.《政府采购需求管理办法》(财库〔2021〕22号)</w:t>
      </w:r>
    </w:p>
    <w:p w14:paraId="3DAACC4E">
      <w:pPr>
        <w:spacing w:line="360" w:lineRule="auto"/>
        <w:ind w:firstLine="480" w:firstLineChars="200"/>
        <w:rPr>
          <w:rFonts w:ascii="宋体" w:hAnsi="宋体" w:cs="宋体"/>
          <w:sz w:val="24"/>
        </w:rPr>
      </w:pPr>
      <w:r>
        <w:rPr>
          <w:rFonts w:hint="eastAsia" w:ascii="宋体" w:hAnsi="宋体" w:cs="宋体"/>
          <w:sz w:val="24"/>
        </w:rPr>
        <w:t>9.《关于促进政府采购公平竞争优化营商环境的通知》（财库〔2019〕38号）</w:t>
      </w:r>
    </w:p>
    <w:p w14:paraId="06F17DF3">
      <w:pPr>
        <w:spacing w:line="360" w:lineRule="auto"/>
        <w:ind w:firstLine="480" w:firstLineChars="200"/>
        <w:rPr>
          <w:rFonts w:ascii="宋体" w:hAnsi="宋体" w:cs="宋体"/>
          <w:sz w:val="24"/>
        </w:rPr>
      </w:pPr>
      <w:r>
        <w:rPr>
          <w:rFonts w:hint="eastAsia" w:ascii="宋体" w:hAnsi="宋体" w:cs="宋体"/>
          <w:sz w:val="24"/>
        </w:rPr>
        <w:t>10.《关于进一步提高政府采购透明度和采购效率相关事项的通知》（财办库〔2023〕243号）</w:t>
      </w:r>
    </w:p>
    <w:p w14:paraId="15877ADB">
      <w:pPr>
        <w:spacing w:line="360" w:lineRule="auto"/>
        <w:ind w:firstLine="480" w:firstLineChars="200"/>
        <w:rPr>
          <w:rFonts w:eastAsia="仿宋"/>
          <w:sz w:val="24"/>
        </w:rPr>
      </w:pPr>
      <w:r>
        <w:rPr>
          <w:rFonts w:hint="eastAsia" w:ascii="宋体" w:hAnsi="宋体" w:cs="宋体"/>
          <w:sz w:val="24"/>
        </w:rPr>
        <w:t>11.《北京市物业管理条例》（2024修正）</w:t>
      </w:r>
    </w:p>
    <w:p w14:paraId="73F75F9C">
      <w:pPr>
        <w:spacing w:line="360" w:lineRule="auto"/>
        <w:ind w:firstLine="480" w:firstLineChars="200"/>
        <w:rPr>
          <w:rFonts w:ascii="宋体" w:hAnsi="宋体" w:cs="宋体"/>
          <w:sz w:val="24"/>
        </w:rPr>
      </w:pPr>
      <w:r>
        <w:rPr>
          <w:rFonts w:hint="eastAsia" w:ascii="宋体" w:hAnsi="宋体" w:cs="宋体"/>
          <w:sz w:val="24"/>
        </w:rPr>
        <w:t>12.《北京市财政局关于印发&lt;北京市政府采购负面清单&gt;的通知》（京财采购〔2020〕1345号）</w:t>
      </w:r>
    </w:p>
    <w:p w14:paraId="7D59355F">
      <w:pPr>
        <w:spacing w:line="360" w:lineRule="auto"/>
        <w:ind w:firstLine="480" w:firstLineChars="200"/>
        <w:rPr>
          <w:rFonts w:ascii="宋体" w:hAnsi="宋体" w:cs="宋体"/>
          <w:sz w:val="24"/>
        </w:rPr>
      </w:pPr>
      <w:r>
        <w:rPr>
          <w:rFonts w:hint="eastAsia" w:ascii="宋体" w:hAnsi="宋体" w:cs="宋体"/>
          <w:sz w:val="24"/>
        </w:rPr>
        <w:t>13.《北京市财政局关于落实好政府采购支持中小企业发展的通知》（京财采购〔2022〕1143号）</w:t>
      </w:r>
    </w:p>
    <w:p w14:paraId="4ADE7C05">
      <w:pPr>
        <w:spacing w:line="360" w:lineRule="auto"/>
        <w:ind w:firstLine="480" w:firstLineChars="200"/>
        <w:rPr>
          <w:rFonts w:ascii="宋体" w:hAnsi="宋体" w:cs="宋体"/>
          <w:sz w:val="24"/>
        </w:rPr>
      </w:pPr>
      <w:r>
        <w:rPr>
          <w:rFonts w:hint="eastAsia" w:ascii="宋体" w:hAnsi="宋体" w:cs="宋体"/>
          <w:sz w:val="24"/>
        </w:rPr>
        <w:t>14.《北京市教育委员会关于&lt;印发北京高校标准化公寓、食堂和物业标准（2016版）进一步推进高校后勤标准化建设工作&gt;的通知》（京教勤〔2016〕6号）</w:t>
      </w:r>
    </w:p>
    <w:p w14:paraId="190AE236">
      <w:pPr>
        <w:spacing w:line="360" w:lineRule="auto"/>
        <w:ind w:firstLine="480" w:firstLineChars="200"/>
        <w:rPr>
          <w:rFonts w:ascii="宋体" w:hAnsi="宋体" w:cs="宋体"/>
          <w:sz w:val="24"/>
        </w:rPr>
      </w:pPr>
      <w:r>
        <w:rPr>
          <w:rFonts w:hint="eastAsia" w:ascii="宋体" w:hAnsi="宋体" w:cs="宋体"/>
          <w:sz w:val="24"/>
        </w:rPr>
        <w:t>15.《北京市教育委员会关于印发&lt;2024年度本市教育系统工程建设领域安全管理工作要点&gt;的通知》（京教建〔2024〕4号）</w:t>
      </w:r>
    </w:p>
    <w:p w14:paraId="1B2387FD">
      <w:pPr>
        <w:snapToGrid w:val="0"/>
        <w:spacing w:line="360" w:lineRule="auto"/>
        <w:ind w:firstLine="480" w:firstLineChars="200"/>
        <w:rPr>
          <w:rFonts w:ascii="宋体" w:hAnsi="宋体" w:cs="宋体"/>
          <w:sz w:val="24"/>
        </w:rPr>
      </w:pPr>
      <w:r>
        <w:rPr>
          <w:rFonts w:hint="eastAsia" w:ascii="宋体" w:hAnsi="宋体" w:cs="宋体"/>
          <w:sz w:val="24"/>
        </w:rPr>
        <w:t>16.《北京市教育委员会北京市消防救援总队转发教育部办公厅国家消防救援局办公室关于印发&lt;中小学校、幼儿园消防安全十项规定&gt;的通知》（京教勤〔2024〕10号）</w:t>
      </w:r>
    </w:p>
    <w:p w14:paraId="71C4B94A">
      <w:pPr>
        <w:spacing w:line="360" w:lineRule="auto"/>
        <w:ind w:firstLine="480" w:firstLineChars="200"/>
        <w:rPr>
          <w:rFonts w:ascii="宋体" w:hAnsi="宋体" w:cs="宋体"/>
          <w:sz w:val="24"/>
        </w:rPr>
      </w:pPr>
      <w:r>
        <w:rPr>
          <w:rFonts w:hint="eastAsia" w:ascii="宋体" w:hAnsi="宋体" w:cs="宋体"/>
          <w:sz w:val="24"/>
        </w:rPr>
        <w:t>17.《北京市机关事务管理局北京市财政局等六部门关于印发&lt;北京市节约型机关创建行动方案&gt;的通知》（京机管发〔2020〕15号）</w:t>
      </w:r>
    </w:p>
    <w:p w14:paraId="48BB3140">
      <w:pPr>
        <w:spacing w:line="360" w:lineRule="auto"/>
        <w:ind w:firstLine="480" w:firstLineChars="200"/>
        <w:rPr>
          <w:rFonts w:ascii="宋体" w:hAnsi="宋体" w:cs="宋体"/>
          <w:sz w:val="24"/>
        </w:rPr>
      </w:pPr>
      <w:r>
        <w:rPr>
          <w:rFonts w:hint="eastAsia" w:ascii="宋体" w:hAnsi="宋体" w:cs="宋体"/>
          <w:sz w:val="24"/>
        </w:rPr>
        <w:t>18.《北京市住建委关于印发&lt;房屋建筑安全管理员管理办法&gt;的通知》（京建法〔2017〕30号）</w:t>
      </w:r>
    </w:p>
    <w:p w14:paraId="046899C8">
      <w:pPr>
        <w:spacing w:line="360" w:lineRule="auto"/>
        <w:ind w:firstLine="480" w:firstLineChars="200"/>
        <w:rPr>
          <w:rFonts w:ascii="宋体" w:hAnsi="宋体" w:cs="宋体"/>
          <w:sz w:val="24"/>
        </w:rPr>
      </w:pPr>
      <w:r>
        <w:rPr>
          <w:rFonts w:hint="eastAsia" w:ascii="宋体" w:hAnsi="宋体" w:cs="宋体"/>
          <w:sz w:val="24"/>
        </w:rPr>
        <w:t>19.《北京市发展改革委北京市城市管理委员会等四部门&lt;关于印发北京市党政机关、国有企事业单位办公建筑外观照明强化节能导则(试行)&gt;的通知》（京发改〔2022〕88号）</w:t>
      </w:r>
    </w:p>
    <w:p w14:paraId="7CA03779">
      <w:pPr>
        <w:spacing w:line="360" w:lineRule="auto"/>
        <w:ind w:firstLine="480" w:firstLineChars="200"/>
        <w:rPr>
          <w:rFonts w:ascii="宋体" w:hAnsi="宋体" w:cs="宋体"/>
          <w:sz w:val="24"/>
        </w:rPr>
      </w:pPr>
      <w:r>
        <w:rPr>
          <w:rFonts w:hint="eastAsia" w:ascii="宋体" w:hAnsi="宋体" w:cs="宋体"/>
          <w:sz w:val="24"/>
        </w:rPr>
        <w:t>20.《北京市发展改革委北京市住建委等四部门&lt;关于印发北京市公共场所室内温度控制导则（试行）&gt;的通知》（京发改〔2022〕1673号）</w:t>
      </w:r>
    </w:p>
    <w:p w14:paraId="3ABEE63B">
      <w:pPr>
        <w:keepNext/>
        <w:keepLines/>
        <w:snapToGrid w:val="0"/>
        <w:spacing w:before="120" w:after="120" w:line="360" w:lineRule="auto"/>
        <w:ind w:firstLine="482" w:firstLineChars="200"/>
        <w:outlineLvl w:val="1"/>
        <w:rPr>
          <w:rFonts w:ascii="楷体_GB2312" w:eastAsia="楷体"/>
          <w:b/>
          <w:sz w:val="24"/>
        </w:rPr>
      </w:pPr>
      <w:bookmarkStart w:id="8" w:name="_Toc192776011"/>
      <w:r>
        <w:rPr>
          <w:rFonts w:hint="eastAsia" w:ascii="楷体_GB2312" w:eastAsia="楷体"/>
          <w:b/>
          <w:sz w:val="24"/>
        </w:rPr>
        <w:t>（二）国家相关标准</w:t>
      </w:r>
      <w:bookmarkEnd w:id="8"/>
    </w:p>
    <w:p w14:paraId="60CDEC3D">
      <w:pPr>
        <w:snapToGrid w:val="0"/>
        <w:spacing w:line="360" w:lineRule="auto"/>
        <w:ind w:firstLine="480" w:firstLineChars="200"/>
        <w:rPr>
          <w:rFonts w:ascii="宋体" w:hAnsi="宋体" w:cs="宋体"/>
          <w:sz w:val="24"/>
        </w:rPr>
      </w:pPr>
      <w:r>
        <w:rPr>
          <w:rFonts w:hint="eastAsia" w:ascii="宋体" w:hAnsi="宋体" w:cs="宋体"/>
          <w:sz w:val="24"/>
        </w:rPr>
        <w:t>1.国家标准《学校卫生综合评价》GB/T 18205-2000</w:t>
      </w:r>
    </w:p>
    <w:p w14:paraId="4415B9F6">
      <w:pPr>
        <w:snapToGrid w:val="0"/>
        <w:spacing w:line="360" w:lineRule="auto"/>
        <w:ind w:firstLine="480" w:firstLineChars="200"/>
        <w:rPr>
          <w:rFonts w:ascii="宋体" w:hAnsi="宋体" w:cs="宋体"/>
          <w:sz w:val="24"/>
        </w:rPr>
      </w:pPr>
      <w:r>
        <w:rPr>
          <w:rFonts w:hint="eastAsia" w:ascii="宋体" w:hAnsi="宋体" w:cs="宋体"/>
          <w:sz w:val="24"/>
        </w:rPr>
        <w:t>2.国家标准《二次供水设施卫生规范》GB17051-1997</w:t>
      </w:r>
    </w:p>
    <w:p w14:paraId="35288B65">
      <w:pPr>
        <w:snapToGrid w:val="0"/>
        <w:spacing w:line="360" w:lineRule="auto"/>
        <w:ind w:firstLine="480" w:firstLineChars="200"/>
        <w:rPr>
          <w:rFonts w:ascii="宋体" w:hAnsi="宋体" w:cs="宋体"/>
          <w:sz w:val="24"/>
        </w:rPr>
      </w:pPr>
      <w:r>
        <w:rPr>
          <w:rFonts w:hint="eastAsia" w:ascii="宋体" w:hAnsi="宋体" w:cs="宋体"/>
          <w:sz w:val="24"/>
        </w:rPr>
        <w:t>3.国家标准《建筑消防设施的维护管理》GB25201-2010</w:t>
      </w:r>
    </w:p>
    <w:p w14:paraId="0752C011">
      <w:pPr>
        <w:snapToGrid w:val="0"/>
        <w:spacing w:line="360" w:lineRule="auto"/>
        <w:ind w:firstLine="480" w:firstLineChars="200"/>
        <w:rPr>
          <w:rFonts w:ascii="宋体" w:hAnsi="宋体" w:cs="宋体"/>
          <w:sz w:val="24"/>
        </w:rPr>
      </w:pPr>
      <w:r>
        <w:rPr>
          <w:rFonts w:hint="eastAsia" w:ascii="宋体" w:hAnsi="宋体" w:cs="宋体"/>
          <w:sz w:val="24"/>
        </w:rPr>
        <w:t>4.国家标准《公共图书馆服务规范GB/T28220-2023》</w:t>
      </w:r>
    </w:p>
    <w:p w14:paraId="531FD888">
      <w:pPr>
        <w:snapToGrid w:val="0"/>
        <w:spacing w:line="360" w:lineRule="auto"/>
        <w:ind w:firstLine="480" w:firstLineChars="200"/>
        <w:rPr>
          <w:rFonts w:ascii="宋体" w:hAnsi="宋体" w:cs="宋体"/>
          <w:sz w:val="24"/>
        </w:rPr>
      </w:pPr>
      <w:r>
        <w:rPr>
          <w:rFonts w:hint="eastAsia" w:ascii="宋体" w:hAnsi="宋体" w:cs="宋体"/>
          <w:sz w:val="24"/>
        </w:rPr>
        <w:t>5.国家标准《体育场馆公共安全通用要求GB/T22185-2008》</w:t>
      </w:r>
    </w:p>
    <w:p w14:paraId="5C1CF365">
      <w:pPr>
        <w:snapToGrid w:val="0"/>
        <w:spacing w:line="360" w:lineRule="auto"/>
        <w:ind w:firstLine="480" w:firstLineChars="200"/>
        <w:rPr>
          <w:rFonts w:ascii="宋体" w:hAnsi="宋体" w:cs="宋体"/>
          <w:sz w:val="24"/>
        </w:rPr>
      </w:pPr>
      <w:r>
        <w:rPr>
          <w:rFonts w:hint="eastAsia" w:ascii="宋体" w:hAnsi="宋体" w:cs="宋体"/>
          <w:sz w:val="24"/>
        </w:rPr>
        <w:t>6.国家标准《普通高等学校健康教育规范》GB/T 34858-2017</w:t>
      </w:r>
    </w:p>
    <w:p w14:paraId="01D72C5F">
      <w:pPr>
        <w:snapToGrid w:val="0"/>
        <w:spacing w:line="360" w:lineRule="auto"/>
        <w:ind w:firstLine="480" w:firstLineChars="200"/>
        <w:rPr>
          <w:rFonts w:ascii="宋体" w:hAnsi="宋体" w:cs="宋体"/>
          <w:sz w:val="24"/>
        </w:rPr>
      </w:pPr>
      <w:r>
        <w:rPr>
          <w:rFonts w:hint="eastAsia" w:ascii="宋体" w:hAnsi="宋体" w:cs="宋体"/>
          <w:sz w:val="24"/>
        </w:rPr>
        <w:t>7.国家标准《中小学合成材料面层运动场地》GB36246-2018</w:t>
      </w:r>
    </w:p>
    <w:p w14:paraId="0A69E7AB">
      <w:pPr>
        <w:snapToGrid w:val="0"/>
        <w:spacing w:line="360" w:lineRule="auto"/>
        <w:ind w:firstLine="480" w:firstLineChars="200"/>
        <w:rPr>
          <w:rFonts w:ascii="宋体" w:hAnsi="宋体" w:cs="宋体"/>
          <w:sz w:val="24"/>
        </w:rPr>
      </w:pPr>
      <w:r>
        <w:rPr>
          <w:rFonts w:hint="eastAsia" w:ascii="宋体" w:hAnsi="宋体" w:cs="宋体"/>
          <w:sz w:val="24"/>
        </w:rPr>
        <w:t>8.国家标准《中小学校建筑设计规范》GBJ99-1986</w:t>
      </w:r>
    </w:p>
    <w:p w14:paraId="4D966881">
      <w:pPr>
        <w:snapToGrid w:val="0"/>
        <w:spacing w:line="360" w:lineRule="auto"/>
        <w:ind w:firstLine="480" w:firstLineChars="200"/>
        <w:rPr>
          <w:rFonts w:ascii="宋体" w:hAnsi="宋体" w:cs="宋体"/>
          <w:sz w:val="24"/>
        </w:rPr>
      </w:pPr>
      <w:r>
        <w:rPr>
          <w:rFonts w:hint="eastAsia" w:ascii="宋体" w:hAnsi="宋体" w:cs="宋体"/>
          <w:sz w:val="24"/>
        </w:rPr>
        <w:t>9.国家标准《学生宿舍卫生要求及管理规范》GB 31177-2014</w:t>
      </w:r>
    </w:p>
    <w:p w14:paraId="3E6C9B07">
      <w:pPr>
        <w:snapToGrid w:val="0"/>
        <w:spacing w:line="360" w:lineRule="auto"/>
        <w:ind w:firstLine="480" w:firstLineChars="200"/>
        <w:rPr>
          <w:rFonts w:ascii="宋体" w:hAnsi="宋体" w:cs="宋体"/>
          <w:sz w:val="24"/>
        </w:rPr>
      </w:pPr>
      <w:r>
        <w:rPr>
          <w:rFonts w:hint="eastAsia" w:ascii="宋体" w:hAnsi="宋体" w:cs="宋体"/>
          <w:sz w:val="24"/>
        </w:rPr>
        <w:t>10.国家标准《学校卫生综合评价》GB/T 18205-2012</w:t>
      </w:r>
    </w:p>
    <w:p w14:paraId="443A1353">
      <w:pPr>
        <w:snapToGrid w:val="0"/>
        <w:spacing w:line="360" w:lineRule="auto"/>
        <w:ind w:firstLine="480" w:firstLineChars="200"/>
        <w:rPr>
          <w:rFonts w:ascii="宋体" w:hAnsi="宋体" w:cs="宋体"/>
          <w:sz w:val="24"/>
        </w:rPr>
      </w:pPr>
      <w:r>
        <w:rPr>
          <w:rFonts w:hint="eastAsia" w:ascii="宋体" w:hAnsi="宋体" w:cs="宋体"/>
          <w:sz w:val="24"/>
        </w:rPr>
        <w:t>11.国家标准《中小学校设计规范》GB 50099-2011</w:t>
      </w:r>
    </w:p>
    <w:p w14:paraId="602E4457">
      <w:pPr>
        <w:snapToGrid w:val="0"/>
        <w:spacing w:line="360" w:lineRule="auto"/>
        <w:ind w:firstLine="480" w:firstLineChars="200"/>
        <w:rPr>
          <w:rFonts w:ascii="宋体" w:hAnsi="宋体" w:cs="宋体"/>
          <w:sz w:val="24"/>
        </w:rPr>
      </w:pPr>
      <w:r>
        <w:rPr>
          <w:rFonts w:hint="eastAsia" w:ascii="宋体" w:hAnsi="宋体" w:cs="宋体"/>
          <w:sz w:val="24"/>
        </w:rPr>
        <w:t>12.国家标准《机关办公区域物业服务监管和评价规范》GBT 43542-2023</w:t>
      </w:r>
    </w:p>
    <w:p w14:paraId="1B9EC3B3">
      <w:pPr>
        <w:snapToGrid w:val="0"/>
        <w:spacing w:line="360" w:lineRule="auto"/>
        <w:ind w:firstLine="480" w:firstLineChars="200"/>
        <w:rPr>
          <w:rFonts w:ascii="宋体" w:hAnsi="宋体" w:cs="宋体"/>
          <w:sz w:val="24"/>
        </w:rPr>
      </w:pPr>
      <w:r>
        <w:rPr>
          <w:rFonts w:hint="eastAsia" w:ascii="宋体" w:hAnsi="宋体" w:cs="宋体"/>
          <w:sz w:val="24"/>
        </w:rPr>
        <w:t>13.国家标准《二次供水设施卫生规范》GB17051-1997</w:t>
      </w:r>
    </w:p>
    <w:p w14:paraId="6E2B1277">
      <w:pPr>
        <w:snapToGrid w:val="0"/>
        <w:spacing w:line="360" w:lineRule="auto"/>
        <w:ind w:firstLine="480" w:firstLineChars="200"/>
        <w:rPr>
          <w:rFonts w:ascii="宋体" w:hAnsi="宋体" w:cs="宋体"/>
          <w:sz w:val="24"/>
        </w:rPr>
      </w:pPr>
      <w:r>
        <w:rPr>
          <w:rFonts w:hint="eastAsia" w:ascii="宋体" w:hAnsi="宋体" w:cs="宋体"/>
          <w:sz w:val="24"/>
        </w:rPr>
        <w:t>14.国家标准《建筑消防设施的维护管理》GB25201-2010</w:t>
      </w:r>
    </w:p>
    <w:p w14:paraId="5B133D24">
      <w:pPr>
        <w:snapToGrid w:val="0"/>
        <w:spacing w:line="360" w:lineRule="auto"/>
        <w:ind w:firstLine="480" w:firstLineChars="200"/>
        <w:rPr>
          <w:rFonts w:ascii="宋体" w:hAnsi="宋体" w:cs="宋体"/>
          <w:sz w:val="24"/>
        </w:rPr>
      </w:pPr>
      <w:r>
        <w:rPr>
          <w:rFonts w:hint="eastAsia" w:ascii="宋体" w:hAnsi="宋体" w:cs="宋体"/>
          <w:sz w:val="24"/>
        </w:rPr>
        <w:t>15.国家标准《空调通风系统清洗规范》GB19210-2003</w:t>
      </w:r>
    </w:p>
    <w:p w14:paraId="205BEC05">
      <w:pPr>
        <w:snapToGrid w:val="0"/>
        <w:spacing w:line="360" w:lineRule="auto"/>
        <w:ind w:firstLine="480" w:firstLineChars="200"/>
        <w:rPr>
          <w:rFonts w:ascii="宋体" w:hAnsi="宋体" w:cs="宋体"/>
          <w:sz w:val="24"/>
        </w:rPr>
      </w:pPr>
      <w:r>
        <w:rPr>
          <w:rFonts w:hint="eastAsia" w:ascii="宋体" w:hAnsi="宋体" w:cs="宋体"/>
          <w:sz w:val="24"/>
        </w:rPr>
        <w:t>16.国家标准《空调通风系统运行管理标准》GB50365-2019</w:t>
      </w:r>
    </w:p>
    <w:p w14:paraId="69F980E5">
      <w:pPr>
        <w:snapToGrid w:val="0"/>
        <w:spacing w:line="360" w:lineRule="auto"/>
        <w:ind w:firstLine="480" w:firstLineChars="200"/>
        <w:rPr>
          <w:rFonts w:ascii="宋体" w:hAnsi="宋体" w:cs="宋体"/>
          <w:sz w:val="24"/>
        </w:rPr>
      </w:pPr>
      <w:r>
        <w:rPr>
          <w:rFonts w:hint="eastAsia" w:ascii="宋体" w:hAnsi="宋体" w:cs="宋体"/>
          <w:sz w:val="24"/>
        </w:rPr>
        <w:t>17.特种设备安全技术规范《电梯维护保养规则》TSG T5002-2017</w:t>
      </w:r>
    </w:p>
    <w:p w14:paraId="6CA934B7">
      <w:pPr>
        <w:snapToGrid w:val="0"/>
        <w:spacing w:line="360" w:lineRule="auto"/>
        <w:ind w:firstLine="480" w:firstLineChars="200"/>
        <w:rPr>
          <w:rFonts w:ascii="宋体" w:hAnsi="宋体" w:cs="宋体"/>
          <w:sz w:val="24"/>
        </w:rPr>
      </w:pPr>
      <w:r>
        <w:rPr>
          <w:rFonts w:hint="eastAsia" w:ascii="宋体" w:hAnsi="宋体" w:cs="宋体"/>
          <w:sz w:val="24"/>
        </w:rPr>
        <w:t xml:space="preserve">18.国家标准《火灾自动报警系统施工及验收规范》GB50166-2007 </w:t>
      </w:r>
    </w:p>
    <w:p w14:paraId="62DE4C8C">
      <w:pPr>
        <w:snapToGrid w:val="0"/>
        <w:spacing w:line="360" w:lineRule="auto"/>
        <w:ind w:firstLine="480" w:firstLineChars="200"/>
        <w:rPr>
          <w:rFonts w:ascii="宋体" w:hAnsi="宋体" w:cs="宋体"/>
          <w:sz w:val="24"/>
        </w:rPr>
      </w:pPr>
      <w:r>
        <w:rPr>
          <w:rFonts w:hint="eastAsia" w:ascii="宋体" w:hAnsi="宋体" w:cs="宋体"/>
          <w:sz w:val="24"/>
        </w:rPr>
        <w:t>19.国家标准《泡沫灭火系统施工及验收规范》GB50281-2006</w:t>
      </w:r>
    </w:p>
    <w:p w14:paraId="7D8B3D6A">
      <w:pPr>
        <w:snapToGrid w:val="0"/>
        <w:spacing w:line="360" w:lineRule="auto"/>
        <w:ind w:firstLine="480" w:firstLineChars="200"/>
        <w:rPr>
          <w:rFonts w:ascii="宋体" w:hAnsi="宋体" w:cs="宋体"/>
          <w:sz w:val="24"/>
        </w:rPr>
      </w:pPr>
      <w:r>
        <w:rPr>
          <w:rFonts w:hint="eastAsia" w:ascii="宋体" w:hAnsi="宋体" w:cs="宋体"/>
          <w:sz w:val="24"/>
        </w:rPr>
        <w:t>20.国家标准《生活垃圾分类标志》GB/T 19095-2019</w:t>
      </w:r>
    </w:p>
    <w:p w14:paraId="64E628A6">
      <w:pPr>
        <w:snapToGrid w:val="0"/>
        <w:spacing w:line="360" w:lineRule="auto"/>
        <w:ind w:firstLine="480" w:firstLineChars="200"/>
        <w:rPr>
          <w:rFonts w:ascii="宋体" w:hAnsi="宋体" w:cs="宋体"/>
          <w:sz w:val="24"/>
        </w:rPr>
      </w:pPr>
      <w:r>
        <w:rPr>
          <w:rFonts w:hint="eastAsia" w:ascii="宋体" w:hAnsi="宋体" w:cs="宋体"/>
          <w:sz w:val="24"/>
        </w:rPr>
        <w:t>21.国家标准《道路交通标志和标线》GB5768.2-2022</w:t>
      </w:r>
    </w:p>
    <w:p w14:paraId="67835E9A">
      <w:pPr>
        <w:snapToGrid w:val="0"/>
        <w:spacing w:line="360" w:lineRule="auto"/>
        <w:ind w:firstLine="480" w:firstLineChars="200"/>
        <w:rPr>
          <w:rFonts w:ascii="宋体" w:hAnsi="宋体" w:cs="宋体"/>
          <w:sz w:val="24"/>
        </w:rPr>
      </w:pPr>
      <w:r>
        <w:rPr>
          <w:rFonts w:hint="eastAsia" w:ascii="宋体" w:hAnsi="宋体" w:cs="宋体"/>
          <w:sz w:val="24"/>
        </w:rPr>
        <w:t>22.国家标准《室内空气质量标准》GB／T 18883-2002</w:t>
      </w:r>
    </w:p>
    <w:p w14:paraId="3A5279C2">
      <w:pPr>
        <w:snapToGrid w:val="0"/>
        <w:spacing w:line="360" w:lineRule="auto"/>
        <w:ind w:firstLine="480" w:firstLineChars="200"/>
        <w:rPr>
          <w:rFonts w:ascii="宋体" w:hAnsi="宋体" w:cs="宋体"/>
          <w:sz w:val="24"/>
        </w:rPr>
      </w:pPr>
      <w:r>
        <w:rPr>
          <w:rFonts w:hint="eastAsia" w:ascii="宋体" w:hAnsi="宋体" w:cs="宋体"/>
          <w:sz w:val="24"/>
        </w:rPr>
        <w:t>23.国家标准《工业锅炉水质》GB/T1576-2018</w:t>
      </w:r>
    </w:p>
    <w:p w14:paraId="6696999F">
      <w:pPr>
        <w:snapToGrid w:val="0"/>
        <w:spacing w:line="360" w:lineRule="auto"/>
        <w:ind w:firstLine="480" w:firstLineChars="200"/>
        <w:jc w:val="left"/>
        <w:rPr>
          <w:rFonts w:ascii="宋体" w:hAnsi="宋体" w:cs="宋体"/>
          <w:sz w:val="24"/>
        </w:rPr>
      </w:pPr>
      <w:r>
        <w:rPr>
          <w:rFonts w:hint="eastAsia" w:ascii="宋体" w:hAnsi="宋体" w:cs="宋体"/>
          <w:sz w:val="24"/>
        </w:rPr>
        <w:t>24.国家标准《公共场所设计卫生规范 第3部分：人工游泳场所GB 37489.3-2019》</w:t>
      </w:r>
    </w:p>
    <w:p w14:paraId="704BDF2E">
      <w:pPr>
        <w:keepNext/>
        <w:keepLines/>
        <w:snapToGrid w:val="0"/>
        <w:spacing w:before="120" w:after="120" w:line="360" w:lineRule="auto"/>
        <w:ind w:firstLine="482" w:firstLineChars="200"/>
        <w:outlineLvl w:val="1"/>
        <w:rPr>
          <w:rFonts w:ascii="楷体_GB2312" w:eastAsia="楷体"/>
          <w:b/>
          <w:sz w:val="24"/>
        </w:rPr>
      </w:pPr>
      <w:bookmarkStart w:id="9" w:name="_Toc192776012"/>
      <w:r>
        <w:rPr>
          <w:rFonts w:hint="eastAsia" w:ascii="楷体_GB2312" w:eastAsia="楷体"/>
          <w:b/>
          <w:sz w:val="24"/>
        </w:rPr>
        <w:t>（三）北京市相关标准</w:t>
      </w:r>
      <w:bookmarkEnd w:id="9"/>
    </w:p>
    <w:p w14:paraId="4C8C7E18">
      <w:pPr>
        <w:adjustRightInd w:val="0"/>
        <w:snapToGrid w:val="0"/>
        <w:spacing w:line="360" w:lineRule="auto"/>
        <w:ind w:firstLine="482" w:firstLineChars="200"/>
        <w:rPr>
          <w:rFonts w:ascii="宋体" w:hAnsi="宋体" w:cs="宋体"/>
          <w:b/>
          <w:bCs/>
          <w:sz w:val="24"/>
        </w:rPr>
      </w:pPr>
      <w:r>
        <w:rPr>
          <w:rFonts w:ascii="宋体" w:hAnsi="宋体" w:cs="宋体"/>
          <w:b/>
          <w:bCs/>
          <w:sz w:val="24"/>
        </w:rPr>
        <w:t>1.物业</w:t>
      </w:r>
    </w:p>
    <w:p w14:paraId="52AF7523">
      <w:pPr>
        <w:adjustRightInd w:val="0"/>
        <w:snapToGrid w:val="0"/>
        <w:spacing w:line="360" w:lineRule="auto"/>
        <w:ind w:firstLine="480" w:firstLineChars="200"/>
        <w:rPr>
          <w:rFonts w:ascii="宋体" w:hAnsi="宋体" w:cs="宋体"/>
          <w:sz w:val="24"/>
        </w:rPr>
      </w:pPr>
      <w:r>
        <w:rPr>
          <w:rFonts w:ascii="宋体" w:hAnsi="宋体" w:cs="宋体"/>
          <w:sz w:val="24"/>
        </w:rPr>
        <w:t>1.1北京市地方标准《住宅物业服务标准》DB11/T751-2010</w:t>
      </w:r>
    </w:p>
    <w:p w14:paraId="26017A8E">
      <w:pPr>
        <w:adjustRightInd w:val="0"/>
        <w:snapToGrid w:val="0"/>
        <w:spacing w:line="360" w:lineRule="auto"/>
        <w:ind w:firstLine="482" w:firstLineChars="200"/>
        <w:rPr>
          <w:rFonts w:ascii="宋体" w:hAnsi="宋体" w:cs="宋体"/>
          <w:b/>
          <w:bCs/>
          <w:sz w:val="24"/>
        </w:rPr>
      </w:pPr>
      <w:r>
        <w:rPr>
          <w:rFonts w:ascii="宋体" w:hAnsi="宋体" w:cs="宋体"/>
          <w:b/>
          <w:bCs/>
          <w:sz w:val="24"/>
        </w:rPr>
        <w:t>2.保安</w:t>
      </w:r>
    </w:p>
    <w:p w14:paraId="5145350B">
      <w:pPr>
        <w:adjustRightInd w:val="0"/>
        <w:snapToGrid w:val="0"/>
        <w:spacing w:line="360" w:lineRule="auto"/>
        <w:ind w:firstLine="480" w:firstLineChars="200"/>
        <w:rPr>
          <w:rFonts w:ascii="宋体" w:hAnsi="宋体" w:cs="宋体"/>
          <w:sz w:val="24"/>
        </w:rPr>
      </w:pPr>
      <w:r>
        <w:rPr>
          <w:rFonts w:ascii="宋体" w:hAnsi="宋体" w:cs="宋体"/>
          <w:sz w:val="24"/>
        </w:rPr>
        <w:t xml:space="preserve">2.1北京市地方标准《保安服务规范 </w:t>
      </w:r>
      <w:r>
        <w:rPr>
          <w:rFonts w:hint="eastAsia" w:ascii="宋体" w:hAnsi="宋体" w:cs="宋体"/>
          <w:sz w:val="24"/>
        </w:rPr>
        <w:t>住宅物业》</w:t>
      </w:r>
      <w:r>
        <w:rPr>
          <w:rFonts w:ascii="宋体" w:hAnsi="宋体" w:cs="宋体"/>
          <w:sz w:val="24"/>
        </w:rPr>
        <w:t>DB11/T 487-2022</w:t>
      </w:r>
    </w:p>
    <w:p w14:paraId="52CED373">
      <w:pPr>
        <w:adjustRightInd w:val="0"/>
        <w:snapToGrid w:val="0"/>
        <w:spacing w:line="360" w:lineRule="auto"/>
        <w:ind w:firstLine="482" w:firstLineChars="200"/>
        <w:rPr>
          <w:rFonts w:ascii="宋体" w:hAnsi="宋体" w:cs="宋体"/>
          <w:b/>
          <w:bCs/>
          <w:sz w:val="24"/>
        </w:rPr>
      </w:pPr>
      <w:r>
        <w:rPr>
          <w:rFonts w:ascii="宋体" w:hAnsi="宋体" w:cs="宋体"/>
          <w:b/>
          <w:bCs/>
          <w:sz w:val="24"/>
        </w:rPr>
        <w:t>3.给排水</w:t>
      </w:r>
    </w:p>
    <w:p w14:paraId="7CDFFA3E">
      <w:pPr>
        <w:adjustRightInd w:val="0"/>
        <w:snapToGrid w:val="0"/>
        <w:spacing w:line="360" w:lineRule="auto"/>
        <w:ind w:firstLine="480" w:firstLineChars="200"/>
        <w:rPr>
          <w:rFonts w:ascii="宋体" w:hAnsi="宋体" w:cs="宋体"/>
          <w:sz w:val="24"/>
        </w:rPr>
      </w:pPr>
      <w:r>
        <w:rPr>
          <w:rFonts w:ascii="宋体" w:hAnsi="宋体" w:cs="宋体"/>
          <w:sz w:val="24"/>
        </w:rPr>
        <w:t>3.1北京市地方标准《住宅二次供水设施设备运行维护技术规程</w:t>
      </w:r>
      <w:r>
        <w:rPr>
          <w:rFonts w:hint="eastAsia" w:ascii="宋体" w:hAnsi="宋体" w:cs="宋体"/>
          <w:sz w:val="24"/>
        </w:rPr>
        <w:t>》</w:t>
      </w:r>
      <w:r>
        <w:rPr>
          <w:rFonts w:ascii="宋体" w:hAnsi="宋体" w:cs="宋体"/>
          <w:sz w:val="24"/>
        </w:rPr>
        <w:t>DB11/T</w:t>
      </w:r>
      <w:r>
        <w:rPr>
          <w:rFonts w:hint="eastAsia" w:ascii="宋体" w:hAnsi="宋体" w:cs="宋体"/>
          <w:sz w:val="24"/>
        </w:rPr>
        <w:t xml:space="preserve"> </w:t>
      </w:r>
      <w:r>
        <w:rPr>
          <w:rFonts w:ascii="宋体" w:hAnsi="宋体" w:cs="宋体"/>
          <w:sz w:val="24"/>
        </w:rPr>
        <w:t>118-2016，3.2北京市地方标准《公共建筑给水排水系统节能运行管理技术规程》DB11/T</w:t>
      </w:r>
      <w:r>
        <w:rPr>
          <w:rFonts w:hint="eastAsia" w:ascii="宋体" w:hAnsi="宋体" w:cs="宋体"/>
          <w:sz w:val="24"/>
        </w:rPr>
        <w:t xml:space="preserve"> </w:t>
      </w:r>
      <w:r>
        <w:rPr>
          <w:rFonts w:ascii="宋体" w:hAnsi="宋体" w:cs="宋体"/>
          <w:sz w:val="24"/>
        </w:rPr>
        <w:t>1248-2015</w:t>
      </w:r>
    </w:p>
    <w:p w14:paraId="27A93DF0">
      <w:pPr>
        <w:adjustRightInd w:val="0"/>
        <w:snapToGrid w:val="0"/>
        <w:spacing w:line="360" w:lineRule="auto"/>
        <w:ind w:firstLine="480" w:firstLineChars="200"/>
        <w:rPr>
          <w:rFonts w:ascii="宋体" w:hAnsi="宋体" w:cs="宋体"/>
          <w:sz w:val="24"/>
        </w:rPr>
      </w:pPr>
      <w:r>
        <w:rPr>
          <w:rFonts w:ascii="宋体" w:hAnsi="宋体" w:cs="宋体"/>
          <w:sz w:val="24"/>
        </w:rPr>
        <w:t>3.3北京市地方标准《城镇排水泵站运行与维护技术规程》DB11/T 2113-2023</w:t>
      </w:r>
    </w:p>
    <w:p w14:paraId="78EB5F26">
      <w:pPr>
        <w:adjustRightInd w:val="0"/>
        <w:snapToGrid w:val="0"/>
        <w:spacing w:line="360" w:lineRule="auto"/>
        <w:ind w:firstLine="480" w:firstLineChars="200"/>
        <w:rPr>
          <w:rFonts w:ascii="宋体" w:hAnsi="宋体" w:cs="宋体"/>
          <w:sz w:val="24"/>
        </w:rPr>
      </w:pPr>
      <w:r>
        <w:rPr>
          <w:rFonts w:ascii="宋体" w:hAnsi="宋体" w:cs="宋体"/>
          <w:sz w:val="24"/>
        </w:rPr>
        <w:t>3.4北京市地方标准《城镇排水管道检查技术规程》DB11/T1594-2018</w:t>
      </w:r>
    </w:p>
    <w:p w14:paraId="33F1DB0F">
      <w:pPr>
        <w:adjustRightInd w:val="0"/>
        <w:snapToGrid w:val="0"/>
        <w:spacing w:line="360" w:lineRule="auto"/>
        <w:ind w:firstLine="480" w:firstLineChars="200"/>
        <w:rPr>
          <w:rFonts w:ascii="宋体" w:hAnsi="宋体" w:cs="宋体"/>
          <w:sz w:val="24"/>
        </w:rPr>
      </w:pPr>
      <w:r>
        <w:rPr>
          <w:rFonts w:ascii="宋体" w:hAnsi="宋体" w:cs="宋体"/>
          <w:sz w:val="24"/>
        </w:rPr>
        <w:t>3.5北京市地方标准《城镇排水管道维护技术规程》DB11/T1590-2018</w:t>
      </w:r>
    </w:p>
    <w:p w14:paraId="4AF2F885">
      <w:pPr>
        <w:adjustRightInd w:val="0"/>
        <w:snapToGrid w:val="0"/>
        <w:spacing w:line="360" w:lineRule="auto"/>
        <w:ind w:firstLine="482" w:firstLineChars="200"/>
        <w:rPr>
          <w:rFonts w:ascii="宋体" w:hAnsi="宋体" w:cs="宋体"/>
          <w:b/>
          <w:bCs/>
          <w:sz w:val="24"/>
        </w:rPr>
      </w:pPr>
      <w:r>
        <w:rPr>
          <w:rFonts w:ascii="宋体" w:hAnsi="宋体" w:cs="宋体"/>
          <w:b/>
          <w:bCs/>
          <w:sz w:val="24"/>
        </w:rPr>
        <w:t>4.空调维护</w:t>
      </w:r>
    </w:p>
    <w:p w14:paraId="538AF113">
      <w:pPr>
        <w:adjustRightInd w:val="0"/>
        <w:snapToGrid w:val="0"/>
        <w:spacing w:line="360" w:lineRule="auto"/>
        <w:ind w:firstLine="480" w:firstLineChars="200"/>
        <w:rPr>
          <w:rFonts w:ascii="宋体" w:hAnsi="宋体" w:cs="宋体"/>
          <w:sz w:val="24"/>
        </w:rPr>
      </w:pPr>
      <w:r>
        <w:rPr>
          <w:rFonts w:ascii="宋体" w:hAnsi="宋体" w:cs="宋体"/>
          <w:sz w:val="24"/>
        </w:rPr>
        <w:t>4.1北京市地方标准《公共建筑空调制冷系统节能运行管理技术规程》DB11/T 1130-2014</w:t>
      </w:r>
    </w:p>
    <w:p w14:paraId="3DF9D613">
      <w:pPr>
        <w:adjustRightInd w:val="0"/>
        <w:snapToGrid w:val="0"/>
        <w:spacing w:line="360" w:lineRule="auto"/>
        <w:ind w:firstLine="480" w:firstLineChars="200"/>
        <w:rPr>
          <w:rFonts w:ascii="宋体" w:hAnsi="宋体" w:cs="宋体"/>
          <w:sz w:val="24"/>
        </w:rPr>
      </w:pPr>
      <w:r>
        <w:rPr>
          <w:rFonts w:ascii="宋体" w:hAnsi="宋体" w:cs="宋体"/>
          <w:sz w:val="24"/>
        </w:rPr>
        <w:t>4.2北京市地方标准《集中空调通风系统卫生管理规范》DB11/T 485-2020</w:t>
      </w:r>
    </w:p>
    <w:p w14:paraId="56646E86">
      <w:pPr>
        <w:adjustRightInd w:val="0"/>
        <w:snapToGrid w:val="0"/>
        <w:spacing w:line="360" w:lineRule="auto"/>
        <w:ind w:firstLine="482" w:firstLineChars="200"/>
        <w:rPr>
          <w:rFonts w:ascii="宋体" w:hAnsi="宋体" w:cs="宋体"/>
          <w:b/>
          <w:bCs/>
          <w:sz w:val="24"/>
        </w:rPr>
      </w:pPr>
      <w:r>
        <w:rPr>
          <w:rFonts w:ascii="宋体" w:hAnsi="宋体" w:cs="宋体"/>
          <w:b/>
          <w:bCs/>
          <w:sz w:val="24"/>
        </w:rPr>
        <w:t>5.电梯维护</w:t>
      </w:r>
    </w:p>
    <w:p w14:paraId="0277848A">
      <w:pPr>
        <w:adjustRightInd w:val="0"/>
        <w:snapToGrid w:val="0"/>
        <w:spacing w:line="360" w:lineRule="auto"/>
        <w:ind w:firstLine="480" w:firstLineChars="200"/>
        <w:rPr>
          <w:rFonts w:ascii="宋体" w:hAnsi="宋体" w:cs="宋体"/>
          <w:sz w:val="24"/>
        </w:rPr>
      </w:pPr>
      <w:r>
        <w:rPr>
          <w:rFonts w:ascii="宋体" w:hAnsi="宋体" w:cs="宋体"/>
          <w:sz w:val="24"/>
        </w:rPr>
        <w:t>5.1北京市地方标准《电梯日常维护保养规则》DB11/T 418-2019</w:t>
      </w:r>
    </w:p>
    <w:p w14:paraId="4CBE72E1">
      <w:pPr>
        <w:adjustRightInd w:val="0"/>
        <w:snapToGrid w:val="0"/>
        <w:spacing w:line="360" w:lineRule="auto"/>
        <w:ind w:firstLine="480" w:firstLineChars="200"/>
        <w:rPr>
          <w:rFonts w:ascii="宋体" w:hAnsi="宋体" w:cs="宋体"/>
          <w:sz w:val="24"/>
        </w:rPr>
      </w:pPr>
      <w:r>
        <w:rPr>
          <w:rFonts w:ascii="宋体" w:hAnsi="宋体" w:cs="宋体"/>
          <w:sz w:val="24"/>
        </w:rPr>
        <w:t>5.2北京市地方标准《电梯应急呼叫及应急照明系统技术要求》DB11/T 1656-2019</w:t>
      </w:r>
    </w:p>
    <w:p w14:paraId="6DC63868">
      <w:pPr>
        <w:adjustRightInd w:val="0"/>
        <w:snapToGrid w:val="0"/>
        <w:spacing w:line="360" w:lineRule="auto"/>
        <w:ind w:firstLine="480" w:firstLineChars="200"/>
        <w:rPr>
          <w:rFonts w:ascii="宋体" w:hAnsi="宋体" w:cs="宋体"/>
          <w:sz w:val="24"/>
        </w:rPr>
      </w:pPr>
      <w:r>
        <w:rPr>
          <w:rFonts w:ascii="宋体" w:hAnsi="宋体" w:cs="宋体"/>
          <w:sz w:val="24"/>
        </w:rPr>
        <w:t>5.3北京市地方标准《电梯安装、改造、重大修理和维护保养自检规则》DB11/T 420-2019</w:t>
      </w:r>
    </w:p>
    <w:p w14:paraId="65523A3A">
      <w:pPr>
        <w:adjustRightInd w:val="0"/>
        <w:snapToGrid w:val="0"/>
        <w:spacing w:line="360" w:lineRule="auto"/>
        <w:ind w:firstLine="480" w:firstLineChars="200"/>
        <w:rPr>
          <w:rFonts w:ascii="宋体" w:hAnsi="宋体" w:cs="宋体"/>
          <w:sz w:val="24"/>
        </w:rPr>
      </w:pPr>
      <w:r>
        <w:rPr>
          <w:rFonts w:ascii="宋体" w:hAnsi="宋体" w:cs="宋体"/>
          <w:sz w:val="24"/>
        </w:rPr>
        <w:t>5.4北京市地方标准《</w:t>
      </w:r>
      <w:r>
        <w:rPr>
          <w:rFonts w:hint="eastAsia" w:ascii="宋体" w:hAnsi="宋体" w:cs="宋体"/>
          <w:sz w:val="24"/>
        </w:rPr>
        <w:t>电梯节能监测》</w:t>
      </w:r>
      <w:r>
        <w:rPr>
          <w:rFonts w:ascii="宋体" w:hAnsi="宋体" w:cs="宋体"/>
          <w:sz w:val="24"/>
        </w:rPr>
        <w:t>DB11/T 1161-2015</w:t>
      </w:r>
    </w:p>
    <w:p w14:paraId="1D0645A2">
      <w:pPr>
        <w:adjustRightInd w:val="0"/>
        <w:snapToGrid w:val="0"/>
        <w:spacing w:line="360" w:lineRule="auto"/>
        <w:ind w:firstLine="480" w:firstLineChars="200"/>
        <w:rPr>
          <w:rFonts w:ascii="宋体" w:hAnsi="宋体" w:cs="宋体"/>
          <w:sz w:val="24"/>
        </w:rPr>
      </w:pPr>
      <w:r>
        <w:rPr>
          <w:rFonts w:ascii="宋体" w:hAnsi="宋体" w:cs="宋体"/>
          <w:sz w:val="24"/>
        </w:rPr>
        <w:t>5.5北京市地方标准《在用电梯安全风险评估规范》DB11/T 1520-2022</w:t>
      </w:r>
    </w:p>
    <w:p w14:paraId="625EAA17">
      <w:pPr>
        <w:adjustRightInd w:val="0"/>
        <w:snapToGrid w:val="0"/>
        <w:spacing w:line="360" w:lineRule="auto"/>
        <w:ind w:firstLine="482" w:firstLineChars="200"/>
        <w:rPr>
          <w:rFonts w:ascii="宋体" w:hAnsi="宋体" w:cs="宋体"/>
          <w:b/>
          <w:bCs/>
          <w:sz w:val="24"/>
        </w:rPr>
      </w:pPr>
      <w:r>
        <w:rPr>
          <w:rFonts w:ascii="宋体" w:hAnsi="宋体" w:cs="宋体"/>
          <w:b/>
          <w:bCs/>
          <w:sz w:val="24"/>
        </w:rPr>
        <w:t>6.照明</w:t>
      </w:r>
    </w:p>
    <w:p w14:paraId="4941A0BE">
      <w:pPr>
        <w:adjustRightInd w:val="0"/>
        <w:snapToGrid w:val="0"/>
        <w:spacing w:line="360" w:lineRule="auto"/>
        <w:ind w:firstLine="480" w:firstLineChars="200"/>
        <w:rPr>
          <w:rFonts w:ascii="宋体" w:hAnsi="宋体" w:cs="宋体"/>
          <w:sz w:val="24"/>
        </w:rPr>
      </w:pPr>
      <w:r>
        <w:rPr>
          <w:rFonts w:ascii="宋体" w:hAnsi="宋体" w:cs="宋体"/>
          <w:sz w:val="24"/>
        </w:rPr>
        <w:t>6.1北京市地方标准《公共建筑室内照明系统节能监测》DB11/T 1854-2021</w:t>
      </w:r>
    </w:p>
    <w:p w14:paraId="60A5B55A">
      <w:pPr>
        <w:adjustRightInd w:val="0"/>
        <w:snapToGrid w:val="0"/>
        <w:spacing w:line="360" w:lineRule="auto"/>
        <w:ind w:firstLine="480" w:firstLineChars="200"/>
        <w:rPr>
          <w:rFonts w:ascii="宋体" w:hAnsi="宋体" w:cs="宋体"/>
          <w:sz w:val="24"/>
        </w:rPr>
      </w:pPr>
      <w:r>
        <w:rPr>
          <w:rFonts w:ascii="宋体" w:hAnsi="宋体" w:cs="宋体"/>
          <w:sz w:val="24"/>
        </w:rPr>
        <w:t>6.2北京市地方标准《城市道路照明设施运行维护规范》DB11/T 1876-2021</w:t>
      </w:r>
    </w:p>
    <w:p w14:paraId="23DD15D1">
      <w:pPr>
        <w:adjustRightInd w:val="0"/>
        <w:snapToGrid w:val="0"/>
        <w:spacing w:line="360" w:lineRule="auto"/>
        <w:ind w:firstLine="482" w:firstLineChars="200"/>
        <w:rPr>
          <w:rFonts w:ascii="宋体" w:hAnsi="宋体" w:cs="宋体"/>
          <w:b/>
          <w:bCs/>
          <w:sz w:val="24"/>
        </w:rPr>
      </w:pPr>
      <w:r>
        <w:rPr>
          <w:rFonts w:ascii="宋体" w:hAnsi="宋体" w:cs="宋体"/>
          <w:b/>
          <w:bCs/>
          <w:sz w:val="24"/>
        </w:rPr>
        <w:t>7.消防</w:t>
      </w:r>
    </w:p>
    <w:p w14:paraId="2657ABC9">
      <w:pPr>
        <w:adjustRightInd w:val="0"/>
        <w:snapToGrid w:val="0"/>
        <w:spacing w:line="360" w:lineRule="auto"/>
        <w:ind w:firstLine="480" w:firstLineChars="200"/>
        <w:rPr>
          <w:rFonts w:ascii="宋体" w:hAnsi="宋体" w:cs="宋体"/>
          <w:sz w:val="24"/>
        </w:rPr>
      </w:pPr>
      <w:r>
        <w:rPr>
          <w:rFonts w:ascii="宋体" w:hAnsi="宋体" w:cs="宋体"/>
          <w:sz w:val="24"/>
        </w:rPr>
        <w:t>7.1北京市地方标准《建筑消防设施检测服务规范》DB11/T 3034-2023</w:t>
      </w:r>
    </w:p>
    <w:p w14:paraId="4DFD38E7">
      <w:pPr>
        <w:adjustRightInd w:val="0"/>
        <w:snapToGrid w:val="0"/>
        <w:spacing w:line="360" w:lineRule="auto"/>
        <w:ind w:firstLine="480" w:firstLineChars="200"/>
        <w:rPr>
          <w:rFonts w:ascii="宋体" w:hAnsi="宋体" w:cs="宋体"/>
          <w:sz w:val="24"/>
        </w:rPr>
      </w:pPr>
      <w:r>
        <w:rPr>
          <w:rFonts w:ascii="宋体" w:hAnsi="宋体" w:cs="宋体"/>
          <w:sz w:val="24"/>
        </w:rPr>
        <w:t>7.2北京市地方标准《消防控制室火警处置规范》DB11/T 2104-2023</w:t>
      </w:r>
    </w:p>
    <w:p w14:paraId="2BF57FAE">
      <w:pPr>
        <w:adjustRightInd w:val="0"/>
        <w:snapToGrid w:val="0"/>
        <w:spacing w:line="360" w:lineRule="auto"/>
        <w:ind w:firstLine="482" w:firstLineChars="200"/>
        <w:rPr>
          <w:rFonts w:ascii="宋体" w:hAnsi="宋体" w:cs="宋体"/>
          <w:b/>
          <w:bCs/>
          <w:sz w:val="24"/>
        </w:rPr>
      </w:pPr>
      <w:r>
        <w:rPr>
          <w:rFonts w:ascii="宋体" w:hAnsi="宋体" w:cs="宋体"/>
          <w:b/>
          <w:bCs/>
          <w:sz w:val="24"/>
        </w:rPr>
        <w:t>8.垃圾清运</w:t>
      </w:r>
    </w:p>
    <w:p w14:paraId="70598024">
      <w:pPr>
        <w:adjustRightInd w:val="0"/>
        <w:snapToGrid w:val="0"/>
        <w:spacing w:line="360" w:lineRule="auto"/>
        <w:ind w:firstLine="480" w:firstLineChars="200"/>
        <w:rPr>
          <w:rFonts w:ascii="宋体" w:hAnsi="宋体" w:cs="宋体"/>
          <w:sz w:val="24"/>
        </w:rPr>
      </w:pPr>
      <w:r>
        <w:rPr>
          <w:rFonts w:ascii="宋体" w:hAnsi="宋体" w:cs="宋体"/>
          <w:sz w:val="24"/>
        </w:rPr>
        <w:t>8.1北京市地方标准《生活垃圾收集运输管理规范》DB11/T 354-2023</w:t>
      </w:r>
    </w:p>
    <w:p w14:paraId="72BA8F5E">
      <w:pPr>
        <w:adjustRightInd w:val="0"/>
        <w:snapToGrid w:val="0"/>
        <w:spacing w:line="360" w:lineRule="auto"/>
        <w:ind w:firstLine="480" w:firstLineChars="200"/>
        <w:rPr>
          <w:rFonts w:ascii="宋体" w:hAnsi="宋体" w:cs="宋体"/>
          <w:sz w:val="24"/>
        </w:rPr>
      </w:pPr>
      <w:r>
        <w:rPr>
          <w:rFonts w:ascii="宋体" w:hAnsi="宋体" w:cs="宋体"/>
          <w:sz w:val="24"/>
        </w:rPr>
        <w:t>8.2北京市地方标准《生活垃圾收集运输节能规范》DB11/T 1694-2019</w:t>
      </w:r>
    </w:p>
    <w:p w14:paraId="066BB6EB">
      <w:pPr>
        <w:adjustRightInd w:val="0"/>
        <w:snapToGrid w:val="0"/>
        <w:spacing w:line="360" w:lineRule="auto"/>
        <w:ind w:firstLine="482" w:firstLineChars="200"/>
        <w:rPr>
          <w:rFonts w:ascii="宋体" w:hAnsi="宋体" w:cs="宋体"/>
          <w:b/>
          <w:bCs/>
          <w:sz w:val="24"/>
        </w:rPr>
      </w:pPr>
      <w:r>
        <w:rPr>
          <w:rFonts w:ascii="宋体" w:hAnsi="宋体" w:cs="宋体"/>
          <w:b/>
          <w:bCs/>
          <w:sz w:val="24"/>
        </w:rPr>
        <w:t>9园林绿化</w:t>
      </w:r>
    </w:p>
    <w:p w14:paraId="70A3E204">
      <w:pPr>
        <w:adjustRightInd w:val="0"/>
        <w:snapToGrid w:val="0"/>
        <w:spacing w:line="360" w:lineRule="auto"/>
        <w:ind w:firstLine="480" w:firstLineChars="200"/>
        <w:rPr>
          <w:rFonts w:eastAsia="仿宋"/>
          <w:sz w:val="24"/>
        </w:rPr>
      </w:pPr>
      <w:r>
        <w:rPr>
          <w:rFonts w:ascii="宋体" w:hAnsi="宋体" w:cs="宋体"/>
          <w:sz w:val="24"/>
        </w:rPr>
        <w:t>9.1北京市地方标准《北京城市园林绿化养护管理标准》DB11/T2013-2003‎</w:t>
      </w:r>
    </w:p>
    <w:p w14:paraId="710A764D">
      <w:pPr>
        <w:adjustRightInd w:val="0"/>
        <w:snapToGrid w:val="0"/>
        <w:spacing w:line="360" w:lineRule="auto"/>
        <w:ind w:firstLine="422" w:firstLineChars="200"/>
        <w:rPr>
          <w:rFonts w:ascii="楷体" w:hAnsi="楷体" w:eastAsia="楷体" w:cs="宋体"/>
          <w:b/>
          <w:bCs/>
          <w:szCs w:val="21"/>
        </w:rPr>
      </w:pPr>
      <w:r>
        <w:rPr>
          <w:rFonts w:hint="eastAsia" w:ascii="楷体" w:hAnsi="楷体" w:eastAsia="楷体" w:cs="宋体"/>
          <w:b/>
          <w:bCs/>
          <w:szCs w:val="21"/>
        </w:rPr>
        <w:t>注：服务标准涉及的国家标准及北京市标准有更新的，执行最新标准。</w:t>
      </w:r>
    </w:p>
    <w:p w14:paraId="6846AD83">
      <w:pPr>
        <w:keepNext/>
        <w:keepLines/>
        <w:spacing w:before="10" w:after="10" w:line="360" w:lineRule="auto"/>
        <w:outlineLvl w:val="0"/>
        <w:rPr>
          <w:rFonts w:eastAsia="黑体"/>
          <w:b/>
          <w:kern w:val="44"/>
          <w:sz w:val="24"/>
        </w:rPr>
      </w:pPr>
      <w:r>
        <w:rPr>
          <w:rFonts w:eastAsia="仿宋_GB2312"/>
          <w:sz w:val="24"/>
        </w:rPr>
        <w:br w:type="page"/>
      </w:r>
      <w:bookmarkStart w:id="10" w:name="_Toc192776013"/>
      <w:bookmarkStart w:id="11" w:name="_Toc172215536"/>
      <w:r>
        <w:rPr>
          <w:rFonts w:hint="eastAsia" w:eastAsia="黑体"/>
          <w:b/>
          <w:kern w:val="44"/>
          <w:sz w:val="24"/>
        </w:rPr>
        <w:t>三、项目基本情况</w:t>
      </w:r>
      <w:bookmarkEnd w:id="10"/>
      <w:bookmarkEnd w:id="11"/>
    </w:p>
    <w:p w14:paraId="612A8F49">
      <w:pPr>
        <w:keepNext/>
        <w:keepLines/>
        <w:snapToGrid w:val="0"/>
        <w:spacing w:line="360" w:lineRule="auto"/>
        <w:ind w:firstLine="482" w:firstLineChars="200"/>
        <w:outlineLvl w:val="1"/>
        <w:rPr>
          <w:rFonts w:eastAsia="楷体"/>
          <w:b/>
          <w:sz w:val="24"/>
        </w:rPr>
      </w:pPr>
      <w:bookmarkStart w:id="12" w:name="_Toc172215537"/>
      <w:bookmarkStart w:id="13" w:name="_Toc192776014"/>
      <w:r>
        <w:rPr>
          <w:rFonts w:hint="eastAsia" w:eastAsia="楷体"/>
          <w:b/>
          <w:sz w:val="24"/>
        </w:rPr>
        <w:t>（一）物业情况</w:t>
      </w:r>
      <w:bookmarkEnd w:id="12"/>
      <w:bookmarkEnd w:id="13"/>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4432"/>
      </w:tblGrid>
      <w:tr w14:paraId="6288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2219715C">
            <w:pPr>
              <w:adjustRightInd w:val="0"/>
              <w:snapToGrid w:val="0"/>
              <w:spacing w:line="360" w:lineRule="auto"/>
              <w:rPr>
                <w:rFonts w:ascii="宋体" w:hAnsi="宋体" w:cs="宋体"/>
                <w:sz w:val="24"/>
              </w:rPr>
            </w:pPr>
            <w:r>
              <w:rPr>
                <w:rFonts w:hint="eastAsia" w:ascii="宋体" w:hAnsi="宋体" w:cs="宋体"/>
                <w:sz w:val="24"/>
              </w:rPr>
              <w:t>物业名称</w:t>
            </w:r>
          </w:p>
        </w:tc>
        <w:tc>
          <w:tcPr>
            <w:tcW w:w="4432" w:type="dxa"/>
            <w:noWrap w:val="0"/>
            <w:vAlign w:val="center"/>
          </w:tcPr>
          <w:p w14:paraId="0808DF53">
            <w:pPr>
              <w:adjustRightInd w:val="0"/>
              <w:snapToGrid w:val="0"/>
              <w:spacing w:line="360" w:lineRule="auto"/>
              <w:rPr>
                <w:rFonts w:ascii="宋体" w:hAnsi="宋体" w:cs="宋体"/>
                <w:sz w:val="24"/>
              </w:rPr>
            </w:pPr>
            <w:r>
              <w:rPr>
                <w:rFonts w:hint="eastAsia" w:ascii="宋体" w:hAnsi="宋体" w:cs="宋体"/>
                <w:sz w:val="24"/>
              </w:rPr>
              <w:t>物业地址</w:t>
            </w:r>
          </w:p>
        </w:tc>
      </w:tr>
      <w:tr w14:paraId="16B1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6E1417EA">
            <w:pPr>
              <w:adjustRightInd w:val="0"/>
              <w:snapToGrid w:val="0"/>
              <w:spacing w:line="360" w:lineRule="auto"/>
              <w:rPr>
                <w:rFonts w:ascii="宋体" w:hAnsi="宋体" w:cs="宋体"/>
                <w:sz w:val="24"/>
              </w:rPr>
            </w:pPr>
            <w:r>
              <w:rPr>
                <w:rFonts w:hint="eastAsia" w:ascii="宋体" w:hAnsi="宋体" w:cs="宋体"/>
                <w:sz w:val="24"/>
              </w:rPr>
              <w:t>北京市工业技师学院南校区</w:t>
            </w:r>
          </w:p>
        </w:tc>
        <w:tc>
          <w:tcPr>
            <w:tcW w:w="4432" w:type="dxa"/>
            <w:noWrap w:val="0"/>
            <w:vAlign w:val="center"/>
          </w:tcPr>
          <w:p w14:paraId="2508A20C">
            <w:pPr>
              <w:adjustRightInd w:val="0"/>
              <w:snapToGrid w:val="0"/>
              <w:spacing w:line="360" w:lineRule="auto"/>
              <w:rPr>
                <w:rFonts w:ascii="宋体" w:hAnsi="宋体" w:cs="宋体"/>
                <w:sz w:val="24"/>
              </w:rPr>
            </w:pPr>
            <w:r>
              <w:rPr>
                <w:rFonts w:hint="eastAsia" w:ascii="宋体" w:hAnsi="宋体" w:cs="宋体"/>
                <w:sz w:val="24"/>
              </w:rPr>
              <w:t>朝阳区化工路5</w:t>
            </w:r>
            <w:r>
              <w:rPr>
                <w:rFonts w:ascii="宋体" w:hAnsi="宋体" w:cs="宋体"/>
                <w:sz w:val="24"/>
              </w:rPr>
              <w:t>1</w:t>
            </w:r>
            <w:r>
              <w:rPr>
                <w:rFonts w:hint="eastAsia" w:ascii="宋体" w:hAnsi="宋体" w:cs="宋体"/>
                <w:sz w:val="24"/>
              </w:rPr>
              <w:t>号</w:t>
            </w:r>
          </w:p>
        </w:tc>
      </w:tr>
      <w:tr w14:paraId="5062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39EE53EF">
            <w:pPr>
              <w:adjustRightInd w:val="0"/>
              <w:snapToGrid w:val="0"/>
              <w:spacing w:line="360" w:lineRule="auto"/>
              <w:rPr>
                <w:rFonts w:ascii="宋体" w:hAnsi="宋体" w:cs="宋体"/>
                <w:sz w:val="24"/>
              </w:rPr>
            </w:pPr>
            <w:r>
              <w:rPr>
                <w:rFonts w:hint="eastAsia" w:ascii="宋体" w:hAnsi="宋体" w:cs="宋体"/>
                <w:sz w:val="24"/>
              </w:rPr>
              <w:t>北京市工业技师学院北校区</w:t>
            </w:r>
          </w:p>
        </w:tc>
        <w:tc>
          <w:tcPr>
            <w:tcW w:w="4432" w:type="dxa"/>
            <w:noWrap w:val="0"/>
            <w:vAlign w:val="center"/>
          </w:tcPr>
          <w:p w14:paraId="152E6283">
            <w:pPr>
              <w:adjustRightInd w:val="0"/>
              <w:snapToGrid w:val="0"/>
              <w:spacing w:line="360" w:lineRule="auto"/>
              <w:rPr>
                <w:rFonts w:ascii="宋体" w:hAnsi="宋体" w:cs="宋体"/>
                <w:sz w:val="24"/>
              </w:rPr>
            </w:pPr>
            <w:r>
              <w:rPr>
                <w:rFonts w:hint="eastAsia" w:ascii="宋体" w:hAnsi="宋体" w:cs="宋体"/>
                <w:sz w:val="24"/>
              </w:rPr>
              <w:t>朝阳区化工路甲1号</w:t>
            </w:r>
          </w:p>
        </w:tc>
      </w:tr>
    </w:tbl>
    <w:p w14:paraId="2CEBA058">
      <w:pPr>
        <w:adjustRightInd w:val="0"/>
        <w:snapToGrid w:val="0"/>
        <w:spacing w:line="360" w:lineRule="auto"/>
        <w:rPr>
          <w:rFonts w:ascii="宋体" w:hAnsi="宋体" w:cs="宋体"/>
          <w:sz w:val="24"/>
        </w:rPr>
      </w:pPr>
    </w:p>
    <w:p w14:paraId="4906A094">
      <w:pPr>
        <w:keepNext/>
        <w:keepLines/>
        <w:snapToGrid w:val="0"/>
        <w:spacing w:line="360" w:lineRule="auto"/>
        <w:ind w:firstLine="482" w:firstLineChars="200"/>
        <w:outlineLvl w:val="1"/>
        <w:rPr>
          <w:rFonts w:eastAsia="楷体"/>
          <w:b/>
          <w:sz w:val="24"/>
        </w:rPr>
      </w:pPr>
      <w:bookmarkStart w:id="14" w:name="_Toc172215538"/>
      <w:bookmarkStart w:id="15" w:name="_Toc192776015"/>
      <w:r>
        <w:rPr>
          <w:rFonts w:hint="eastAsia" w:eastAsia="楷体"/>
          <w:b/>
          <w:sz w:val="24"/>
        </w:rPr>
        <w:t>（二）采购人提供</w:t>
      </w:r>
      <w:bookmarkStart w:id="16" w:name="OLE_LINK4"/>
      <w:r>
        <w:rPr>
          <w:rFonts w:hint="eastAsia" w:eastAsia="楷体"/>
          <w:b/>
          <w:sz w:val="24"/>
        </w:rPr>
        <w:t>投标人</w:t>
      </w:r>
      <w:bookmarkEnd w:id="16"/>
      <w:r>
        <w:rPr>
          <w:rFonts w:hint="eastAsia" w:eastAsia="楷体"/>
          <w:b/>
          <w:sz w:val="24"/>
        </w:rPr>
        <w:t>使用的场地、设施、设备、材料等</w:t>
      </w:r>
      <w:bookmarkEnd w:id="14"/>
      <w:bookmarkEnd w:id="15"/>
    </w:p>
    <w:p w14:paraId="38072819">
      <w:pPr>
        <w:adjustRightInd w:val="0"/>
        <w:snapToGrid w:val="0"/>
        <w:spacing w:line="360" w:lineRule="auto"/>
        <w:ind w:firstLine="480" w:firstLineChars="200"/>
        <w:rPr>
          <w:rFonts w:ascii="宋体" w:hAnsi="宋体" w:cs="宋体"/>
          <w:sz w:val="24"/>
        </w:rPr>
      </w:pPr>
      <w:r>
        <w:rPr>
          <w:rFonts w:hint="eastAsia" w:ascii="宋体" w:hAnsi="宋体" w:cs="宋体"/>
          <w:sz w:val="24"/>
        </w:rPr>
        <w:t>采购人拥有与物业管理服务有关的且可以无偿提供给</w:t>
      </w:r>
      <w:r>
        <w:rPr>
          <w:rFonts w:hint="eastAsia" w:eastAsia="楷体"/>
          <w:b/>
          <w:sz w:val="24"/>
        </w:rPr>
        <w:t>投标人</w:t>
      </w:r>
      <w:r>
        <w:rPr>
          <w:rFonts w:hint="eastAsia" w:ascii="宋体" w:hAnsi="宋体" w:cs="宋体"/>
          <w:sz w:val="24"/>
        </w:rPr>
        <w:t>在本项目中使用的设施、设备、材料、场地等如下：</w:t>
      </w:r>
    </w:p>
    <w:p w14:paraId="4A1A3AE9">
      <w:pPr>
        <w:adjustRightInd w:val="0"/>
        <w:snapToGrid w:val="0"/>
        <w:spacing w:line="360" w:lineRule="auto"/>
        <w:ind w:firstLine="480" w:firstLineChars="200"/>
        <w:rPr>
          <w:rFonts w:ascii="宋体" w:hAnsi="宋体" w:cs="宋体"/>
          <w:color w:val="FF0000"/>
          <w:sz w:val="24"/>
        </w:rPr>
      </w:pPr>
      <w:r>
        <w:rPr>
          <w:rFonts w:ascii="宋体" w:hAnsi="宋体" w:cs="宋体"/>
          <w:sz w:val="24"/>
        </w:rPr>
        <w:t>1.</w:t>
      </w:r>
      <w:r>
        <w:rPr>
          <w:rFonts w:hint="eastAsia" w:ascii="宋体" w:hAnsi="宋体" w:cs="宋体"/>
          <w:sz w:val="24"/>
        </w:rPr>
        <w:t>采购人提供办公室一间，室内基本办公家具（办公桌、椅子、文件柜）。办公用品需</w:t>
      </w:r>
      <w:r>
        <w:rPr>
          <w:rFonts w:hint="eastAsia" w:eastAsia="楷体"/>
          <w:b/>
          <w:sz w:val="24"/>
        </w:rPr>
        <w:t>投标人</w:t>
      </w:r>
      <w:r>
        <w:rPr>
          <w:rFonts w:hint="eastAsia" w:ascii="宋体" w:hAnsi="宋体" w:cs="宋体"/>
          <w:sz w:val="24"/>
        </w:rPr>
        <w:t>承担；</w:t>
      </w:r>
    </w:p>
    <w:p w14:paraId="52D1A14F">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采购人可提供的食堂，餐费由</w:t>
      </w:r>
      <w:r>
        <w:rPr>
          <w:rFonts w:hint="eastAsia" w:eastAsia="楷体"/>
          <w:b/>
          <w:sz w:val="24"/>
        </w:rPr>
        <w:t>投标人</w:t>
      </w:r>
      <w:r>
        <w:rPr>
          <w:rFonts w:hint="eastAsia" w:ascii="宋体" w:hAnsi="宋体" w:cs="宋体"/>
          <w:sz w:val="24"/>
        </w:rPr>
        <w:t>自理；</w:t>
      </w:r>
    </w:p>
    <w:p w14:paraId="64D5469C">
      <w:pPr>
        <w:adjustRightInd w:val="0"/>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采购人提供住宿房间1</w:t>
      </w:r>
      <w:r>
        <w:rPr>
          <w:rFonts w:ascii="宋体" w:hAnsi="宋体" w:cs="宋体"/>
          <w:sz w:val="24"/>
        </w:rPr>
        <w:t>0</w:t>
      </w:r>
      <w:r>
        <w:rPr>
          <w:rFonts w:hint="eastAsia" w:ascii="宋体" w:hAnsi="宋体" w:cs="宋体"/>
          <w:sz w:val="24"/>
        </w:rPr>
        <w:t>间，共计床位数量4</w:t>
      </w:r>
      <w:r>
        <w:rPr>
          <w:rFonts w:ascii="宋体" w:hAnsi="宋体" w:cs="宋体"/>
          <w:sz w:val="24"/>
        </w:rPr>
        <w:t>1</w:t>
      </w:r>
      <w:r>
        <w:rPr>
          <w:rFonts w:hint="eastAsia" w:ascii="宋体" w:hAnsi="宋体" w:cs="宋体"/>
          <w:sz w:val="24"/>
        </w:rPr>
        <w:t>个、房间内有床、暖气、空调等基本设施；</w:t>
      </w:r>
    </w:p>
    <w:p w14:paraId="7FDCBA89">
      <w:pPr>
        <w:adjustRightInd w:val="0"/>
        <w:snapToGrid w:val="0"/>
        <w:spacing w:line="360" w:lineRule="auto"/>
        <w:ind w:firstLine="480" w:firstLineChars="200"/>
        <w:rPr>
          <w:rFonts w:ascii="宋体" w:hAnsi="宋体" w:cs="宋体"/>
          <w:color w:val="000000"/>
          <w:sz w:val="24"/>
        </w:rPr>
      </w:pPr>
      <w:r>
        <w:rPr>
          <w:rFonts w:ascii="宋体" w:hAnsi="宋体" w:cs="宋体"/>
          <w:sz w:val="24"/>
        </w:rPr>
        <w:t>4.</w:t>
      </w:r>
      <w:r>
        <w:rPr>
          <w:rFonts w:hint="eastAsia" w:ascii="宋体" w:hAnsi="宋体" w:cs="宋体"/>
          <w:sz w:val="24"/>
        </w:rPr>
        <w:t>采购人可提供的零星维修材料，维修使用基本工具由</w:t>
      </w:r>
      <w:r>
        <w:rPr>
          <w:rFonts w:hint="eastAsia" w:eastAsia="楷体"/>
          <w:b/>
          <w:sz w:val="24"/>
        </w:rPr>
        <w:t>投标人</w:t>
      </w:r>
      <w:r>
        <w:rPr>
          <w:rFonts w:hint="eastAsia" w:ascii="宋体" w:hAnsi="宋体" w:cs="宋体"/>
          <w:sz w:val="24"/>
        </w:rPr>
        <w:t>提供。</w:t>
      </w:r>
      <w:r>
        <w:rPr>
          <w:rFonts w:hint="eastAsia" w:ascii="宋体" w:hAnsi="宋体" w:cs="宋体"/>
          <w:color w:val="000000"/>
          <w:sz w:val="24"/>
        </w:rPr>
        <w:t>；</w:t>
      </w:r>
    </w:p>
    <w:p w14:paraId="2E9BBE1A">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采购人可提供的低值易耗品；</w:t>
      </w:r>
    </w:p>
    <w:p w14:paraId="207275B3">
      <w:pPr>
        <w:adjustRightInd w:val="0"/>
        <w:snapToGrid w:val="0"/>
        <w:spacing w:line="360" w:lineRule="auto"/>
        <w:ind w:firstLine="482" w:firstLineChars="200"/>
        <w:rPr>
          <w:rFonts w:ascii="宋体" w:hAnsi="宋体" w:cs="宋体"/>
          <w:sz w:val="24"/>
        </w:rPr>
      </w:pPr>
      <w:r>
        <w:rPr>
          <w:rFonts w:hint="eastAsia" w:eastAsia="楷体"/>
          <w:b/>
          <w:sz w:val="24"/>
        </w:rPr>
        <w:t>投标人</w:t>
      </w:r>
      <w:r>
        <w:rPr>
          <w:rFonts w:hint="eastAsia" w:ascii="宋体" w:hAnsi="宋体" w:cs="宋体"/>
          <w:sz w:val="24"/>
        </w:rPr>
        <w:t>应当承担除以上所列</w:t>
      </w:r>
      <w:r>
        <w:rPr>
          <w:rFonts w:hint="eastAsia" w:ascii="宋体" w:hAnsi="宋体" w:cs="宋体"/>
          <w:sz w:val="24"/>
          <w:szCs w:val="21"/>
        </w:rPr>
        <w:t>场地、设施、设备、材料</w:t>
      </w:r>
      <w:r>
        <w:rPr>
          <w:rFonts w:hint="eastAsia" w:ascii="宋体" w:hAnsi="宋体" w:cs="宋体"/>
          <w:sz w:val="24"/>
        </w:rPr>
        <w:t>外，与物业管理服务有关的其他</w:t>
      </w:r>
      <w:r>
        <w:rPr>
          <w:rFonts w:hint="eastAsia" w:ascii="宋体" w:hAnsi="宋体" w:cs="宋体"/>
          <w:sz w:val="24"/>
          <w:szCs w:val="21"/>
        </w:rPr>
        <w:t>场地、设施、设备、材料等</w:t>
      </w:r>
      <w:r>
        <w:rPr>
          <w:rFonts w:hint="eastAsia" w:ascii="宋体" w:hAnsi="宋体" w:cs="宋体"/>
          <w:sz w:val="24"/>
        </w:rPr>
        <w:t>。</w:t>
      </w:r>
    </w:p>
    <w:p w14:paraId="070EEBE2">
      <w:pPr>
        <w:keepNext/>
        <w:keepLines/>
        <w:spacing w:before="10" w:after="10" w:line="360" w:lineRule="auto"/>
        <w:outlineLvl w:val="0"/>
        <w:rPr>
          <w:rFonts w:eastAsia="黑体"/>
          <w:b/>
          <w:kern w:val="44"/>
          <w:sz w:val="24"/>
        </w:rPr>
      </w:pPr>
      <w:bookmarkStart w:id="17" w:name="_Toc192776016"/>
      <w:bookmarkStart w:id="18" w:name="_Toc172215539"/>
      <w:r>
        <w:rPr>
          <w:rFonts w:hint="eastAsia" w:eastAsia="黑体"/>
          <w:b/>
          <w:kern w:val="44"/>
          <w:sz w:val="24"/>
        </w:rPr>
        <w:t>四、物业服务范围</w:t>
      </w:r>
      <w:bookmarkEnd w:id="17"/>
      <w:bookmarkEnd w:id="18"/>
    </w:p>
    <w:p w14:paraId="30481113">
      <w:pPr>
        <w:adjustRightInd w:val="0"/>
        <w:snapToGrid w:val="0"/>
        <w:spacing w:line="360" w:lineRule="auto"/>
        <w:rPr>
          <w:rFonts w:eastAsia="仿宋" w:cs="宋体"/>
          <w:sz w:val="24"/>
        </w:rPr>
      </w:pPr>
      <w:r>
        <w:rPr>
          <w:rFonts w:hint="eastAsia" w:ascii="宋体" w:hAnsi="宋体" w:cs="宋体"/>
          <w:sz w:val="24"/>
        </w:rPr>
        <w:t>【北京市工业技师学院南校区</w:t>
      </w:r>
      <w:r>
        <w:rPr>
          <w:rFonts w:ascii="宋体" w:hAnsi="宋体" w:cs="宋体"/>
          <w:sz w:val="24"/>
        </w:rPr>
        <w:t xml:space="preserve"> 、</w:t>
      </w:r>
      <w:r>
        <w:rPr>
          <w:rFonts w:hint="eastAsia" w:ascii="宋体" w:hAnsi="宋体" w:cs="宋体"/>
          <w:sz w:val="24"/>
        </w:rPr>
        <w:t>北校区】</w:t>
      </w:r>
    </w:p>
    <w:p w14:paraId="15FC41C5">
      <w:pPr>
        <w:keepNext/>
        <w:keepLines/>
        <w:numPr>
          <w:ilvl w:val="0"/>
          <w:numId w:val="2"/>
        </w:numPr>
        <w:adjustRightInd w:val="0"/>
        <w:snapToGrid w:val="0"/>
        <w:spacing w:line="360" w:lineRule="auto"/>
        <w:outlineLvl w:val="1"/>
        <w:rPr>
          <w:rFonts w:ascii="楷体" w:hAnsi="楷体" w:eastAsia="楷体" w:cs="宋体"/>
          <w:b/>
          <w:sz w:val="24"/>
        </w:rPr>
      </w:pPr>
      <w:bookmarkStart w:id="19" w:name="_Toc192776017"/>
      <w:bookmarkStart w:id="20" w:name="_Toc172215540"/>
      <w:r>
        <w:rPr>
          <w:rFonts w:hint="eastAsia" w:ascii="楷体" w:hAnsi="楷体" w:eastAsia="楷体" w:cs="宋体"/>
          <w:b/>
          <w:sz w:val="24"/>
        </w:rPr>
        <w:t>物业管理（建筑物）</w:t>
      </w:r>
      <w:bookmarkEnd w:id="19"/>
      <w:bookmarkEnd w:id="20"/>
    </w:p>
    <w:tbl>
      <w:tblPr>
        <w:tblStyle w:val="3"/>
        <w:tblW w:w="0" w:type="auto"/>
        <w:tblInd w:w="93" w:type="dxa"/>
        <w:shd w:val="clear" w:color="auto" w:fill="FFFFFF"/>
        <w:tblLayout w:type="fixed"/>
        <w:tblCellMar>
          <w:top w:w="0" w:type="dxa"/>
          <w:left w:w="108" w:type="dxa"/>
          <w:bottom w:w="0" w:type="dxa"/>
          <w:right w:w="108" w:type="dxa"/>
        </w:tblCellMar>
      </w:tblPr>
      <w:tblGrid>
        <w:gridCol w:w="960"/>
        <w:gridCol w:w="1700"/>
        <w:gridCol w:w="1520"/>
        <w:gridCol w:w="2100"/>
        <w:gridCol w:w="2100"/>
      </w:tblGrid>
      <w:tr w14:paraId="2691458D">
        <w:tblPrEx>
          <w:tblCellMar>
            <w:top w:w="0" w:type="dxa"/>
            <w:left w:w="108" w:type="dxa"/>
            <w:bottom w:w="0" w:type="dxa"/>
            <w:right w:w="108" w:type="dxa"/>
          </w:tblCellMar>
        </w:tblPrEx>
        <w:trPr>
          <w:trHeight w:val="621" w:hRule="atLeast"/>
        </w:trPr>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13A192">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位置</w:t>
            </w:r>
          </w:p>
        </w:tc>
        <w:tc>
          <w:tcPr>
            <w:tcW w:w="1700" w:type="dxa"/>
            <w:tcBorders>
              <w:top w:val="single" w:color="auto" w:sz="4" w:space="0"/>
              <w:left w:val="nil"/>
              <w:bottom w:val="single" w:color="auto" w:sz="4" w:space="0"/>
              <w:right w:val="single" w:color="auto" w:sz="4" w:space="0"/>
            </w:tcBorders>
            <w:shd w:val="clear" w:color="auto" w:fill="FFFFFF"/>
            <w:noWrap w:val="0"/>
            <w:vAlign w:val="center"/>
          </w:tcPr>
          <w:p w14:paraId="19357EE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楼号</w:t>
            </w:r>
          </w:p>
        </w:tc>
        <w:tc>
          <w:tcPr>
            <w:tcW w:w="1520" w:type="dxa"/>
            <w:tcBorders>
              <w:top w:val="single" w:color="auto" w:sz="4" w:space="0"/>
              <w:left w:val="nil"/>
              <w:bottom w:val="single" w:color="auto" w:sz="4" w:space="0"/>
              <w:right w:val="single" w:color="auto" w:sz="4" w:space="0"/>
            </w:tcBorders>
            <w:shd w:val="clear" w:color="auto" w:fill="FFFFFF"/>
            <w:noWrap w:val="0"/>
            <w:vAlign w:val="center"/>
          </w:tcPr>
          <w:p w14:paraId="48CAEBA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房屋总层数</w:t>
            </w:r>
          </w:p>
        </w:tc>
        <w:tc>
          <w:tcPr>
            <w:tcW w:w="2100" w:type="dxa"/>
            <w:tcBorders>
              <w:top w:val="single" w:color="auto" w:sz="4" w:space="0"/>
              <w:left w:val="nil"/>
              <w:bottom w:val="single" w:color="auto" w:sz="4" w:space="0"/>
              <w:right w:val="single" w:color="auto" w:sz="4" w:space="0"/>
            </w:tcBorders>
            <w:shd w:val="clear" w:color="auto" w:fill="FFFFFF"/>
            <w:noWrap w:val="0"/>
            <w:vAlign w:val="center"/>
          </w:tcPr>
          <w:p w14:paraId="32AE4A8D">
            <w:pPr>
              <w:widowControl/>
              <w:spacing w:line="360" w:lineRule="auto"/>
              <w:jc w:val="left"/>
              <w:rPr>
                <w:rFonts w:ascii="宋体" w:hAnsi="宋体" w:eastAsia="仿宋" w:cs="宋体"/>
                <w:color w:val="000000"/>
                <w:kern w:val="0"/>
                <w:sz w:val="22"/>
                <w:szCs w:val="22"/>
              </w:rPr>
            </w:pPr>
            <w:r>
              <w:rPr>
                <w:rFonts w:hint="eastAsia" w:ascii="宋体" w:hAnsi="宋体" w:eastAsia="仿宋" w:cs="宋体"/>
                <w:color w:val="000000"/>
                <w:kern w:val="0"/>
                <w:sz w:val="22"/>
                <w:szCs w:val="22"/>
              </w:rPr>
              <w:t>建筑面积㎡</w:t>
            </w:r>
          </w:p>
        </w:tc>
        <w:tc>
          <w:tcPr>
            <w:tcW w:w="2100" w:type="dxa"/>
            <w:tcBorders>
              <w:top w:val="single" w:color="auto" w:sz="4" w:space="0"/>
              <w:left w:val="nil"/>
              <w:bottom w:val="single" w:color="auto" w:sz="4" w:space="0"/>
              <w:right w:val="single" w:color="auto" w:sz="4" w:space="0"/>
            </w:tcBorders>
            <w:shd w:val="clear" w:color="auto" w:fill="FFFFFF"/>
            <w:noWrap w:val="0"/>
            <w:vAlign w:val="center"/>
          </w:tcPr>
          <w:p w14:paraId="601396D1">
            <w:pPr>
              <w:widowControl/>
              <w:spacing w:line="360" w:lineRule="auto"/>
              <w:jc w:val="left"/>
              <w:rPr>
                <w:rFonts w:ascii="宋体" w:hAnsi="宋体" w:eastAsia="仿宋" w:cs="宋体"/>
                <w:color w:val="000000"/>
                <w:kern w:val="0"/>
                <w:sz w:val="22"/>
                <w:szCs w:val="22"/>
              </w:rPr>
            </w:pPr>
          </w:p>
        </w:tc>
      </w:tr>
      <w:tr w14:paraId="0D7E2A20">
        <w:tblPrEx>
          <w:tblCellMar>
            <w:top w:w="0" w:type="dxa"/>
            <w:left w:w="108" w:type="dxa"/>
            <w:bottom w:w="0" w:type="dxa"/>
            <w:right w:w="108" w:type="dxa"/>
          </w:tblCellMar>
        </w:tblPrEx>
        <w:trPr>
          <w:trHeight w:val="318" w:hRule="atLeast"/>
        </w:trPr>
        <w:tc>
          <w:tcPr>
            <w:tcW w:w="960" w:type="dxa"/>
            <w:vMerge w:val="restart"/>
            <w:tcBorders>
              <w:top w:val="nil"/>
              <w:left w:val="single" w:color="auto" w:sz="4" w:space="0"/>
              <w:bottom w:val="single" w:color="auto" w:sz="4" w:space="0"/>
              <w:right w:val="single" w:color="auto" w:sz="4" w:space="0"/>
            </w:tcBorders>
            <w:shd w:val="clear" w:color="auto" w:fill="FFFFFF"/>
            <w:noWrap/>
            <w:vAlign w:val="center"/>
          </w:tcPr>
          <w:p w14:paraId="769A981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北校</w:t>
            </w:r>
          </w:p>
        </w:tc>
        <w:tc>
          <w:tcPr>
            <w:tcW w:w="1700" w:type="dxa"/>
            <w:tcBorders>
              <w:top w:val="nil"/>
              <w:left w:val="nil"/>
              <w:bottom w:val="single" w:color="auto" w:sz="4" w:space="0"/>
              <w:right w:val="single" w:color="auto" w:sz="4" w:space="0"/>
            </w:tcBorders>
            <w:shd w:val="clear" w:color="auto" w:fill="FFFFFF"/>
            <w:noWrap/>
            <w:vAlign w:val="center"/>
          </w:tcPr>
          <w:p w14:paraId="3AD07ACE">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N1楼</w:t>
            </w:r>
          </w:p>
        </w:tc>
        <w:tc>
          <w:tcPr>
            <w:tcW w:w="1520" w:type="dxa"/>
            <w:tcBorders>
              <w:top w:val="nil"/>
              <w:left w:val="nil"/>
              <w:bottom w:val="single" w:color="auto" w:sz="4" w:space="0"/>
              <w:right w:val="single" w:color="auto" w:sz="4" w:space="0"/>
            </w:tcBorders>
            <w:shd w:val="clear" w:color="auto" w:fill="FFFFFF"/>
            <w:noWrap/>
            <w:vAlign w:val="center"/>
          </w:tcPr>
          <w:p w14:paraId="62007C35">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4</w:t>
            </w:r>
          </w:p>
        </w:tc>
        <w:tc>
          <w:tcPr>
            <w:tcW w:w="2100" w:type="dxa"/>
            <w:tcBorders>
              <w:top w:val="nil"/>
              <w:left w:val="nil"/>
              <w:bottom w:val="single" w:color="auto" w:sz="4" w:space="0"/>
              <w:right w:val="single" w:color="auto" w:sz="4" w:space="0"/>
            </w:tcBorders>
            <w:shd w:val="clear" w:color="auto" w:fill="FFFFFF"/>
            <w:noWrap/>
            <w:vAlign w:val="center"/>
          </w:tcPr>
          <w:p w14:paraId="1D963217">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2273.10 </w:t>
            </w:r>
          </w:p>
        </w:tc>
        <w:tc>
          <w:tcPr>
            <w:tcW w:w="2100" w:type="dxa"/>
            <w:tcBorders>
              <w:top w:val="nil"/>
              <w:left w:val="nil"/>
              <w:bottom w:val="single" w:color="auto" w:sz="4" w:space="0"/>
              <w:right w:val="single" w:color="auto" w:sz="4" w:space="0"/>
            </w:tcBorders>
            <w:shd w:val="clear" w:color="auto" w:fill="FFFFFF"/>
            <w:noWrap/>
            <w:vAlign w:val="center"/>
          </w:tcPr>
          <w:p w14:paraId="2743E5BB">
            <w:pPr>
              <w:widowControl/>
              <w:spacing w:line="360" w:lineRule="auto"/>
              <w:jc w:val="right"/>
              <w:rPr>
                <w:rFonts w:ascii="宋体" w:hAnsi="宋体" w:eastAsia="仿宋" w:cs="宋体"/>
                <w:color w:val="000000"/>
                <w:kern w:val="0"/>
                <w:sz w:val="22"/>
                <w:szCs w:val="22"/>
              </w:rPr>
            </w:pPr>
          </w:p>
        </w:tc>
      </w:tr>
      <w:tr w14:paraId="06F830E4">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48442290">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56E0B27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N2楼</w:t>
            </w:r>
          </w:p>
        </w:tc>
        <w:tc>
          <w:tcPr>
            <w:tcW w:w="1520" w:type="dxa"/>
            <w:tcBorders>
              <w:top w:val="nil"/>
              <w:left w:val="nil"/>
              <w:bottom w:val="single" w:color="auto" w:sz="4" w:space="0"/>
              <w:right w:val="single" w:color="auto" w:sz="4" w:space="0"/>
            </w:tcBorders>
            <w:shd w:val="clear" w:color="auto" w:fill="FFFFFF"/>
            <w:noWrap/>
            <w:vAlign w:val="center"/>
          </w:tcPr>
          <w:p w14:paraId="17DA459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4</w:t>
            </w:r>
          </w:p>
        </w:tc>
        <w:tc>
          <w:tcPr>
            <w:tcW w:w="2100" w:type="dxa"/>
            <w:tcBorders>
              <w:top w:val="nil"/>
              <w:left w:val="nil"/>
              <w:bottom w:val="single" w:color="auto" w:sz="4" w:space="0"/>
              <w:right w:val="single" w:color="auto" w:sz="4" w:space="0"/>
            </w:tcBorders>
            <w:shd w:val="clear" w:color="auto" w:fill="FFFFFF"/>
            <w:noWrap/>
            <w:vAlign w:val="center"/>
          </w:tcPr>
          <w:p w14:paraId="6ABAA187">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4483.20 </w:t>
            </w:r>
          </w:p>
        </w:tc>
        <w:tc>
          <w:tcPr>
            <w:tcW w:w="2100" w:type="dxa"/>
            <w:tcBorders>
              <w:top w:val="nil"/>
              <w:left w:val="nil"/>
              <w:bottom w:val="single" w:color="auto" w:sz="4" w:space="0"/>
              <w:right w:val="single" w:color="auto" w:sz="4" w:space="0"/>
            </w:tcBorders>
            <w:shd w:val="clear" w:color="auto" w:fill="FFFFFF"/>
            <w:noWrap/>
            <w:vAlign w:val="center"/>
          </w:tcPr>
          <w:p w14:paraId="47D6CEBD">
            <w:pPr>
              <w:widowControl/>
              <w:spacing w:line="360" w:lineRule="auto"/>
              <w:jc w:val="right"/>
              <w:rPr>
                <w:rFonts w:ascii="宋体" w:hAnsi="宋体" w:eastAsia="仿宋" w:cs="宋体"/>
                <w:color w:val="000000"/>
                <w:kern w:val="0"/>
                <w:sz w:val="22"/>
                <w:szCs w:val="22"/>
              </w:rPr>
            </w:pPr>
          </w:p>
        </w:tc>
      </w:tr>
      <w:tr w14:paraId="092E9175">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95ED15B">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10D93A93">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通廊</w:t>
            </w:r>
          </w:p>
        </w:tc>
        <w:tc>
          <w:tcPr>
            <w:tcW w:w="1520" w:type="dxa"/>
            <w:tcBorders>
              <w:top w:val="nil"/>
              <w:left w:val="nil"/>
              <w:bottom w:val="single" w:color="auto" w:sz="4" w:space="0"/>
              <w:right w:val="single" w:color="auto" w:sz="4" w:space="0"/>
            </w:tcBorders>
            <w:shd w:val="clear" w:color="auto" w:fill="FFFFFF"/>
            <w:noWrap/>
            <w:vAlign w:val="center"/>
          </w:tcPr>
          <w:p w14:paraId="43A5E6A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　</w:t>
            </w:r>
          </w:p>
        </w:tc>
        <w:tc>
          <w:tcPr>
            <w:tcW w:w="2100" w:type="dxa"/>
            <w:tcBorders>
              <w:top w:val="nil"/>
              <w:left w:val="nil"/>
              <w:bottom w:val="single" w:color="auto" w:sz="4" w:space="0"/>
              <w:right w:val="single" w:color="auto" w:sz="4" w:space="0"/>
            </w:tcBorders>
            <w:shd w:val="clear" w:color="auto" w:fill="FFFFFF"/>
            <w:noWrap/>
            <w:vAlign w:val="center"/>
          </w:tcPr>
          <w:p w14:paraId="7F413383">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58.90 </w:t>
            </w:r>
          </w:p>
        </w:tc>
        <w:tc>
          <w:tcPr>
            <w:tcW w:w="2100" w:type="dxa"/>
            <w:tcBorders>
              <w:top w:val="nil"/>
              <w:left w:val="nil"/>
              <w:bottom w:val="single" w:color="auto" w:sz="4" w:space="0"/>
              <w:right w:val="single" w:color="auto" w:sz="4" w:space="0"/>
            </w:tcBorders>
            <w:shd w:val="clear" w:color="auto" w:fill="FFFFFF"/>
            <w:noWrap/>
            <w:vAlign w:val="center"/>
          </w:tcPr>
          <w:p w14:paraId="50C852ED">
            <w:pPr>
              <w:widowControl/>
              <w:spacing w:line="360" w:lineRule="auto"/>
              <w:jc w:val="right"/>
              <w:rPr>
                <w:rFonts w:ascii="宋体" w:hAnsi="宋体" w:eastAsia="仿宋" w:cs="宋体"/>
                <w:color w:val="000000"/>
                <w:kern w:val="0"/>
                <w:sz w:val="22"/>
                <w:szCs w:val="22"/>
              </w:rPr>
            </w:pPr>
          </w:p>
        </w:tc>
      </w:tr>
      <w:tr w14:paraId="75B55EBB">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65ACD6B">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1A32C11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N3楼</w:t>
            </w:r>
          </w:p>
        </w:tc>
        <w:tc>
          <w:tcPr>
            <w:tcW w:w="1520" w:type="dxa"/>
            <w:tcBorders>
              <w:top w:val="nil"/>
              <w:left w:val="nil"/>
              <w:bottom w:val="single" w:color="auto" w:sz="4" w:space="0"/>
              <w:right w:val="single" w:color="auto" w:sz="4" w:space="0"/>
            </w:tcBorders>
            <w:shd w:val="clear" w:color="auto" w:fill="FFFFFF"/>
            <w:noWrap/>
            <w:vAlign w:val="center"/>
          </w:tcPr>
          <w:p w14:paraId="0632B5F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6B1DAFC4">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1218.22 </w:t>
            </w:r>
          </w:p>
        </w:tc>
        <w:tc>
          <w:tcPr>
            <w:tcW w:w="2100" w:type="dxa"/>
            <w:tcBorders>
              <w:top w:val="nil"/>
              <w:left w:val="nil"/>
              <w:bottom w:val="single" w:color="auto" w:sz="4" w:space="0"/>
              <w:right w:val="single" w:color="auto" w:sz="4" w:space="0"/>
            </w:tcBorders>
            <w:shd w:val="clear" w:color="auto" w:fill="FFFFFF"/>
            <w:noWrap/>
            <w:vAlign w:val="center"/>
          </w:tcPr>
          <w:p w14:paraId="07546285">
            <w:pPr>
              <w:widowControl/>
              <w:spacing w:line="360" w:lineRule="auto"/>
              <w:jc w:val="right"/>
              <w:rPr>
                <w:rFonts w:ascii="宋体" w:hAnsi="宋体" w:eastAsia="仿宋" w:cs="宋体"/>
                <w:color w:val="000000"/>
                <w:kern w:val="0"/>
                <w:sz w:val="22"/>
                <w:szCs w:val="22"/>
              </w:rPr>
            </w:pPr>
          </w:p>
        </w:tc>
      </w:tr>
      <w:tr w14:paraId="4D58291E">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0E2B4B3">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E30977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N4楼</w:t>
            </w:r>
          </w:p>
        </w:tc>
        <w:tc>
          <w:tcPr>
            <w:tcW w:w="1520" w:type="dxa"/>
            <w:tcBorders>
              <w:top w:val="nil"/>
              <w:left w:val="nil"/>
              <w:bottom w:val="single" w:color="auto" w:sz="4" w:space="0"/>
              <w:right w:val="single" w:color="auto" w:sz="4" w:space="0"/>
            </w:tcBorders>
            <w:shd w:val="clear" w:color="auto" w:fill="FFFFFF"/>
            <w:noWrap/>
            <w:vAlign w:val="center"/>
          </w:tcPr>
          <w:p w14:paraId="3DCD768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309DA864">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1121.00 </w:t>
            </w:r>
          </w:p>
        </w:tc>
        <w:tc>
          <w:tcPr>
            <w:tcW w:w="2100" w:type="dxa"/>
            <w:tcBorders>
              <w:top w:val="nil"/>
              <w:left w:val="nil"/>
              <w:bottom w:val="single" w:color="auto" w:sz="4" w:space="0"/>
              <w:right w:val="single" w:color="auto" w:sz="4" w:space="0"/>
            </w:tcBorders>
            <w:shd w:val="clear" w:color="auto" w:fill="FFFFFF"/>
            <w:noWrap/>
            <w:vAlign w:val="center"/>
          </w:tcPr>
          <w:p w14:paraId="634FFB35">
            <w:pPr>
              <w:widowControl/>
              <w:spacing w:line="360" w:lineRule="auto"/>
              <w:jc w:val="right"/>
              <w:rPr>
                <w:rFonts w:ascii="宋体" w:hAnsi="宋体" w:eastAsia="仿宋" w:cs="宋体"/>
                <w:color w:val="000000"/>
                <w:kern w:val="0"/>
                <w:sz w:val="22"/>
                <w:szCs w:val="22"/>
              </w:rPr>
            </w:pPr>
          </w:p>
        </w:tc>
      </w:tr>
      <w:tr w14:paraId="5FCF8612">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AAE7D7D">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5F2045E">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N5楼</w:t>
            </w:r>
          </w:p>
        </w:tc>
        <w:tc>
          <w:tcPr>
            <w:tcW w:w="1520" w:type="dxa"/>
            <w:tcBorders>
              <w:top w:val="nil"/>
              <w:left w:val="nil"/>
              <w:bottom w:val="single" w:color="auto" w:sz="4" w:space="0"/>
              <w:right w:val="single" w:color="auto" w:sz="4" w:space="0"/>
            </w:tcBorders>
            <w:shd w:val="clear" w:color="auto" w:fill="FFFFFF"/>
            <w:noWrap/>
            <w:vAlign w:val="center"/>
          </w:tcPr>
          <w:p w14:paraId="1A5E5C08">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0981167A">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480.50 </w:t>
            </w:r>
          </w:p>
        </w:tc>
        <w:tc>
          <w:tcPr>
            <w:tcW w:w="2100" w:type="dxa"/>
            <w:tcBorders>
              <w:top w:val="nil"/>
              <w:left w:val="nil"/>
              <w:bottom w:val="single" w:color="auto" w:sz="4" w:space="0"/>
              <w:right w:val="single" w:color="auto" w:sz="4" w:space="0"/>
            </w:tcBorders>
            <w:shd w:val="clear" w:color="auto" w:fill="FFFFFF"/>
            <w:noWrap/>
            <w:vAlign w:val="center"/>
          </w:tcPr>
          <w:p w14:paraId="3DE7B27B">
            <w:pPr>
              <w:widowControl/>
              <w:spacing w:line="360" w:lineRule="auto"/>
              <w:jc w:val="right"/>
              <w:rPr>
                <w:rFonts w:ascii="宋体" w:hAnsi="宋体" w:eastAsia="仿宋" w:cs="宋体"/>
                <w:color w:val="000000"/>
                <w:kern w:val="0"/>
                <w:sz w:val="22"/>
                <w:szCs w:val="22"/>
              </w:rPr>
            </w:pPr>
          </w:p>
        </w:tc>
      </w:tr>
      <w:tr w14:paraId="3C96EB8A">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45D0455">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569C6B4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N6楼</w:t>
            </w:r>
          </w:p>
        </w:tc>
        <w:tc>
          <w:tcPr>
            <w:tcW w:w="1520" w:type="dxa"/>
            <w:tcBorders>
              <w:top w:val="nil"/>
              <w:left w:val="nil"/>
              <w:bottom w:val="single" w:color="auto" w:sz="4" w:space="0"/>
              <w:right w:val="single" w:color="auto" w:sz="4" w:space="0"/>
            </w:tcBorders>
            <w:shd w:val="clear" w:color="auto" w:fill="FFFFFF"/>
            <w:noWrap/>
            <w:vAlign w:val="center"/>
          </w:tcPr>
          <w:p w14:paraId="2FBCE235">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69258A6E">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422.80 </w:t>
            </w:r>
          </w:p>
        </w:tc>
        <w:tc>
          <w:tcPr>
            <w:tcW w:w="2100" w:type="dxa"/>
            <w:tcBorders>
              <w:top w:val="nil"/>
              <w:left w:val="nil"/>
              <w:bottom w:val="single" w:color="auto" w:sz="4" w:space="0"/>
              <w:right w:val="single" w:color="auto" w:sz="4" w:space="0"/>
            </w:tcBorders>
            <w:shd w:val="clear" w:color="auto" w:fill="FFFFFF"/>
            <w:noWrap/>
            <w:vAlign w:val="center"/>
          </w:tcPr>
          <w:p w14:paraId="69CEF5E7">
            <w:pPr>
              <w:widowControl/>
              <w:spacing w:line="360" w:lineRule="auto"/>
              <w:jc w:val="right"/>
              <w:rPr>
                <w:rFonts w:ascii="宋体" w:hAnsi="宋体" w:eastAsia="仿宋" w:cs="宋体"/>
                <w:color w:val="000000"/>
                <w:kern w:val="0"/>
                <w:sz w:val="22"/>
                <w:szCs w:val="22"/>
              </w:rPr>
            </w:pPr>
          </w:p>
        </w:tc>
      </w:tr>
      <w:tr w14:paraId="2BA149F9">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35ECC8F">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7A6E1086">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N7楼</w:t>
            </w:r>
          </w:p>
        </w:tc>
        <w:tc>
          <w:tcPr>
            <w:tcW w:w="1520" w:type="dxa"/>
            <w:tcBorders>
              <w:top w:val="nil"/>
              <w:left w:val="nil"/>
              <w:bottom w:val="single" w:color="auto" w:sz="4" w:space="0"/>
              <w:right w:val="single" w:color="auto" w:sz="4" w:space="0"/>
            </w:tcBorders>
            <w:shd w:val="clear" w:color="auto" w:fill="FFFFFF"/>
            <w:noWrap/>
            <w:vAlign w:val="center"/>
          </w:tcPr>
          <w:p w14:paraId="3B65305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02345822">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422.40 </w:t>
            </w:r>
          </w:p>
        </w:tc>
        <w:tc>
          <w:tcPr>
            <w:tcW w:w="2100" w:type="dxa"/>
            <w:tcBorders>
              <w:top w:val="nil"/>
              <w:left w:val="nil"/>
              <w:bottom w:val="single" w:color="auto" w:sz="4" w:space="0"/>
              <w:right w:val="single" w:color="auto" w:sz="4" w:space="0"/>
            </w:tcBorders>
            <w:shd w:val="clear" w:color="auto" w:fill="FFFFFF"/>
            <w:noWrap/>
            <w:vAlign w:val="center"/>
          </w:tcPr>
          <w:p w14:paraId="561282AC">
            <w:pPr>
              <w:widowControl/>
              <w:spacing w:line="360" w:lineRule="auto"/>
              <w:jc w:val="right"/>
              <w:rPr>
                <w:rFonts w:ascii="宋体" w:hAnsi="宋体" w:eastAsia="仿宋" w:cs="宋体"/>
                <w:color w:val="000000"/>
                <w:kern w:val="0"/>
                <w:sz w:val="22"/>
                <w:szCs w:val="22"/>
              </w:rPr>
            </w:pPr>
          </w:p>
        </w:tc>
      </w:tr>
      <w:tr w14:paraId="1C53FAD6">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57600CD">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186FBFEA">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N8楼</w:t>
            </w:r>
          </w:p>
        </w:tc>
        <w:tc>
          <w:tcPr>
            <w:tcW w:w="1520" w:type="dxa"/>
            <w:tcBorders>
              <w:top w:val="nil"/>
              <w:left w:val="nil"/>
              <w:bottom w:val="single" w:color="auto" w:sz="4" w:space="0"/>
              <w:right w:val="single" w:color="auto" w:sz="4" w:space="0"/>
            </w:tcBorders>
            <w:shd w:val="clear" w:color="auto" w:fill="FFFFFF"/>
            <w:noWrap/>
            <w:vAlign w:val="center"/>
          </w:tcPr>
          <w:p w14:paraId="2BC8EF9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4</w:t>
            </w:r>
          </w:p>
        </w:tc>
        <w:tc>
          <w:tcPr>
            <w:tcW w:w="2100" w:type="dxa"/>
            <w:tcBorders>
              <w:top w:val="nil"/>
              <w:left w:val="nil"/>
              <w:bottom w:val="single" w:color="auto" w:sz="4" w:space="0"/>
              <w:right w:val="single" w:color="auto" w:sz="4" w:space="0"/>
            </w:tcBorders>
            <w:shd w:val="clear" w:color="auto" w:fill="FFFFFF"/>
            <w:noWrap/>
            <w:vAlign w:val="center"/>
          </w:tcPr>
          <w:p w14:paraId="01D4DD06">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4800.00 </w:t>
            </w:r>
          </w:p>
        </w:tc>
        <w:tc>
          <w:tcPr>
            <w:tcW w:w="2100" w:type="dxa"/>
            <w:tcBorders>
              <w:top w:val="nil"/>
              <w:left w:val="nil"/>
              <w:bottom w:val="single" w:color="auto" w:sz="4" w:space="0"/>
              <w:right w:val="single" w:color="auto" w:sz="4" w:space="0"/>
            </w:tcBorders>
            <w:shd w:val="clear" w:color="auto" w:fill="FFFFFF"/>
            <w:noWrap/>
            <w:vAlign w:val="center"/>
          </w:tcPr>
          <w:p w14:paraId="17BEAE19">
            <w:pPr>
              <w:widowControl/>
              <w:spacing w:line="360" w:lineRule="auto"/>
              <w:jc w:val="right"/>
              <w:rPr>
                <w:rFonts w:ascii="宋体" w:hAnsi="宋体" w:eastAsia="仿宋" w:cs="宋体"/>
                <w:color w:val="000000"/>
                <w:kern w:val="0"/>
                <w:sz w:val="22"/>
                <w:szCs w:val="22"/>
              </w:rPr>
            </w:pPr>
          </w:p>
        </w:tc>
      </w:tr>
      <w:tr w14:paraId="0161E6AA">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205DE5A">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4D47CF5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N9楼</w:t>
            </w:r>
          </w:p>
        </w:tc>
        <w:tc>
          <w:tcPr>
            <w:tcW w:w="1520" w:type="dxa"/>
            <w:tcBorders>
              <w:top w:val="nil"/>
              <w:left w:val="nil"/>
              <w:bottom w:val="single" w:color="auto" w:sz="4" w:space="0"/>
              <w:right w:val="single" w:color="auto" w:sz="4" w:space="0"/>
            </w:tcBorders>
            <w:shd w:val="clear" w:color="auto" w:fill="FFFFFF"/>
            <w:noWrap/>
            <w:vAlign w:val="center"/>
          </w:tcPr>
          <w:p w14:paraId="63427E2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6FCD2128">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185.42 </w:t>
            </w:r>
          </w:p>
        </w:tc>
        <w:tc>
          <w:tcPr>
            <w:tcW w:w="2100" w:type="dxa"/>
            <w:tcBorders>
              <w:top w:val="nil"/>
              <w:left w:val="nil"/>
              <w:bottom w:val="single" w:color="auto" w:sz="4" w:space="0"/>
              <w:right w:val="single" w:color="auto" w:sz="4" w:space="0"/>
            </w:tcBorders>
            <w:shd w:val="clear" w:color="auto" w:fill="FFFFFF"/>
            <w:noWrap/>
            <w:vAlign w:val="center"/>
          </w:tcPr>
          <w:p w14:paraId="071481D7">
            <w:pPr>
              <w:widowControl/>
              <w:spacing w:line="360" w:lineRule="auto"/>
              <w:jc w:val="right"/>
              <w:rPr>
                <w:rFonts w:ascii="宋体" w:hAnsi="宋体" w:eastAsia="仿宋" w:cs="宋体"/>
                <w:color w:val="000000"/>
                <w:kern w:val="0"/>
                <w:sz w:val="22"/>
                <w:szCs w:val="22"/>
              </w:rPr>
            </w:pPr>
          </w:p>
        </w:tc>
      </w:tr>
      <w:tr w14:paraId="15585A0A">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E216C96">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39426B7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N10楼</w:t>
            </w:r>
          </w:p>
        </w:tc>
        <w:tc>
          <w:tcPr>
            <w:tcW w:w="1520" w:type="dxa"/>
            <w:tcBorders>
              <w:top w:val="nil"/>
              <w:left w:val="nil"/>
              <w:bottom w:val="single" w:color="auto" w:sz="4" w:space="0"/>
              <w:right w:val="single" w:color="auto" w:sz="4" w:space="0"/>
            </w:tcBorders>
            <w:shd w:val="clear" w:color="auto" w:fill="FFFFFF"/>
            <w:noWrap/>
            <w:vAlign w:val="center"/>
          </w:tcPr>
          <w:p w14:paraId="6B61CAA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315A5D0F">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705.84 </w:t>
            </w:r>
          </w:p>
        </w:tc>
        <w:tc>
          <w:tcPr>
            <w:tcW w:w="2100" w:type="dxa"/>
            <w:tcBorders>
              <w:top w:val="nil"/>
              <w:left w:val="nil"/>
              <w:bottom w:val="single" w:color="auto" w:sz="4" w:space="0"/>
              <w:right w:val="single" w:color="auto" w:sz="4" w:space="0"/>
            </w:tcBorders>
            <w:shd w:val="clear" w:color="auto" w:fill="FFFFFF"/>
            <w:noWrap/>
            <w:vAlign w:val="center"/>
          </w:tcPr>
          <w:p w14:paraId="2368A433">
            <w:pPr>
              <w:widowControl/>
              <w:spacing w:line="360" w:lineRule="auto"/>
              <w:jc w:val="right"/>
              <w:rPr>
                <w:rFonts w:ascii="宋体" w:hAnsi="宋体" w:eastAsia="仿宋" w:cs="宋体"/>
                <w:color w:val="000000"/>
                <w:kern w:val="0"/>
                <w:sz w:val="22"/>
                <w:szCs w:val="22"/>
              </w:rPr>
            </w:pPr>
          </w:p>
        </w:tc>
      </w:tr>
      <w:tr w14:paraId="0F78C620">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40098915">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40B2A6A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N3N4之间平房</w:t>
            </w:r>
          </w:p>
        </w:tc>
        <w:tc>
          <w:tcPr>
            <w:tcW w:w="1520" w:type="dxa"/>
            <w:tcBorders>
              <w:top w:val="nil"/>
              <w:left w:val="nil"/>
              <w:bottom w:val="single" w:color="auto" w:sz="4" w:space="0"/>
              <w:right w:val="single" w:color="auto" w:sz="4" w:space="0"/>
            </w:tcBorders>
            <w:shd w:val="clear" w:color="auto" w:fill="FFFFFF"/>
            <w:noWrap/>
            <w:vAlign w:val="center"/>
          </w:tcPr>
          <w:p w14:paraId="2E496C5E">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6D1707D1">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79.37 </w:t>
            </w:r>
          </w:p>
        </w:tc>
        <w:tc>
          <w:tcPr>
            <w:tcW w:w="2100" w:type="dxa"/>
            <w:tcBorders>
              <w:top w:val="nil"/>
              <w:left w:val="nil"/>
              <w:bottom w:val="single" w:color="auto" w:sz="4" w:space="0"/>
              <w:right w:val="single" w:color="auto" w:sz="4" w:space="0"/>
            </w:tcBorders>
            <w:shd w:val="clear" w:color="auto" w:fill="FFFFFF"/>
            <w:noWrap/>
            <w:vAlign w:val="center"/>
          </w:tcPr>
          <w:p w14:paraId="4408E0BE">
            <w:pPr>
              <w:widowControl/>
              <w:spacing w:line="360" w:lineRule="auto"/>
              <w:jc w:val="right"/>
              <w:rPr>
                <w:rFonts w:ascii="宋体" w:hAnsi="宋体" w:eastAsia="仿宋" w:cs="宋体"/>
                <w:color w:val="000000"/>
                <w:kern w:val="0"/>
                <w:sz w:val="22"/>
                <w:szCs w:val="22"/>
              </w:rPr>
            </w:pPr>
          </w:p>
        </w:tc>
      </w:tr>
      <w:tr w14:paraId="4A490BD1">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53D6411">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2818763E">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食堂职工宿舍</w:t>
            </w:r>
          </w:p>
        </w:tc>
        <w:tc>
          <w:tcPr>
            <w:tcW w:w="1520" w:type="dxa"/>
            <w:tcBorders>
              <w:top w:val="nil"/>
              <w:left w:val="nil"/>
              <w:bottom w:val="single" w:color="auto" w:sz="4" w:space="0"/>
              <w:right w:val="single" w:color="auto" w:sz="4" w:space="0"/>
            </w:tcBorders>
            <w:shd w:val="clear" w:color="auto" w:fill="FFFFFF"/>
            <w:noWrap/>
            <w:vAlign w:val="center"/>
          </w:tcPr>
          <w:p w14:paraId="28BCA2B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6A9FF175">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87.72 </w:t>
            </w:r>
          </w:p>
        </w:tc>
        <w:tc>
          <w:tcPr>
            <w:tcW w:w="2100" w:type="dxa"/>
            <w:tcBorders>
              <w:top w:val="nil"/>
              <w:left w:val="nil"/>
              <w:bottom w:val="single" w:color="auto" w:sz="4" w:space="0"/>
              <w:right w:val="single" w:color="auto" w:sz="4" w:space="0"/>
            </w:tcBorders>
            <w:shd w:val="clear" w:color="auto" w:fill="FFFFFF"/>
            <w:noWrap/>
            <w:vAlign w:val="center"/>
          </w:tcPr>
          <w:p w14:paraId="4112DEB8">
            <w:pPr>
              <w:widowControl/>
              <w:spacing w:line="360" w:lineRule="auto"/>
              <w:jc w:val="right"/>
              <w:rPr>
                <w:rFonts w:ascii="宋体" w:hAnsi="宋体" w:eastAsia="仿宋" w:cs="宋体"/>
                <w:color w:val="000000"/>
                <w:kern w:val="0"/>
                <w:sz w:val="22"/>
                <w:szCs w:val="22"/>
              </w:rPr>
            </w:pPr>
          </w:p>
        </w:tc>
      </w:tr>
      <w:tr w14:paraId="3C4A9471">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98FED94">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17798F56">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北校学生浴室</w:t>
            </w:r>
          </w:p>
        </w:tc>
        <w:tc>
          <w:tcPr>
            <w:tcW w:w="1520" w:type="dxa"/>
            <w:tcBorders>
              <w:top w:val="nil"/>
              <w:left w:val="nil"/>
              <w:bottom w:val="single" w:color="auto" w:sz="4" w:space="0"/>
              <w:right w:val="single" w:color="auto" w:sz="4" w:space="0"/>
            </w:tcBorders>
            <w:shd w:val="clear" w:color="auto" w:fill="FFFFFF"/>
            <w:noWrap/>
            <w:vAlign w:val="center"/>
          </w:tcPr>
          <w:p w14:paraId="6A627BEA">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3E1A20FD">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130.20 </w:t>
            </w:r>
          </w:p>
        </w:tc>
        <w:tc>
          <w:tcPr>
            <w:tcW w:w="2100" w:type="dxa"/>
            <w:tcBorders>
              <w:top w:val="nil"/>
              <w:left w:val="nil"/>
              <w:bottom w:val="single" w:color="auto" w:sz="4" w:space="0"/>
              <w:right w:val="single" w:color="auto" w:sz="4" w:space="0"/>
            </w:tcBorders>
            <w:shd w:val="clear" w:color="auto" w:fill="FFFFFF"/>
            <w:noWrap/>
            <w:vAlign w:val="center"/>
          </w:tcPr>
          <w:p w14:paraId="1A63F5FA">
            <w:pPr>
              <w:widowControl/>
              <w:spacing w:line="360" w:lineRule="auto"/>
              <w:jc w:val="right"/>
              <w:rPr>
                <w:rFonts w:ascii="宋体" w:hAnsi="宋体" w:eastAsia="仿宋" w:cs="宋体"/>
                <w:color w:val="000000"/>
                <w:kern w:val="0"/>
                <w:sz w:val="22"/>
                <w:szCs w:val="22"/>
              </w:rPr>
            </w:pPr>
          </w:p>
        </w:tc>
      </w:tr>
      <w:tr w14:paraId="11044081">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04A1FFB">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7C3629F2">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小计</w:t>
            </w:r>
          </w:p>
        </w:tc>
        <w:tc>
          <w:tcPr>
            <w:tcW w:w="1520" w:type="dxa"/>
            <w:tcBorders>
              <w:top w:val="nil"/>
              <w:left w:val="nil"/>
              <w:bottom w:val="single" w:color="auto" w:sz="4" w:space="0"/>
              <w:right w:val="single" w:color="auto" w:sz="4" w:space="0"/>
            </w:tcBorders>
            <w:shd w:val="clear" w:color="auto" w:fill="FFFFFF"/>
            <w:noWrap/>
            <w:vAlign w:val="center"/>
          </w:tcPr>
          <w:p w14:paraId="4DE84B38">
            <w:pPr>
              <w:widowControl/>
              <w:spacing w:line="360" w:lineRule="auto"/>
              <w:jc w:val="left"/>
              <w:rPr>
                <w:rFonts w:ascii="宋体" w:hAnsi="宋体" w:eastAsia="仿宋" w:cs="宋体"/>
                <w:color w:val="000000"/>
                <w:kern w:val="0"/>
                <w:sz w:val="22"/>
                <w:szCs w:val="22"/>
              </w:rPr>
            </w:pPr>
            <w:r>
              <w:rPr>
                <w:rFonts w:hint="eastAsia" w:ascii="宋体" w:hAnsi="宋体" w:eastAsia="仿宋" w:cs="宋体"/>
                <w:color w:val="000000"/>
                <w:kern w:val="0"/>
                <w:sz w:val="22"/>
                <w:szCs w:val="22"/>
              </w:rPr>
              <w:t>　</w:t>
            </w:r>
          </w:p>
        </w:tc>
        <w:tc>
          <w:tcPr>
            <w:tcW w:w="2100" w:type="dxa"/>
            <w:tcBorders>
              <w:top w:val="nil"/>
              <w:left w:val="nil"/>
              <w:bottom w:val="single" w:color="auto" w:sz="4" w:space="0"/>
              <w:right w:val="single" w:color="auto" w:sz="4" w:space="0"/>
            </w:tcBorders>
            <w:shd w:val="clear" w:color="auto" w:fill="FFFFFF"/>
            <w:noWrap/>
            <w:vAlign w:val="center"/>
          </w:tcPr>
          <w:p w14:paraId="2AF635B8">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16468.67 </w:t>
            </w:r>
          </w:p>
        </w:tc>
        <w:tc>
          <w:tcPr>
            <w:tcW w:w="2100" w:type="dxa"/>
            <w:tcBorders>
              <w:top w:val="nil"/>
              <w:left w:val="nil"/>
              <w:bottom w:val="single" w:color="auto" w:sz="4" w:space="0"/>
              <w:right w:val="single" w:color="auto" w:sz="4" w:space="0"/>
            </w:tcBorders>
            <w:shd w:val="clear" w:color="auto" w:fill="FFFFFF"/>
            <w:noWrap/>
            <w:vAlign w:val="center"/>
          </w:tcPr>
          <w:p w14:paraId="191AA0EF">
            <w:pPr>
              <w:widowControl/>
              <w:spacing w:line="360" w:lineRule="auto"/>
              <w:jc w:val="right"/>
              <w:rPr>
                <w:rFonts w:ascii="宋体" w:hAnsi="宋体" w:eastAsia="仿宋" w:cs="宋体"/>
                <w:color w:val="000000"/>
                <w:kern w:val="0"/>
                <w:sz w:val="22"/>
                <w:szCs w:val="22"/>
              </w:rPr>
            </w:pPr>
          </w:p>
        </w:tc>
      </w:tr>
      <w:tr w14:paraId="5C05BE4F">
        <w:tblPrEx>
          <w:tblCellMar>
            <w:top w:w="0" w:type="dxa"/>
            <w:left w:w="108" w:type="dxa"/>
            <w:bottom w:w="0" w:type="dxa"/>
            <w:right w:w="108" w:type="dxa"/>
          </w:tblCellMar>
        </w:tblPrEx>
        <w:trPr>
          <w:trHeight w:val="690" w:hRule="atLeast"/>
        </w:trPr>
        <w:tc>
          <w:tcPr>
            <w:tcW w:w="960" w:type="dxa"/>
            <w:vMerge w:val="restart"/>
            <w:tcBorders>
              <w:top w:val="nil"/>
              <w:left w:val="single" w:color="auto" w:sz="4" w:space="0"/>
              <w:bottom w:val="single" w:color="auto" w:sz="4" w:space="0"/>
              <w:right w:val="single" w:color="auto" w:sz="4" w:space="0"/>
            </w:tcBorders>
            <w:shd w:val="clear" w:color="auto" w:fill="FFFFFF"/>
            <w:noWrap/>
            <w:vAlign w:val="center"/>
          </w:tcPr>
          <w:p w14:paraId="55F7ECF5">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南校</w:t>
            </w:r>
          </w:p>
        </w:tc>
        <w:tc>
          <w:tcPr>
            <w:tcW w:w="1700" w:type="dxa"/>
            <w:vMerge w:val="restart"/>
            <w:tcBorders>
              <w:top w:val="nil"/>
              <w:left w:val="single" w:color="auto" w:sz="4" w:space="0"/>
              <w:bottom w:val="single" w:color="auto" w:sz="4" w:space="0"/>
              <w:right w:val="single" w:color="auto" w:sz="4" w:space="0"/>
            </w:tcBorders>
            <w:shd w:val="clear" w:color="auto" w:fill="FFFFFF"/>
            <w:noWrap/>
            <w:vAlign w:val="center"/>
          </w:tcPr>
          <w:p w14:paraId="2C3C173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S1楼</w:t>
            </w:r>
          </w:p>
        </w:tc>
        <w:tc>
          <w:tcPr>
            <w:tcW w:w="1520" w:type="dxa"/>
            <w:tcBorders>
              <w:top w:val="nil"/>
              <w:left w:val="nil"/>
              <w:bottom w:val="single" w:color="auto" w:sz="4" w:space="0"/>
              <w:right w:val="single" w:color="auto" w:sz="4" w:space="0"/>
            </w:tcBorders>
            <w:shd w:val="clear" w:color="auto" w:fill="FFFFFF"/>
            <w:noWrap/>
            <w:vAlign w:val="center"/>
          </w:tcPr>
          <w:p w14:paraId="349CB5D8">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6/-1</w:t>
            </w:r>
          </w:p>
        </w:tc>
        <w:tc>
          <w:tcPr>
            <w:tcW w:w="2100" w:type="dxa"/>
            <w:tcBorders>
              <w:top w:val="nil"/>
              <w:left w:val="nil"/>
              <w:bottom w:val="single" w:color="auto" w:sz="4" w:space="0"/>
              <w:right w:val="single" w:color="auto" w:sz="4" w:space="0"/>
            </w:tcBorders>
            <w:shd w:val="clear" w:color="auto" w:fill="FFFFFF"/>
            <w:noWrap/>
            <w:vAlign w:val="center"/>
          </w:tcPr>
          <w:p w14:paraId="7C338001">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7526.61 </w:t>
            </w:r>
          </w:p>
        </w:tc>
        <w:tc>
          <w:tcPr>
            <w:tcW w:w="2100" w:type="dxa"/>
            <w:tcBorders>
              <w:top w:val="nil"/>
              <w:left w:val="nil"/>
              <w:bottom w:val="single" w:color="auto" w:sz="4" w:space="0"/>
              <w:right w:val="single" w:color="auto" w:sz="4" w:space="0"/>
            </w:tcBorders>
            <w:shd w:val="clear" w:color="auto" w:fill="FFFFFF"/>
            <w:noWrap/>
            <w:vAlign w:val="center"/>
          </w:tcPr>
          <w:p w14:paraId="170E4744">
            <w:pPr>
              <w:widowControl/>
              <w:spacing w:line="360" w:lineRule="auto"/>
              <w:jc w:val="right"/>
              <w:rPr>
                <w:rFonts w:ascii="宋体" w:hAnsi="宋体" w:eastAsia="仿宋" w:cs="宋体"/>
                <w:color w:val="000000"/>
                <w:kern w:val="0"/>
                <w:sz w:val="22"/>
                <w:szCs w:val="22"/>
              </w:rPr>
            </w:pPr>
          </w:p>
        </w:tc>
      </w:tr>
      <w:tr w14:paraId="1BE9CA4A">
        <w:tblPrEx>
          <w:shd w:val="clear" w:color="auto" w:fill="FFFFFF"/>
          <w:tblCellMar>
            <w:top w:w="0" w:type="dxa"/>
            <w:left w:w="108" w:type="dxa"/>
            <w:bottom w:w="0" w:type="dxa"/>
            <w:right w:w="108" w:type="dxa"/>
          </w:tblCellMar>
        </w:tblPrEx>
        <w:trPr>
          <w:trHeight w:val="512"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4EFD7EE3">
            <w:pPr>
              <w:widowControl/>
              <w:spacing w:line="360" w:lineRule="auto"/>
              <w:jc w:val="left"/>
              <w:rPr>
                <w:rFonts w:ascii="宋体" w:hAnsi="宋体" w:eastAsia="仿宋" w:cs="宋体"/>
                <w:color w:val="000000"/>
                <w:kern w:val="0"/>
                <w:sz w:val="22"/>
                <w:szCs w:val="22"/>
              </w:rPr>
            </w:pPr>
          </w:p>
        </w:tc>
        <w:tc>
          <w:tcPr>
            <w:tcW w:w="170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51E6B0F">
            <w:pPr>
              <w:widowControl/>
              <w:spacing w:line="360" w:lineRule="auto"/>
              <w:jc w:val="left"/>
              <w:rPr>
                <w:rFonts w:ascii="宋体" w:hAnsi="宋体" w:eastAsia="仿宋" w:cs="宋体"/>
                <w:color w:val="000000"/>
                <w:kern w:val="0"/>
                <w:sz w:val="22"/>
                <w:szCs w:val="22"/>
              </w:rPr>
            </w:pPr>
          </w:p>
        </w:tc>
        <w:tc>
          <w:tcPr>
            <w:tcW w:w="1520" w:type="dxa"/>
            <w:tcBorders>
              <w:top w:val="nil"/>
              <w:left w:val="nil"/>
              <w:bottom w:val="single" w:color="auto" w:sz="4" w:space="0"/>
              <w:right w:val="single" w:color="auto" w:sz="4" w:space="0"/>
            </w:tcBorders>
            <w:shd w:val="clear" w:color="auto" w:fill="FFFFFF"/>
            <w:noWrap/>
            <w:vAlign w:val="center"/>
          </w:tcPr>
          <w:p w14:paraId="4ACC43AA">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人防面积</w:t>
            </w:r>
          </w:p>
        </w:tc>
        <w:tc>
          <w:tcPr>
            <w:tcW w:w="2100" w:type="dxa"/>
            <w:tcBorders>
              <w:top w:val="nil"/>
              <w:left w:val="nil"/>
              <w:bottom w:val="single" w:color="auto" w:sz="4" w:space="0"/>
              <w:right w:val="single" w:color="auto" w:sz="4" w:space="0"/>
            </w:tcBorders>
            <w:shd w:val="clear" w:color="auto" w:fill="FFFFFF"/>
            <w:noWrap/>
            <w:vAlign w:val="center"/>
          </w:tcPr>
          <w:p w14:paraId="6BC91966">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573.84 </w:t>
            </w:r>
          </w:p>
        </w:tc>
        <w:tc>
          <w:tcPr>
            <w:tcW w:w="2100" w:type="dxa"/>
            <w:tcBorders>
              <w:top w:val="nil"/>
              <w:left w:val="nil"/>
              <w:bottom w:val="single" w:color="auto" w:sz="4" w:space="0"/>
              <w:right w:val="single" w:color="auto" w:sz="4" w:space="0"/>
            </w:tcBorders>
            <w:shd w:val="clear" w:color="auto" w:fill="FFFFFF"/>
            <w:noWrap/>
            <w:vAlign w:val="center"/>
          </w:tcPr>
          <w:p w14:paraId="672CC53B">
            <w:pPr>
              <w:widowControl/>
              <w:spacing w:line="360" w:lineRule="auto"/>
              <w:jc w:val="right"/>
              <w:rPr>
                <w:rFonts w:ascii="宋体" w:hAnsi="宋体" w:eastAsia="仿宋" w:cs="宋体"/>
                <w:color w:val="000000"/>
                <w:kern w:val="0"/>
                <w:sz w:val="22"/>
                <w:szCs w:val="22"/>
              </w:rPr>
            </w:pPr>
          </w:p>
        </w:tc>
      </w:tr>
      <w:tr w14:paraId="301950D0">
        <w:tblPrEx>
          <w:shd w:val="clear" w:color="auto" w:fill="FFFFFF"/>
          <w:tblCellMar>
            <w:top w:w="0" w:type="dxa"/>
            <w:left w:w="108" w:type="dxa"/>
            <w:bottom w:w="0" w:type="dxa"/>
            <w:right w:w="108" w:type="dxa"/>
          </w:tblCellMar>
        </w:tblPrEx>
        <w:trPr>
          <w:trHeight w:val="630"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DC0D8FE">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526F220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S2楼</w:t>
            </w:r>
          </w:p>
        </w:tc>
        <w:tc>
          <w:tcPr>
            <w:tcW w:w="1520" w:type="dxa"/>
            <w:tcBorders>
              <w:top w:val="nil"/>
              <w:left w:val="nil"/>
              <w:bottom w:val="single" w:color="auto" w:sz="4" w:space="0"/>
              <w:right w:val="single" w:color="auto" w:sz="4" w:space="0"/>
            </w:tcBorders>
            <w:shd w:val="clear" w:color="auto" w:fill="FFFFFF"/>
            <w:noWrap/>
            <w:vAlign w:val="center"/>
          </w:tcPr>
          <w:p w14:paraId="396895E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6</w:t>
            </w:r>
          </w:p>
        </w:tc>
        <w:tc>
          <w:tcPr>
            <w:tcW w:w="2100" w:type="dxa"/>
            <w:tcBorders>
              <w:top w:val="nil"/>
              <w:left w:val="nil"/>
              <w:bottom w:val="single" w:color="auto" w:sz="4" w:space="0"/>
              <w:right w:val="single" w:color="auto" w:sz="4" w:space="0"/>
            </w:tcBorders>
            <w:shd w:val="clear" w:color="auto" w:fill="FFFFFF"/>
            <w:noWrap/>
            <w:vAlign w:val="center"/>
          </w:tcPr>
          <w:p w14:paraId="3E22BF33">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5003.22 </w:t>
            </w:r>
          </w:p>
        </w:tc>
        <w:tc>
          <w:tcPr>
            <w:tcW w:w="2100" w:type="dxa"/>
            <w:tcBorders>
              <w:top w:val="nil"/>
              <w:left w:val="nil"/>
              <w:bottom w:val="single" w:color="auto" w:sz="4" w:space="0"/>
              <w:right w:val="single" w:color="auto" w:sz="4" w:space="0"/>
            </w:tcBorders>
            <w:shd w:val="clear" w:color="auto" w:fill="FFFFFF"/>
            <w:noWrap/>
            <w:vAlign w:val="center"/>
          </w:tcPr>
          <w:p w14:paraId="7F872432">
            <w:pPr>
              <w:widowControl/>
              <w:spacing w:line="360" w:lineRule="auto"/>
              <w:jc w:val="right"/>
              <w:rPr>
                <w:rFonts w:ascii="宋体" w:hAnsi="宋体" w:eastAsia="仿宋" w:cs="宋体"/>
                <w:color w:val="000000"/>
                <w:kern w:val="0"/>
                <w:sz w:val="22"/>
                <w:szCs w:val="22"/>
              </w:rPr>
            </w:pPr>
          </w:p>
        </w:tc>
      </w:tr>
      <w:tr w14:paraId="0073B029">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C329235">
            <w:pPr>
              <w:widowControl/>
              <w:spacing w:line="360" w:lineRule="auto"/>
              <w:jc w:val="left"/>
              <w:rPr>
                <w:rFonts w:ascii="宋体" w:hAnsi="宋体" w:eastAsia="仿宋" w:cs="宋体"/>
                <w:color w:val="000000"/>
                <w:kern w:val="0"/>
                <w:sz w:val="22"/>
                <w:szCs w:val="22"/>
              </w:rPr>
            </w:pPr>
          </w:p>
        </w:tc>
        <w:tc>
          <w:tcPr>
            <w:tcW w:w="1700" w:type="dxa"/>
            <w:vMerge w:val="restart"/>
            <w:tcBorders>
              <w:top w:val="nil"/>
              <w:left w:val="single" w:color="auto" w:sz="4" w:space="0"/>
              <w:bottom w:val="single" w:color="auto" w:sz="4" w:space="0"/>
              <w:right w:val="single" w:color="auto" w:sz="4" w:space="0"/>
            </w:tcBorders>
            <w:shd w:val="clear" w:color="auto" w:fill="FFFFFF"/>
            <w:noWrap/>
            <w:vAlign w:val="center"/>
          </w:tcPr>
          <w:p w14:paraId="7FC491B3">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S3楼</w:t>
            </w:r>
          </w:p>
        </w:tc>
        <w:tc>
          <w:tcPr>
            <w:tcW w:w="1520" w:type="dxa"/>
            <w:tcBorders>
              <w:top w:val="nil"/>
              <w:left w:val="nil"/>
              <w:bottom w:val="single" w:color="auto" w:sz="4" w:space="0"/>
              <w:right w:val="single" w:color="auto" w:sz="4" w:space="0"/>
            </w:tcBorders>
            <w:shd w:val="clear" w:color="auto" w:fill="FFFFFF"/>
            <w:noWrap/>
            <w:vAlign w:val="center"/>
          </w:tcPr>
          <w:p w14:paraId="2675790C">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47F978AF">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2913.14 </w:t>
            </w:r>
          </w:p>
        </w:tc>
        <w:tc>
          <w:tcPr>
            <w:tcW w:w="2100" w:type="dxa"/>
            <w:tcBorders>
              <w:top w:val="nil"/>
              <w:left w:val="nil"/>
              <w:bottom w:val="single" w:color="auto" w:sz="4" w:space="0"/>
              <w:right w:val="single" w:color="auto" w:sz="4" w:space="0"/>
            </w:tcBorders>
            <w:shd w:val="clear" w:color="auto" w:fill="FFFFFF"/>
            <w:noWrap/>
            <w:vAlign w:val="center"/>
          </w:tcPr>
          <w:p w14:paraId="0D23ADF7">
            <w:pPr>
              <w:widowControl/>
              <w:spacing w:line="360" w:lineRule="auto"/>
              <w:jc w:val="right"/>
              <w:rPr>
                <w:rFonts w:ascii="宋体" w:hAnsi="宋体" w:eastAsia="仿宋" w:cs="宋体"/>
                <w:color w:val="000000"/>
                <w:kern w:val="0"/>
                <w:sz w:val="22"/>
                <w:szCs w:val="22"/>
              </w:rPr>
            </w:pPr>
          </w:p>
        </w:tc>
      </w:tr>
      <w:tr w14:paraId="448D4EC8">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14E1A95">
            <w:pPr>
              <w:widowControl/>
              <w:spacing w:line="360" w:lineRule="auto"/>
              <w:jc w:val="left"/>
              <w:rPr>
                <w:rFonts w:ascii="宋体" w:hAnsi="宋体" w:eastAsia="仿宋" w:cs="宋体"/>
                <w:color w:val="000000"/>
                <w:kern w:val="0"/>
                <w:sz w:val="22"/>
                <w:szCs w:val="22"/>
              </w:rPr>
            </w:pPr>
          </w:p>
        </w:tc>
        <w:tc>
          <w:tcPr>
            <w:tcW w:w="170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974AD97">
            <w:pPr>
              <w:widowControl/>
              <w:spacing w:line="360" w:lineRule="auto"/>
              <w:jc w:val="left"/>
              <w:rPr>
                <w:rFonts w:ascii="宋体" w:hAnsi="宋体" w:eastAsia="仿宋" w:cs="宋体"/>
                <w:color w:val="000000"/>
                <w:kern w:val="0"/>
                <w:sz w:val="22"/>
                <w:szCs w:val="22"/>
              </w:rPr>
            </w:pPr>
          </w:p>
        </w:tc>
        <w:tc>
          <w:tcPr>
            <w:tcW w:w="1520" w:type="dxa"/>
            <w:tcBorders>
              <w:top w:val="nil"/>
              <w:left w:val="nil"/>
              <w:bottom w:val="single" w:color="auto" w:sz="4" w:space="0"/>
              <w:right w:val="single" w:color="auto" w:sz="4" w:space="0"/>
            </w:tcBorders>
            <w:shd w:val="clear" w:color="auto" w:fill="FFFFFF"/>
            <w:noWrap/>
            <w:vAlign w:val="center"/>
          </w:tcPr>
          <w:p w14:paraId="69612687">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加建羽毛球馆</w:t>
            </w:r>
          </w:p>
        </w:tc>
        <w:tc>
          <w:tcPr>
            <w:tcW w:w="2100" w:type="dxa"/>
            <w:tcBorders>
              <w:top w:val="nil"/>
              <w:left w:val="nil"/>
              <w:bottom w:val="single" w:color="auto" w:sz="4" w:space="0"/>
              <w:right w:val="single" w:color="auto" w:sz="4" w:space="0"/>
            </w:tcBorders>
            <w:shd w:val="clear" w:color="auto" w:fill="FFFFFF"/>
            <w:noWrap/>
            <w:vAlign w:val="center"/>
          </w:tcPr>
          <w:p w14:paraId="526BBC22">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1110.00 </w:t>
            </w:r>
          </w:p>
        </w:tc>
        <w:tc>
          <w:tcPr>
            <w:tcW w:w="2100" w:type="dxa"/>
            <w:tcBorders>
              <w:top w:val="nil"/>
              <w:left w:val="nil"/>
              <w:bottom w:val="single" w:color="auto" w:sz="4" w:space="0"/>
              <w:right w:val="single" w:color="auto" w:sz="4" w:space="0"/>
            </w:tcBorders>
            <w:shd w:val="clear" w:color="auto" w:fill="FFFFFF"/>
            <w:noWrap/>
            <w:vAlign w:val="center"/>
          </w:tcPr>
          <w:p w14:paraId="2F2B2EBF">
            <w:pPr>
              <w:widowControl/>
              <w:spacing w:line="360" w:lineRule="auto"/>
              <w:jc w:val="right"/>
              <w:rPr>
                <w:rFonts w:ascii="宋体" w:hAnsi="宋体" w:eastAsia="仿宋" w:cs="宋体"/>
                <w:color w:val="000000"/>
                <w:kern w:val="0"/>
                <w:sz w:val="22"/>
                <w:szCs w:val="22"/>
              </w:rPr>
            </w:pPr>
          </w:p>
        </w:tc>
      </w:tr>
      <w:tr w14:paraId="7CEEC517">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821C090">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21BEE75E">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S4楼</w:t>
            </w:r>
          </w:p>
        </w:tc>
        <w:tc>
          <w:tcPr>
            <w:tcW w:w="1520" w:type="dxa"/>
            <w:tcBorders>
              <w:top w:val="nil"/>
              <w:left w:val="nil"/>
              <w:bottom w:val="single" w:color="auto" w:sz="4" w:space="0"/>
              <w:right w:val="single" w:color="auto" w:sz="4" w:space="0"/>
            </w:tcBorders>
            <w:shd w:val="clear" w:color="auto" w:fill="FFFFFF"/>
            <w:noWrap/>
            <w:vAlign w:val="center"/>
          </w:tcPr>
          <w:p w14:paraId="4AE39A08">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6</w:t>
            </w:r>
          </w:p>
        </w:tc>
        <w:tc>
          <w:tcPr>
            <w:tcW w:w="2100" w:type="dxa"/>
            <w:tcBorders>
              <w:top w:val="nil"/>
              <w:left w:val="nil"/>
              <w:bottom w:val="single" w:color="auto" w:sz="4" w:space="0"/>
              <w:right w:val="single" w:color="auto" w:sz="4" w:space="0"/>
            </w:tcBorders>
            <w:shd w:val="clear" w:color="auto" w:fill="FFFFFF"/>
            <w:noWrap/>
            <w:vAlign w:val="center"/>
          </w:tcPr>
          <w:p w14:paraId="28D918B0">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9602.59 </w:t>
            </w:r>
          </w:p>
        </w:tc>
        <w:tc>
          <w:tcPr>
            <w:tcW w:w="2100" w:type="dxa"/>
            <w:tcBorders>
              <w:top w:val="nil"/>
              <w:left w:val="nil"/>
              <w:bottom w:val="single" w:color="auto" w:sz="4" w:space="0"/>
              <w:right w:val="single" w:color="auto" w:sz="4" w:space="0"/>
            </w:tcBorders>
            <w:shd w:val="clear" w:color="auto" w:fill="FFFFFF"/>
            <w:noWrap/>
            <w:vAlign w:val="center"/>
          </w:tcPr>
          <w:p w14:paraId="0992E99D">
            <w:pPr>
              <w:widowControl/>
              <w:spacing w:line="360" w:lineRule="auto"/>
              <w:jc w:val="right"/>
              <w:rPr>
                <w:rFonts w:ascii="宋体" w:hAnsi="宋体" w:eastAsia="仿宋" w:cs="宋体"/>
                <w:color w:val="000000"/>
                <w:kern w:val="0"/>
                <w:sz w:val="22"/>
                <w:szCs w:val="22"/>
              </w:rPr>
            </w:pPr>
          </w:p>
        </w:tc>
      </w:tr>
      <w:tr w14:paraId="6D774DAB">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06BFBCA">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22C322A5">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S5楼</w:t>
            </w:r>
          </w:p>
        </w:tc>
        <w:tc>
          <w:tcPr>
            <w:tcW w:w="1520" w:type="dxa"/>
            <w:tcBorders>
              <w:top w:val="nil"/>
              <w:left w:val="nil"/>
              <w:bottom w:val="single" w:color="auto" w:sz="4" w:space="0"/>
              <w:right w:val="single" w:color="auto" w:sz="4" w:space="0"/>
            </w:tcBorders>
            <w:shd w:val="clear" w:color="auto" w:fill="FFFFFF"/>
            <w:noWrap/>
            <w:vAlign w:val="center"/>
          </w:tcPr>
          <w:p w14:paraId="69826D57">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1/夹</w:t>
            </w:r>
          </w:p>
        </w:tc>
        <w:tc>
          <w:tcPr>
            <w:tcW w:w="2100" w:type="dxa"/>
            <w:tcBorders>
              <w:top w:val="nil"/>
              <w:left w:val="nil"/>
              <w:bottom w:val="single" w:color="auto" w:sz="4" w:space="0"/>
              <w:right w:val="single" w:color="auto" w:sz="4" w:space="0"/>
            </w:tcBorders>
            <w:shd w:val="clear" w:color="auto" w:fill="FFFFFF"/>
            <w:noWrap/>
            <w:vAlign w:val="center"/>
          </w:tcPr>
          <w:p w14:paraId="439C28EA">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2331.00 </w:t>
            </w:r>
          </w:p>
        </w:tc>
        <w:tc>
          <w:tcPr>
            <w:tcW w:w="2100" w:type="dxa"/>
            <w:tcBorders>
              <w:top w:val="nil"/>
              <w:left w:val="nil"/>
              <w:bottom w:val="single" w:color="auto" w:sz="4" w:space="0"/>
              <w:right w:val="single" w:color="auto" w:sz="4" w:space="0"/>
            </w:tcBorders>
            <w:shd w:val="clear" w:color="auto" w:fill="FFFFFF"/>
            <w:noWrap/>
            <w:vAlign w:val="center"/>
          </w:tcPr>
          <w:p w14:paraId="29F8273C">
            <w:pPr>
              <w:widowControl/>
              <w:spacing w:line="360" w:lineRule="auto"/>
              <w:jc w:val="right"/>
              <w:rPr>
                <w:rFonts w:ascii="宋体" w:hAnsi="宋体" w:eastAsia="仿宋" w:cs="宋体"/>
                <w:color w:val="000000"/>
                <w:kern w:val="0"/>
                <w:sz w:val="22"/>
                <w:szCs w:val="22"/>
              </w:rPr>
            </w:pPr>
          </w:p>
        </w:tc>
      </w:tr>
      <w:tr w14:paraId="0F6FFD50">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D5DDACA">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758120BA">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S6楼</w:t>
            </w:r>
          </w:p>
        </w:tc>
        <w:tc>
          <w:tcPr>
            <w:tcW w:w="1520" w:type="dxa"/>
            <w:tcBorders>
              <w:top w:val="nil"/>
              <w:left w:val="nil"/>
              <w:bottom w:val="single" w:color="auto" w:sz="4" w:space="0"/>
              <w:right w:val="single" w:color="auto" w:sz="4" w:space="0"/>
            </w:tcBorders>
            <w:shd w:val="clear" w:color="auto" w:fill="FFFFFF"/>
            <w:noWrap/>
            <w:vAlign w:val="center"/>
          </w:tcPr>
          <w:p w14:paraId="643C06D3">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3/-1</w:t>
            </w:r>
          </w:p>
        </w:tc>
        <w:tc>
          <w:tcPr>
            <w:tcW w:w="2100" w:type="dxa"/>
            <w:tcBorders>
              <w:top w:val="nil"/>
              <w:left w:val="nil"/>
              <w:bottom w:val="single" w:color="auto" w:sz="4" w:space="0"/>
              <w:right w:val="single" w:color="auto" w:sz="4" w:space="0"/>
            </w:tcBorders>
            <w:shd w:val="clear" w:color="auto" w:fill="FFFFFF"/>
            <w:noWrap/>
            <w:vAlign w:val="center"/>
          </w:tcPr>
          <w:p w14:paraId="748FAA64">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3408.43 </w:t>
            </w:r>
          </w:p>
        </w:tc>
        <w:tc>
          <w:tcPr>
            <w:tcW w:w="2100" w:type="dxa"/>
            <w:tcBorders>
              <w:top w:val="nil"/>
              <w:left w:val="nil"/>
              <w:bottom w:val="single" w:color="auto" w:sz="4" w:space="0"/>
              <w:right w:val="single" w:color="auto" w:sz="4" w:space="0"/>
            </w:tcBorders>
            <w:shd w:val="clear" w:color="auto" w:fill="FFFFFF"/>
            <w:noWrap/>
            <w:vAlign w:val="center"/>
          </w:tcPr>
          <w:p w14:paraId="5286557C">
            <w:pPr>
              <w:widowControl/>
              <w:spacing w:line="360" w:lineRule="auto"/>
              <w:jc w:val="right"/>
              <w:rPr>
                <w:rFonts w:ascii="宋体" w:hAnsi="宋体" w:eastAsia="仿宋" w:cs="宋体"/>
                <w:color w:val="000000"/>
                <w:kern w:val="0"/>
                <w:sz w:val="22"/>
                <w:szCs w:val="22"/>
              </w:rPr>
            </w:pPr>
          </w:p>
        </w:tc>
      </w:tr>
      <w:tr w14:paraId="6C0992A2">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4268BCA">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010D1EC">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看台</w:t>
            </w:r>
          </w:p>
        </w:tc>
        <w:tc>
          <w:tcPr>
            <w:tcW w:w="1520" w:type="dxa"/>
            <w:tcBorders>
              <w:top w:val="nil"/>
              <w:left w:val="nil"/>
              <w:bottom w:val="single" w:color="auto" w:sz="4" w:space="0"/>
              <w:right w:val="single" w:color="auto" w:sz="4" w:space="0"/>
            </w:tcBorders>
            <w:shd w:val="clear" w:color="auto" w:fill="FFFFFF"/>
            <w:noWrap/>
            <w:vAlign w:val="center"/>
          </w:tcPr>
          <w:p w14:paraId="35DF232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6FA3F234">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1345.05 </w:t>
            </w:r>
          </w:p>
        </w:tc>
        <w:tc>
          <w:tcPr>
            <w:tcW w:w="2100" w:type="dxa"/>
            <w:tcBorders>
              <w:top w:val="nil"/>
              <w:left w:val="nil"/>
              <w:bottom w:val="single" w:color="auto" w:sz="4" w:space="0"/>
              <w:right w:val="single" w:color="auto" w:sz="4" w:space="0"/>
            </w:tcBorders>
            <w:shd w:val="clear" w:color="auto" w:fill="FFFFFF"/>
            <w:noWrap/>
            <w:vAlign w:val="center"/>
          </w:tcPr>
          <w:p w14:paraId="02B48CB7">
            <w:pPr>
              <w:widowControl/>
              <w:spacing w:line="360" w:lineRule="auto"/>
              <w:jc w:val="right"/>
              <w:rPr>
                <w:rFonts w:ascii="宋体" w:hAnsi="宋体" w:eastAsia="仿宋" w:cs="宋体"/>
                <w:color w:val="000000"/>
                <w:kern w:val="0"/>
                <w:sz w:val="22"/>
                <w:szCs w:val="22"/>
              </w:rPr>
            </w:pPr>
          </w:p>
        </w:tc>
      </w:tr>
      <w:tr w14:paraId="166E4417">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023A967">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F6ADD0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招就处</w:t>
            </w:r>
          </w:p>
        </w:tc>
        <w:tc>
          <w:tcPr>
            <w:tcW w:w="1520" w:type="dxa"/>
            <w:tcBorders>
              <w:top w:val="nil"/>
              <w:left w:val="nil"/>
              <w:bottom w:val="single" w:color="auto" w:sz="4" w:space="0"/>
              <w:right w:val="single" w:color="auto" w:sz="4" w:space="0"/>
            </w:tcBorders>
            <w:shd w:val="clear" w:color="auto" w:fill="FFFFFF"/>
            <w:noWrap/>
            <w:vAlign w:val="center"/>
          </w:tcPr>
          <w:p w14:paraId="069F8AB6">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5B8E3CBC">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130.94 </w:t>
            </w:r>
          </w:p>
        </w:tc>
        <w:tc>
          <w:tcPr>
            <w:tcW w:w="2100" w:type="dxa"/>
            <w:tcBorders>
              <w:top w:val="nil"/>
              <w:left w:val="nil"/>
              <w:bottom w:val="single" w:color="auto" w:sz="4" w:space="0"/>
              <w:right w:val="single" w:color="auto" w:sz="4" w:space="0"/>
            </w:tcBorders>
            <w:shd w:val="clear" w:color="auto" w:fill="FFFFFF"/>
            <w:noWrap/>
            <w:vAlign w:val="center"/>
          </w:tcPr>
          <w:p w14:paraId="1CC6E30E">
            <w:pPr>
              <w:widowControl/>
              <w:spacing w:line="360" w:lineRule="auto"/>
              <w:jc w:val="right"/>
              <w:rPr>
                <w:rFonts w:ascii="宋体" w:hAnsi="宋体" w:eastAsia="仿宋" w:cs="宋体"/>
                <w:color w:val="000000"/>
                <w:kern w:val="0"/>
                <w:sz w:val="22"/>
                <w:szCs w:val="22"/>
              </w:rPr>
            </w:pPr>
          </w:p>
        </w:tc>
      </w:tr>
      <w:tr w14:paraId="05C89E30">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78262DE">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5A29ED23">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招就处库房</w:t>
            </w:r>
          </w:p>
        </w:tc>
        <w:tc>
          <w:tcPr>
            <w:tcW w:w="1520" w:type="dxa"/>
            <w:tcBorders>
              <w:top w:val="nil"/>
              <w:left w:val="nil"/>
              <w:bottom w:val="single" w:color="auto" w:sz="4" w:space="0"/>
              <w:right w:val="single" w:color="auto" w:sz="4" w:space="0"/>
            </w:tcBorders>
            <w:shd w:val="clear" w:color="auto" w:fill="FFFFFF"/>
            <w:noWrap/>
            <w:vAlign w:val="center"/>
          </w:tcPr>
          <w:p w14:paraId="6E1C00E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612AED66">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9.75 </w:t>
            </w:r>
          </w:p>
        </w:tc>
        <w:tc>
          <w:tcPr>
            <w:tcW w:w="2100" w:type="dxa"/>
            <w:tcBorders>
              <w:top w:val="nil"/>
              <w:left w:val="nil"/>
              <w:bottom w:val="single" w:color="auto" w:sz="4" w:space="0"/>
              <w:right w:val="single" w:color="auto" w:sz="4" w:space="0"/>
            </w:tcBorders>
            <w:shd w:val="clear" w:color="auto" w:fill="FFFFFF"/>
            <w:noWrap/>
            <w:vAlign w:val="center"/>
          </w:tcPr>
          <w:p w14:paraId="3CB59E4C">
            <w:pPr>
              <w:widowControl/>
              <w:spacing w:line="360" w:lineRule="auto"/>
              <w:jc w:val="right"/>
              <w:rPr>
                <w:rFonts w:ascii="宋体" w:hAnsi="宋体" w:eastAsia="仿宋" w:cs="宋体"/>
                <w:color w:val="000000"/>
                <w:kern w:val="0"/>
                <w:sz w:val="22"/>
                <w:szCs w:val="22"/>
              </w:rPr>
            </w:pPr>
          </w:p>
        </w:tc>
      </w:tr>
      <w:tr w14:paraId="1BFDBDFB">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058AE60">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121138A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保安室外宿舍</w:t>
            </w:r>
          </w:p>
        </w:tc>
        <w:tc>
          <w:tcPr>
            <w:tcW w:w="1520" w:type="dxa"/>
            <w:tcBorders>
              <w:top w:val="nil"/>
              <w:left w:val="nil"/>
              <w:bottom w:val="single" w:color="auto" w:sz="4" w:space="0"/>
              <w:right w:val="single" w:color="auto" w:sz="4" w:space="0"/>
            </w:tcBorders>
            <w:shd w:val="clear" w:color="auto" w:fill="FFFFFF"/>
            <w:noWrap/>
            <w:vAlign w:val="center"/>
          </w:tcPr>
          <w:p w14:paraId="520FDC58">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34D6D043">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42.18 </w:t>
            </w:r>
          </w:p>
        </w:tc>
        <w:tc>
          <w:tcPr>
            <w:tcW w:w="2100" w:type="dxa"/>
            <w:tcBorders>
              <w:top w:val="nil"/>
              <w:left w:val="nil"/>
              <w:bottom w:val="single" w:color="auto" w:sz="4" w:space="0"/>
              <w:right w:val="single" w:color="auto" w:sz="4" w:space="0"/>
            </w:tcBorders>
            <w:shd w:val="clear" w:color="auto" w:fill="FFFFFF"/>
            <w:noWrap/>
            <w:vAlign w:val="center"/>
          </w:tcPr>
          <w:p w14:paraId="68B420F4">
            <w:pPr>
              <w:widowControl/>
              <w:spacing w:line="360" w:lineRule="auto"/>
              <w:jc w:val="right"/>
              <w:rPr>
                <w:rFonts w:ascii="宋体" w:hAnsi="宋体" w:eastAsia="仿宋" w:cs="宋体"/>
                <w:color w:val="000000"/>
                <w:kern w:val="0"/>
                <w:sz w:val="22"/>
                <w:szCs w:val="22"/>
              </w:rPr>
            </w:pPr>
          </w:p>
        </w:tc>
      </w:tr>
      <w:tr w14:paraId="041BDD8A">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1DDD97B">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B960466">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锅炉房</w:t>
            </w:r>
          </w:p>
        </w:tc>
        <w:tc>
          <w:tcPr>
            <w:tcW w:w="1520" w:type="dxa"/>
            <w:tcBorders>
              <w:top w:val="nil"/>
              <w:left w:val="nil"/>
              <w:bottom w:val="single" w:color="auto" w:sz="4" w:space="0"/>
              <w:right w:val="single" w:color="auto" w:sz="4" w:space="0"/>
            </w:tcBorders>
            <w:shd w:val="clear" w:color="auto" w:fill="FFFFFF"/>
            <w:noWrap/>
            <w:vAlign w:val="center"/>
          </w:tcPr>
          <w:p w14:paraId="41C074E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1/-1</w:t>
            </w:r>
          </w:p>
        </w:tc>
        <w:tc>
          <w:tcPr>
            <w:tcW w:w="2100" w:type="dxa"/>
            <w:tcBorders>
              <w:top w:val="nil"/>
              <w:left w:val="nil"/>
              <w:bottom w:val="single" w:color="auto" w:sz="4" w:space="0"/>
              <w:right w:val="single" w:color="auto" w:sz="4" w:space="0"/>
            </w:tcBorders>
            <w:shd w:val="clear" w:color="auto" w:fill="FFFFFF"/>
            <w:noWrap/>
            <w:vAlign w:val="center"/>
          </w:tcPr>
          <w:p w14:paraId="33D6AE71">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354.23 </w:t>
            </w:r>
          </w:p>
        </w:tc>
        <w:tc>
          <w:tcPr>
            <w:tcW w:w="2100" w:type="dxa"/>
            <w:tcBorders>
              <w:top w:val="nil"/>
              <w:left w:val="nil"/>
              <w:bottom w:val="single" w:color="auto" w:sz="4" w:space="0"/>
              <w:right w:val="single" w:color="auto" w:sz="4" w:space="0"/>
            </w:tcBorders>
            <w:shd w:val="clear" w:color="auto" w:fill="FFFFFF"/>
            <w:noWrap/>
            <w:vAlign w:val="center"/>
          </w:tcPr>
          <w:p w14:paraId="0B5D3837">
            <w:pPr>
              <w:widowControl/>
              <w:spacing w:line="360" w:lineRule="auto"/>
              <w:jc w:val="right"/>
              <w:rPr>
                <w:rFonts w:ascii="宋体" w:hAnsi="宋体" w:eastAsia="仿宋" w:cs="宋体"/>
                <w:color w:val="000000"/>
                <w:kern w:val="0"/>
                <w:sz w:val="22"/>
                <w:szCs w:val="22"/>
              </w:rPr>
            </w:pPr>
          </w:p>
        </w:tc>
      </w:tr>
      <w:tr w14:paraId="39C7695F">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2E87215">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08CB54A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小卖部</w:t>
            </w:r>
          </w:p>
        </w:tc>
        <w:tc>
          <w:tcPr>
            <w:tcW w:w="1520" w:type="dxa"/>
            <w:tcBorders>
              <w:top w:val="nil"/>
              <w:left w:val="nil"/>
              <w:bottom w:val="single" w:color="auto" w:sz="4" w:space="0"/>
              <w:right w:val="single" w:color="auto" w:sz="4" w:space="0"/>
            </w:tcBorders>
            <w:shd w:val="clear" w:color="auto" w:fill="FFFFFF"/>
            <w:noWrap/>
            <w:vAlign w:val="center"/>
          </w:tcPr>
          <w:p w14:paraId="599A23E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2C863DED">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75.19 </w:t>
            </w:r>
          </w:p>
        </w:tc>
        <w:tc>
          <w:tcPr>
            <w:tcW w:w="2100" w:type="dxa"/>
            <w:tcBorders>
              <w:top w:val="nil"/>
              <w:left w:val="nil"/>
              <w:bottom w:val="single" w:color="auto" w:sz="4" w:space="0"/>
              <w:right w:val="single" w:color="auto" w:sz="4" w:space="0"/>
            </w:tcBorders>
            <w:shd w:val="clear" w:color="auto" w:fill="FFFFFF"/>
            <w:noWrap/>
            <w:vAlign w:val="center"/>
          </w:tcPr>
          <w:p w14:paraId="711BB5CA">
            <w:pPr>
              <w:widowControl/>
              <w:spacing w:line="360" w:lineRule="auto"/>
              <w:jc w:val="right"/>
              <w:rPr>
                <w:rFonts w:ascii="宋体" w:hAnsi="宋体" w:eastAsia="仿宋" w:cs="宋体"/>
                <w:color w:val="000000"/>
                <w:kern w:val="0"/>
                <w:sz w:val="22"/>
                <w:szCs w:val="22"/>
              </w:rPr>
            </w:pPr>
          </w:p>
        </w:tc>
      </w:tr>
      <w:tr w14:paraId="68C684D5">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D98DCCA">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78EAACD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校史展厅</w:t>
            </w:r>
          </w:p>
        </w:tc>
        <w:tc>
          <w:tcPr>
            <w:tcW w:w="1520" w:type="dxa"/>
            <w:tcBorders>
              <w:top w:val="nil"/>
              <w:left w:val="nil"/>
              <w:bottom w:val="single" w:color="auto" w:sz="4" w:space="0"/>
              <w:right w:val="single" w:color="auto" w:sz="4" w:space="0"/>
            </w:tcBorders>
            <w:shd w:val="clear" w:color="auto" w:fill="FFFFFF"/>
            <w:noWrap/>
            <w:vAlign w:val="center"/>
          </w:tcPr>
          <w:p w14:paraId="00C6E8D2">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2487F31F">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178.61 </w:t>
            </w:r>
          </w:p>
        </w:tc>
        <w:tc>
          <w:tcPr>
            <w:tcW w:w="2100" w:type="dxa"/>
            <w:tcBorders>
              <w:top w:val="nil"/>
              <w:left w:val="nil"/>
              <w:bottom w:val="single" w:color="auto" w:sz="4" w:space="0"/>
              <w:right w:val="single" w:color="auto" w:sz="4" w:space="0"/>
            </w:tcBorders>
            <w:shd w:val="clear" w:color="auto" w:fill="FFFFFF"/>
            <w:noWrap/>
            <w:vAlign w:val="center"/>
          </w:tcPr>
          <w:p w14:paraId="7FE3BFA8">
            <w:pPr>
              <w:widowControl/>
              <w:spacing w:line="360" w:lineRule="auto"/>
              <w:jc w:val="right"/>
              <w:rPr>
                <w:rFonts w:ascii="宋体" w:hAnsi="宋体" w:eastAsia="仿宋" w:cs="宋体"/>
                <w:color w:val="000000"/>
                <w:kern w:val="0"/>
                <w:sz w:val="22"/>
                <w:szCs w:val="22"/>
              </w:rPr>
            </w:pPr>
          </w:p>
        </w:tc>
      </w:tr>
      <w:tr w14:paraId="3F7440DB">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04926AA1">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196E901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环保危化品库房</w:t>
            </w:r>
          </w:p>
        </w:tc>
        <w:tc>
          <w:tcPr>
            <w:tcW w:w="1520" w:type="dxa"/>
            <w:tcBorders>
              <w:top w:val="nil"/>
              <w:left w:val="nil"/>
              <w:bottom w:val="single" w:color="auto" w:sz="4" w:space="0"/>
              <w:right w:val="single" w:color="auto" w:sz="4" w:space="0"/>
            </w:tcBorders>
            <w:shd w:val="clear" w:color="auto" w:fill="FFFFFF"/>
            <w:noWrap/>
            <w:vAlign w:val="center"/>
          </w:tcPr>
          <w:p w14:paraId="52C2D653">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54741B28">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21.44 </w:t>
            </w:r>
          </w:p>
        </w:tc>
        <w:tc>
          <w:tcPr>
            <w:tcW w:w="2100" w:type="dxa"/>
            <w:tcBorders>
              <w:top w:val="nil"/>
              <w:left w:val="nil"/>
              <w:bottom w:val="single" w:color="auto" w:sz="4" w:space="0"/>
              <w:right w:val="single" w:color="auto" w:sz="4" w:space="0"/>
            </w:tcBorders>
            <w:shd w:val="clear" w:color="auto" w:fill="FFFFFF"/>
            <w:noWrap/>
            <w:vAlign w:val="center"/>
          </w:tcPr>
          <w:p w14:paraId="0E652B46">
            <w:pPr>
              <w:widowControl/>
              <w:spacing w:line="360" w:lineRule="auto"/>
              <w:jc w:val="right"/>
              <w:rPr>
                <w:rFonts w:ascii="宋体" w:hAnsi="宋体" w:eastAsia="仿宋" w:cs="宋体"/>
                <w:color w:val="000000"/>
                <w:kern w:val="0"/>
                <w:sz w:val="22"/>
                <w:szCs w:val="22"/>
              </w:rPr>
            </w:pPr>
          </w:p>
        </w:tc>
      </w:tr>
      <w:tr w14:paraId="4E2F13C7">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4A0495B1">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0663AAA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小计</w:t>
            </w:r>
          </w:p>
        </w:tc>
        <w:tc>
          <w:tcPr>
            <w:tcW w:w="1520" w:type="dxa"/>
            <w:tcBorders>
              <w:top w:val="nil"/>
              <w:left w:val="nil"/>
              <w:bottom w:val="single" w:color="auto" w:sz="4" w:space="0"/>
              <w:right w:val="single" w:color="auto" w:sz="4" w:space="0"/>
            </w:tcBorders>
            <w:shd w:val="clear" w:color="auto" w:fill="FFFFFF"/>
            <w:noWrap/>
            <w:vAlign w:val="center"/>
          </w:tcPr>
          <w:p w14:paraId="77F83D57">
            <w:pPr>
              <w:widowControl/>
              <w:spacing w:line="360" w:lineRule="auto"/>
              <w:jc w:val="left"/>
              <w:rPr>
                <w:rFonts w:ascii="宋体" w:hAnsi="宋体" w:eastAsia="仿宋" w:cs="宋体"/>
                <w:color w:val="000000"/>
                <w:kern w:val="0"/>
                <w:sz w:val="22"/>
                <w:szCs w:val="22"/>
              </w:rPr>
            </w:pPr>
            <w:r>
              <w:rPr>
                <w:rFonts w:hint="eastAsia" w:ascii="宋体" w:hAnsi="宋体" w:eastAsia="仿宋" w:cs="宋体"/>
                <w:color w:val="000000"/>
                <w:kern w:val="0"/>
                <w:sz w:val="22"/>
                <w:szCs w:val="22"/>
              </w:rPr>
              <w:t>　</w:t>
            </w:r>
          </w:p>
        </w:tc>
        <w:tc>
          <w:tcPr>
            <w:tcW w:w="2100" w:type="dxa"/>
            <w:tcBorders>
              <w:top w:val="nil"/>
              <w:left w:val="nil"/>
              <w:bottom w:val="single" w:color="auto" w:sz="4" w:space="0"/>
              <w:right w:val="single" w:color="auto" w:sz="4" w:space="0"/>
            </w:tcBorders>
            <w:shd w:val="clear" w:color="auto" w:fill="FFFFFF"/>
            <w:noWrap/>
            <w:vAlign w:val="center"/>
          </w:tcPr>
          <w:p w14:paraId="01FCA5B2">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34626.22 </w:t>
            </w:r>
          </w:p>
        </w:tc>
        <w:tc>
          <w:tcPr>
            <w:tcW w:w="2100" w:type="dxa"/>
            <w:tcBorders>
              <w:top w:val="nil"/>
              <w:left w:val="nil"/>
              <w:bottom w:val="single" w:color="auto" w:sz="4" w:space="0"/>
              <w:right w:val="single" w:color="auto" w:sz="4" w:space="0"/>
            </w:tcBorders>
            <w:shd w:val="clear" w:color="auto" w:fill="FFFFFF"/>
            <w:noWrap/>
            <w:vAlign w:val="center"/>
          </w:tcPr>
          <w:p w14:paraId="3BE657CE">
            <w:pPr>
              <w:widowControl/>
              <w:spacing w:line="360" w:lineRule="auto"/>
              <w:jc w:val="right"/>
              <w:rPr>
                <w:rFonts w:ascii="宋体" w:hAnsi="宋体" w:eastAsia="仿宋" w:cs="宋体"/>
                <w:color w:val="000000"/>
                <w:kern w:val="0"/>
                <w:sz w:val="22"/>
                <w:szCs w:val="22"/>
              </w:rPr>
            </w:pPr>
          </w:p>
        </w:tc>
      </w:tr>
      <w:tr w14:paraId="60F8A634">
        <w:tblPrEx>
          <w:shd w:val="clear" w:color="auto" w:fill="FFFFFF"/>
          <w:tblCellMar>
            <w:top w:w="0" w:type="dxa"/>
            <w:left w:w="108" w:type="dxa"/>
            <w:bottom w:w="0" w:type="dxa"/>
            <w:right w:w="108" w:type="dxa"/>
          </w:tblCellMar>
        </w:tblPrEx>
        <w:trPr>
          <w:trHeight w:val="318" w:hRule="atLeast"/>
        </w:trPr>
        <w:tc>
          <w:tcPr>
            <w:tcW w:w="960" w:type="dxa"/>
            <w:vMerge w:val="restart"/>
            <w:tcBorders>
              <w:top w:val="nil"/>
              <w:left w:val="single" w:color="auto" w:sz="4" w:space="0"/>
              <w:bottom w:val="single" w:color="auto" w:sz="4" w:space="0"/>
              <w:right w:val="single" w:color="auto" w:sz="4" w:space="0"/>
            </w:tcBorders>
            <w:shd w:val="clear" w:color="auto" w:fill="FFFFFF"/>
            <w:noWrap/>
            <w:vAlign w:val="center"/>
          </w:tcPr>
          <w:p w14:paraId="43DDA1FC">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南三校区</w:t>
            </w:r>
          </w:p>
        </w:tc>
        <w:tc>
          <w:tcPr>
            <w:tcW w:w="1700" w:type="dxa"/>
            <w:tcBorders>
              <w:top w:val="nil"/>
              <w:left w:val="nil"/>
              <w:bottom w:val="single" w:color="auto" w:sz="4" w:space="0"/>
              <w:right w:val="single" w:color="auto" w:sz="4" w:space="0"/>
            </w:tcBorders>
            <w:shd w:val="clear" w:color="auto" w:fill="FFFFFF"/>
            <w:noWrap/>
            <w:vAlign w:val="center"/>
          </w:tcPr>
          <w:p w14:paraId="0D3C417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S7楼</w:t>
            </w:r>
          </w:p>
        </w:tc>
        <w:tc>
          <w:tcPr>
            <w:tcW w:w="1520" w:type="dxa"/>
            <w:tcBorders>
              <w:top w:val="nil"/>
              <w:left w:val="nil"/>
              <w:bottom w:val="single" w:color="auto" w:sz="4" w:space="0"/>
              <w:right w:val="single" w:color="auto" w:sz="4" w:space="0"/>
            </w:tcBorders>
            <w:shd w:val="clear" w:color="auto" w:fill="FFFFFF"/>
            <w:noWrap/>
            <w:vAlign w:val="center"/>
          </w:tcPr>
          <w:p w14:paraId="241042E2">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7F06FA10">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1881.96 </w:t>
            </w:r>
          </w:p>
        </w:tc>
        <w:tc>
          <w:tcPr>
            <w:tcW w:w="2100" w:type="dxa"/>
            <w:tcBorders>
              <w:top w:val="nil"/>
              <w:left w:val="nil"/>
              <w:bottom w:val="single" w:color="auto" w:sz="4" w:space="0"/>
              <w:right w:val="single" w:color="auto" w:sz="4" w:space="0"/>
            </w:tcBorders>
            <w:shd w:val="clear" w:color="auto" w:fill="FFFFFF"/>
            <w:noWrap/>
            <w:vAlign w:val="center"/>
          </w:tcPr>
          <w:p w14:paraId="440F243B">
            <w:pPr>
              <w:widowControl/>
              <w:spacing w:line="360" w:lineRule="auto"/>
              <w:jc w:val="right"/>
              <w:rPr>
                <w:rFonts w:ascii="宋体" w:hAnsi="宋体" w:eastAsia="仿宋" w:cs="宋体"/>
                <w:color w:val="000000"/>
                <w:kern w:val="0"/>
                <w:sz w:val="22"/>
                <w:szCs w:val="22"/>
              </w:rPr>
            </w:pPr>
          </w:p>
        </w:tc>
      </w:tr>
      <w:tr w14:paraId="26005328">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F6BB61D">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0EFBF705">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S8楼</w:t>
            </w:r>
          </w:p>
        </w:tc>
        <w:tc>
          <w:tcPr>
            <w:tcW w:w="1520" w:type="dxa"/>
            <w:tcBorders>
              <w:top w:val="nil"/>
              <w:left w:val="nil"/>
              <w:bottom w:val="single" w:color="auto" w:sz="4" w:space="0"/>
              <w:right w:val="single" w:color="auto" w:sz="4" w:space="0"/>
            </w:tcBorders>
            <w:shd w:val="clear" w:color="auto" w:fill="FFFFFF"/>
            <w:noWrap/>
            <w:vAlign w:val="center"/>
          </w:tcPr>
          <w:p w14:paraId="57F83083">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3</w:t>
            </w:r>
          </w:p>
        </w:tc>
        <w:tc>
          <w:tcPr>
            <w:tcW w:w="2100" w:type="dxa"/>
            <w:tcBorders>
              <w:top w:val="nil"/>
              <w:left w:val="nil"/>
              <w:bottom w:val="single" w:color="auto" w:sz="4" w:space="0"/>
              <w:right w:val="single" w:color="auto" w:sz="4" w:space="0"/>
            </w:tcBorders>
            <w:shd w:val="clear" w:color="auto" w:fill="FFFFFF"/>
            <w:noWrap/>
            <w:vAlign w:val="center"/>
          </w:tcPr>
          <w:p w14:paraId="5DDE39D0">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1094.21 </w:t>
            </w:r>
          </w:p>
        </w:tc>
        <w:tc>
          <w:tcPr>
            <w:tcW w:w="2100" w:type="dxa"/>
            <w:tcBorders>
              <w:top w:val="nil"/>
              <w:left w:val="nil"/>
              <w:bottom w:val="single" w:color="auto" w:sz="4" w:space="0"/>
              <w:right w:val="single" w:color="auto" w:sz="4" w:space="0"/>
            </w:tcBorders>
            <w:shd w:val="clear" w:color="auto" w:fill="FFFFFF"/>
            <w:noWrap/>
            <w:vAlign w:val="center"/>
          </w:tcPr>
          <w:p w14:paraId="6D52209D">
            <w:pPr>
              <w:widowControl/>
              <w:spacing w:line="360" w:lineRule="auto"/>
              <w:jc w:val="right"/>
              <w:rPr>
                <w:rFonts w:ascii="宋体" w:hAnsi="宋体" w:eastAsia="仿宋" w:cs="宋体"/>
                <w:color w:val="000000"/>
                <w:kern w:val="0"/>
                <w:sz w:val="22"/>
                <w:szCs w:val="22"/>
              </w:rPr>
            </w:pPr>
          </w:p>
        </w:tc>
      </w:tr>
      <w:tr w14:paraId="5DBF1613">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EBC7F79">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2C2B03F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S9楼</w:t>
            </w:r>
          </w:p>
        </w:tc>
        <w:tc>
          <w:tcPr>
            <w:tcW w:w="1520" w:type="dxa"/>
            <w:tcBorders>
              <w:top w:val="nil"/>
              <w:left w:val="nil"/>
              <w:bottom w:val="single" w:color="auto" w:sz="4" w:space="0"/>
              <w:right w:val="single" w:color="auto" w:sz="4" w:space="0"/>
            </w:tcBorders>
            <w:shd w:val="clear" w:color="auto" w:fill="FFFFFF"/>
            <w:noWrap/>
            <w:vAlign w:val="center"/>
          </w:tcPr>
          <w:p w14:paraId="07EB462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4</w:t>
            </w:r>
          </w:p>
        </w:tc>
        <w:tc>
          <w:tcPr>
            <w:tcW w:w="2100" w:type="dxa"/>
            <w:tcBorders>
              <w:top w:val="nil"/>
              <w:left w:val="nil"/>
              <w:bottom w:val="single" w:color="auto" w:sz="4" w:space="0"/>
              <w:right w:val="single" w:color="auto" w:sz="4" w:space="0"/>
            </w:tcBorders>
            <w:shd w:val="clear" w:color="auto" w:fill="FFFFFF"/>
            <w:noWrap/>
            <w:vAlign w:val="center"/>
          </w:tcPr>
          <w:p w14:paraId="04CE70E0">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2513.30 </w:t>
            </w:r>
          </w:p>
        </w:tc>
        <w:tc>
          <w:tcPr>
            <w:tcW w:w="2100" w:type="dxa"/>
            <w:tcBorders>
              <w:top w:val="nil"/>
              <w:left w:val="nil"/>
              <w:bottom w:val="single" w:color="auto" w:sz="4" w:space="0"/>
              <w:right w:val="single" w:color="auto" w:sz="4" w:space="0"/>
            </w:tcBorders>
            <w:shd w:val="clear" w:color="auto" w:fill="FFFFFF"/>
            <w:noWrap/>
            <w:vAlign w:val="center"/>
          </w:tcPr>
          <w:p w14:paraId="5A5BB58D">
            <w:pPr>
              <w:widowControl/>
              <w:spacing w:line="360" w:lineRule="auto"/>
              <w:jc w:val="right"/>
              <w:rPr>
                <w:rFonts w:ascii="宋体" w:hAnsi="宋体" w:eastAsia="仿宋" w:cs="宋体"/>
                <w:color w:val="000000"/>
                <w:kern w:val="0"/>
                <w:sz w:val="22"/>
                <w:szCs w:val="22"/>
              </w:rPr>
            </w:pPr>
          </w:p>
        </w:tc>
      </w:tr>
      <w:tr w14:paraId="52E90C12">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FB31612">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46F0F966">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S10楼</w:t>
            </w:r>
          </w:p>
        </w:tc>
        <w:tc>
          <w:tcPr>
            <w:tcW w:w="1520" w:type="dxa"/>
            <w:tcBorders>
              <w:top w:val="nil"/>
              <w:left w:val="nil"/>
              <w:bottom w:val="single" w:color="auto" w:sz="4" w:space="0"/>
              <w:right w:val="single" w:color="auto" w:sz="4" w:space="0"/>
            </w:tcBorders>
            <w:shd w:val="clear" w:color="auto" w:fill="FFFFFF"/>
            <w:noWrap/>
            <w:vAlign w:val="center"/>
          </w:tcPr>
          <w:p w14:paraId="4B5F94A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2/-1</w:t>
            </w:r>
          </w:p>
        </w:tc>
        <w:tc>
          <w:tcPr>
            <w:tcW w:w="2100" w:type="dxa"/>
            <w:tcBorders>
              <w:top w:val="nil"/>
              <w:left w:val="nil"/>
              <w:bottom w:val="single" w:color="auto" w:sz="4" w:space="0"/>
              <w:right w:val="single" w:color="auto" w:sz="4" w:space="0"/>
            </w:tcBorders>
            <w:shd w:val="clear" w:color="auto" w:fill="FFFFFF"/>
            <w:noWrap/>
            <w:vAlign w:val="center"/>
          </w:tcPr>
          <w:p w14:paraId="4B55AB64">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4304.00 </w:t>
            </w:r>
          </w:p>
        </w:tc>
        <w:tc>
          <w:tcPr>
            <w:tcW w:w="2100" w:type="dxa"/>
            <w:tcBorders>
              <w:top w:val="nil"/>
              <w:left w:val="nil"/>
              <w:bottom w:val="single" w:color="auto" w:sz="4" w:space="0"/>
              <w:right w:val="single" w:color="auto" w:sz="4" w:space="0"/>
            </w:tcBorders>
            <w:shd w:val="clear" w:color="auto" w:fill="FFFFFF"/>
            <w:noWrap/>
            <w:vAlign w:val="center"/>
          </w:tcPr>
          <w:p w14:paraId="1535F034">
            <w:pPr>
              <w:widowControl/>
              <w:spacing w:line="360" w:lineRule="auto"/>
              <w:jc w:val="right"/>
              <w:rPr>
                <w:rFonts w:ascii="宋体" w:hAnsi="宋体" w:eastAsia="仿宋" w:cs="宋体"/>
                <w:color w:val="000000"/>
                <w:kern w:val="0"/>
                <w:sz w:val="22"/>
                <w:szCs w:val="22"/>
              </w:rPr>
            </w:pPr>
          </w:p>
        </w:tc>
      </w:tr>
      <w:tr w14:paraId="589021A5">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57DB843">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38BA559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S11楼</w:t>
            </w:r>
          </w:p>
        </w:tc>
        <w:tc>
          <w:tcPr>
            <w:tcW w:w="1520" w:type="dxa"/>
            <w:tcBorders>
              <w:top w:val="nil"/>
              <w:left w:val="nil"/>
              <w:bottom w:val="single" w:color="auto" w:sz="4" w:space="0"/>
              <w:right w:val="single" w:color="auto" w:sz="4" w:space="0"/>
            </w:tcBorders>
            <w:shd w:val="clear" w:color="auto" w:fill="FFFFFF"/>
            <w:noWrap/>
            <w:vAlign w:val="center"/>
          </w:tcPr>
          <w:p w14:paraId="69CEB1D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1729BE25">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5365.20 </w:t>
            </w:r>
          </w:p>
        </w:tc>
        <w:tc>
          <w:tcPr>
            <w:tcW w:w="2100" w:type="dxa"/>
            <w:tcBorders>
              <w:top w:val="nil"/>
              <w:left w:val="nil"/>
              <w:bottom w:val="single" w:color="auto" w:sz="4" w:space="0"/>
              <w:right w:val="single" w:color="auto" w:sz="4" w:space="0"/>
            </w:tcBorders>
            <w:shd w:val="clear" w:color="auto" w:fill="FFFFFF"/>
            <w:noWrap/>
            <w:vAlign w:val="center"/>
          </w:tcPr>
          <w:p w14:paraId="42E07CC6">
            <w:pPr>
              <w:widowControl/>
              <w:spacing w:line="360" w:lineRule="auto"/>
              <w:jc w:val="right"/>
              <w:rPr>
                <w:rFonts w:ascii="宋体" w:hAnsi="宋体" w:eastAsia="仿宋" w:cs="宋体"/>
                <w:color w:val="000000"/>
                <w:kern w:val="0"/>
                <w:sz w:val="22"/>
                <w:szCs w:val="22"/>
              </w:rPr>
            </w:pPr>
          </w:p>
        </w:tc>
      </w:tr>
      <w:tr w14:paraId="18AC02F7">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9C21D00">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4028A8D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S12楼</w:t>
            </w:r>
          </w:p>
        </w:tc>
        <w:tc>
          <w:tcPr>
            <w:tcW w:w="1520" w:type="dxa"/>
            <w:tcBorders>
              <w:top w:val="nil"/>
              <w:left w:val="nil"/>
              <w:bottom w:val="single" w:color="auto" w:sz="4" w:space="0"/>
              <w:right w:val="single" w:color="auto" w:sz="4" w:space="0"/>
            </w:tcBorders>
            <w:shd w:val="clear" w:color="auto" w:fill="FFFFFF"/>
            <w:noWrap/>
            <w:vAlign w:val="center"/>
          </w:tcPr>
          <w:p w14:paraId="77A76A6C">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1/夹</w:t>
            </w:r>
          </w:p>
        </w:tc>
        <w:tc>
          <w:tcPr>
            <w:tcW w:w="2100" w:type="dxa"/>
            <w:tcBorders>
              <w:top w:val="nil"/>
              <w:left w:val="nil"/>
              <w:bottom w:val="single" w:color="auto" w:sz="4" w:space="0"/>
              <w:right w:val="single" w:color="auto" w:sz="4" w:space="0"/>
            </w:tcBorders>
            <w:shd w:val="clear" w:color="auto" w:fill="FFFFFF"/>
            <w:noWrap/>
            <w:vAlign w:val="center"/>
          </w:tcPr>
          <w:p w14:paraId="62338EA7">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2773.60 </w:t>
            </w:r>
          </w:p>
        </w:tc>
        <w:tc>
          <w:tcPr>
            <w:tcW w:w="2100" w:type="dxa"/>
            <w:tcBorders>
              <w:top w:val="nil"/>
              <w:left w:val="nil"/>
              <w:bottom w:val="single" w:color="auto" w:sz="4" w:space="0"/>
              <w:right w:val="single" w:color="auto" w:sz="4" w:space="0"/>
            </w:tcBorders>
            <w:shd w:val="clear" w:color="auto" w:fill="FFFFFF"/>
            <w:noWrap/>
            <w:vAlign w:val="center"/>
          </w:tcPr>
          <w:p w14:paraId="321E7DA6">
            <w:pPr>
              <w:widowControl/>
              <w:spacing w:line="360" w:lineRule="auto"/>
              <w:jc w:val="right"/>
              <w:rPr>
                <w:rFonts w:ascii="宋体" w:hAnsi="宋体" w:eastAsia="仿宋" w:cs="宋体"/>
                <w:color w:val="000000"/>
                <w:kern w:val="0"/>
                <w:sz w:val="22"/>
                <w:szCs w:val="22"/>
              </w:rPr>
            </w:pPr>
          </w:p>
        </w:tc>
      </w:tr>
      <w:tr w14:paraId="74BE0C88">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5FB7ADF">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73BE61B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S13楼</w:t>
            </w:r>
          </w:p>
        </w:tc>
        <w:tc>
          <w:tcPr>
            <w:tcW w:w="1520" w:type="dxa"/>
            <w:tcBorders>
              <w:top w:val="nil"/>
              <w:left w:val="nil"/>
              <w:bottom w:val="single" w:color="auto" w:sz="4" w:space="0"/>
              <w:right w:val="single" w:color="auto" w:sz="4" w:space="0"/>
            </w:tcBorders>
            <w:shd w:val="clear" w:color="auto" w:fill="FFFFFF"/>
            <w:noWrap/>
            <w:vAlign w:val="center"/>
          </w:tcPr>
          <w:p w14:paraId="18FCE686">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1/夹</w:t>
            </w:r>
          </w:p>
        </w:tc>
        <w:tc>
          <w:tcPr>
            <w:tcW w:w="2100" w:type="dxa"/>
            <w:tcBorders>
              <w:top w:val="nil"/>
              <w:left w:val="nil"/>
              <w:bottom w:val="single" w:color="auto" w:sz="4" w:space="0"/>
              <w:right w:val="single" w:color="auto" w:sz="4" w:space="0"/>
            </w:tcBorders>
            <w:shd w:val="clear" w:color="auto" w:fill="FFFFFF"/>
            <w:noWrap/>
            <w:vAlign w:val="center"/>
          </w:tcPr>
          <w:p w14:paraId="798EC5C7">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1087.35 </w:t>
            </w:r>
          </w:p>
        </w:tc>
        <w:tc>
          <w:tcPr>
            <w:tcW w:w="2100" w:type="dxa"/>
            <w:tcBorders>
              <w:top w:val="nil"/>
              <w:left w:val="nil"/>
              <w:bottom w:val="single" w:color="auto" w:sz="4" w:space="0"/>
              <w:right w:val="single" w:color="auto" w:sz="4" w:space="0"/>
            </w:tcBorders>
            <w:shd w:val="clear" w:color="auto" w:fill="FFFFFF"/>
            <w:noWrap/>
            <w:vAlign w:val="center"/>
          </w:tcPr>
          <w:p w14:paraId="48C595DD">
            <w:pPr>
              <w:widowControl/>
              <w:spacing w:line="360" w:lineRule="auto"/>
              <w:jc w:val="right"/>
              <w:rPr>
                <w:rFonts w:ascii="宋体" w:hAnsi="宋体" w:eastAsia="仿宋" w:cs="宋体"/>
                <w:color w:val="000000"/>
                <w:kern w:val="0"/>
                <w:sz w:val="22"/>
                <w:szCs w:val="22"/>
              </w:rPr>
            </w:pPr>
          </w:p>
        </w:tc>
      </w:tr>
      <w:tr w14:paraId="332282FD">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ACB4748">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29B83A9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S14楼</w:t>
            </w:r>
          </w:p>
        </w:tc>
        <w:tc>
          <w:tcPr>
            <w:tcW w:w="1520" w:type="dxa"/>
            <w:tcBorders>
              <w:top w:val="nil"/>
              <w:left w:val="nil"/>
              <w:bottom w:val="single" w:color="auto" w:sz="4" w:space="0"/>
              <w:right w:val="single" w:color="auto" w:sz="4" w:space="0"/>
            </w:tcBorders>
            <w:shd w:val="clear" w:color="auto" w:fill="FFFFFF"/>
            <w:noWrap/>
            <w:vAlign w:val="center"/>
          </w:tcPr>
          <w:p w14:paraId="78B64A0C">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3</w:t>
            </w:r>
          </w:p>
        </w:tc>
        <w:tc>
          <w:tcPr>
            <w:tcW w:w="2100" w:type="dxa"/>
            <w:tcBorders>
              <w:top w:val="nil"/>
              <w:left w:val="nil"/>
              <w:bottom w:val="single" w:color="auto" w:sz="4" w:space="0"/>
              <w:right w:val="single" w:color="auto" w:sz="4" w:space="0"/>
            </w:tcBorders>
            <w:shd w:val="clear" w:color="auto" w:fill="FFFFFF"/>
            <w:noWrap/>
            <w:vAlign w:val="center"/>
          </w:tcPr>
          <w:p w14:paraId="4DB77474">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6162.00 </w:t>
            </w:r>
          </w:p>
        </w:tc>
        <w:tc>
          <w:tcPr>
            <w:tcW w:w="2100" w:type="dxa"/>
            <w:tcBorders>
              <w:top w:val="nil"/>
              <w:left w:val="nil"/>
              <w:bottom w:val="single" w:color="auto" w:sz="4" w:space="0"/>
              <w:right w:val="single" w:color="auto" w:sz="4" w:space="0"/>
            </w:tcBorders>
            <w:shd w:val="clear" w:color="auto" w:fill="FFFFFF"/>
            <w:noWrap/>
            <w:vAlign w:val="center"/>
          </w:tcPr>
          <w:p w14:paraId="0EC07130">
            <w:pPr>
              <w:widowControl/>
              <w:spacing w:line="360" w:lineRule="auto"/>
              <w:jc w:val="right"/>
              <w:rPr>
                <w:rFonts w:ascii="宋体" w:hAnsi="宋体" w:eastAsia="仿宋" w:cs="宋体"/>
                <w:color w:val="000000"/>
                <w:kern w:val="0"/>
                <w:sz w:val="22"/>
                <w:szCs w:val="22"/>
              </w:rPr>
            </w:pPr>
          </w:p>
        </w:tc>
      </w:tr>
      <w:tr w14:paraId="7E5CEBCA">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3503B7A">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03BB0415">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S15楼</w:t>
            </w:r>
          </w:p>
        </w:tc>
        <w:tc>
          <w:tcPr>
            <w:tcW w:w="1520" w:type="dxa"/>
            <w:tcBorders>
              <w:top w:val="nil"/>
              <w:left w:val="nil"/>
              <w:bottom w:val="single" w:color="auto" w:sz="4" w:space="0"/>
              <w:right w:val="single" w:color="auto" w:sz="4" w:space="0"/>
            </w:tcBorders>
            <w:shd w:val="clear" w:color="auto" w:fill="FFFFFF"/>
            <w:noWrap/>
            <w:vAlign w:val="center"/>
          </w:tcPr>
          <w:p w14:paraId="6EC0385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3EBFB513">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1621.00 </w:t>
            </w:r>
          </w:p>
        </w:tc>
        <w:tc>
          <w:tcPr>
            <w:tcW w:w="2100" w:type="dxa"/>
            <w:tcBorders>
              <w:top w:val="nil"/>
              <w:left w:val="nil"/>
              <w:bottom w:val="single" w:color="auto" w:sz="4" w:space="0"/>
              <w:right w:val="single" w:color="auto" w:sz="4" w:space="0"/>
            </w:tcBorders>
            <w:shd w:val="clear" w:color="auto" w:fill="FFFFFF"/>
            <w:noWrap/>
            <w:vAlign w:val="center"/>
          </w:tcPr>
          <w:p w14:paraId="0F9D726E">
            <w:pPr>
              <w:widowControl/>
              <w:spacing w:line="360" w:lineRule="auto"/>
              <w:jc w:val="right"/>
              <w:rPr>
                <w:rFonts w:ascii="宋体" w:hAnsi="宋体" w:eastAsia="仿宋" w:cs="宋体"/>
                <w:color w:val="000000"/>
                <w:kern w:val="0"/>
                <w:sz w:val="22"/>
                <w:szCs w:val="22"/>
              </w:rPr>
            </w:pPr>
          </w:p>
        </w:tc>
      </w:tr>
      <w:tr w14:paraId="6D5F31C3">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5D7F192">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A1B2EB2">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9.10.11小院</w:t>
            </w:r>
          </w:p>
        </w:tc>
        <w:tc>
          <w:tcPr>
            <w:tcW w:w="1520" w:type="dxa"/>
            <w:tcBorders>
              <w:top w:val="nil"/>
              <w:left w:val="nil"/>
              <w:bottom w:val="single" w:color="auto" w:sz="4" w:space="0"/>
              <w:right w:val="single" w:color="auto" w:sz="4" w:space="0"/>
            </w:tcBorders>
            <w:shd w:val="clear" w:color="auto" w:fill="FFFFFF"/>
            <w:noWrap/>
            <w:vAlign w:val="center"/>
          </w:tcPr>
          <w:p w14:paraId="6A06532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19613BE1">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694.00 </w:t>
            </w:r>
          </w:p>
        </w:tc>
        <w:tc>
          <w:tcPr>
            <w:tcW w:w="2100" w:type="dxa"/>
            <w:tcBorders>
              <w:top w:val="nil"/>
              <w:left w:val="nil"/>
              <w:bottom w:val="single" w:color="auto" w:sz="4" w:space="0"/>
              <w:right w:val="single" w:color="auto" w:sz="4" w:space="0"/>
            </w:tcBorders>
            <w:shd w:val="clear" w:color="auto" w:fill="FFFFFF"/>
            <w:noWrap/>
            <w:vAlign w:val="center"/>
          </w:tcPr>
          <w:p w14:paraId="66156D94">
            <w:pPr>
              <w:widowControl/>
              <w:spacing w:line="360" w:lineRule="auto"/>
              <w:jc w:val="right"/>
              <w:rPr>
                <w:rFonts w:ascii="宋体" w:hAnsi="宋体" w:eastAsia="仿宋" w:cs="宋体"/>
                <w:color w:val="000000"/>
                <w:kern w:val="0"/>
                <w:sz w:val="22"/>
                <w:szCs w:val="22"/>
              </w:rPr>
            </w:pPr>
          </w:p>
        </w:tc>
      </w:tr>
      <w:tr w14:paraId="23EC8561">
        <w:tblPrEx>
          <w:shd w:val="clear" w:color="auto" w:fill="FFFFFF"/>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AED9209">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28C10E6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小计</w:t>
            </w:r>
          </w:p>
        </w:tc>
        <w:tc>
          <w:tcPr>
            <w:tcW w:w="1520" w:type="dxa"/>
            <w:tcBorders>
              <w:top w:val="nil"/>
              <w:left w:val="nil"/>
              <w:bottom w:val="single" w:color="auto" w:sz="4" w:space="0"/>
              <w:right w:val="single" w:color="auto" w:sz="4" w:space="0"/>
            </w:tcBorders>
            <w:shd w:val="clear" w:color="auto" w:fill="FFFFFF"/>
            <w:noWrap/>
            <w:vAlign w:val="center"/>
          </w:tcPr>
          <w:p w14:paraId="6C269FE4">
            <w:pPr>
              <w:widowControl/>
              <w:spacing w:line="360" w:lineRule="auto"/>
              <w:jc w:val="left"/>
              <w:rPr>
                <w:rFonts w:ascii="宋体" w:hAnsi="宋体" w:eastAsia="仿宋" w:cs="宋体"/>
                <w:color w:val="000000"/>
                <w:kern w:val="0"/>
                <w:sz w:val="22"/>
                <w:szCs w:val="22"/>
              </w:rPr>
            </w:pPr>
            <w:r>
              <w:rPr>
                <w:rFonts w:hint="eastAsia" w:ascii="宋体" w:hAnsi="宋体" w:eastAsia="仿宋" w:cs="宋体"/>
                <w:color w:val="000000"/>
                <w:kern w:val="0"/>
                <w:sz w:val="22"/>
                <w:szCs w:val="22"/>
              </w:rPr>
              <w:t>　</w:t>
            </w:r>
          </w:p>
        </w:tc>
        <w:tc>
          <w:tcPr>
            <w:tcW w:w="2100" w:type="dxa"/>
            <w:tcBorders>
              <w:top w:val="nil"/>
              <w:left w:val="nil"/>
              <w:bottom w:val="single" w:color="auto" w:sz="4" w:space="0"/>
              <w:right w:val="single" w:color="auto" w:sz="4" w:space="0"/>
            </w:tcBorders>
            <w:shd w:val="clear" w:color="auto" w:fill="FFFFFF"/>
            <w:noWrap/>
            <w:vAlign w:val="center"/>
          </w:tcPr>
          <w:p w14:paraId="3D0BDD4F">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27496.62 </w:t>
            </w:r>
          </w:p>
        </w:tc>
        <w:tc>
          <w:tcPr>
            <w:tcW w:w="2100" w:type="dxa"/>
            <w:tcBorders>
              <w:top w:val="nil"/>
              <w:left w:val="nil"/>
              <w:bottom w:val="single" w:color="auto" w:sz="4" w:space="0"/>
              <w:right w:val="single" w:color="auto" w:sz="4" w:space="0"/>
            </w:tcBorders>
            <w:shd w:val="clear" w:color="auto" w:fill="FFFFFF"/>
            <w:noWrap/>
            <w:vAlign w:val="center"/>
          </w:tcPr>
          <w:p w14:paraId="364505E1">
            <w:pPr>
              <w:widowControl/>
              <w:spacing w:line="360" w:lineRule="auto"/>
              <w:jc w:val="right"/>
              <w:rPr>
                <w:rFonts w:ascii="宋体" w:hAnsi="宋体" w:eastAsia="仿宋" w:cs="宋体"/>
                <w:color w:val="000000"/>
                <w:kern w:val="0"/>
                <w:sz w:val="22"/>
                <w:szCs w:val="22"/>
              </w:rPr>
            </w:pPr>
          </w:p>
        </w:tc>
      </w:tr>
    </w:tbl>
    <w:p w14:paraId="3D615356">
      <w:pPr>
        <w:spacing w:line="360" w:lineRule="auto"/>
        <w:rPr>
          <w:rFonts w:eastAsia="仿宋"/>
          <w:sz w:val="24"/>
        </w:rPr>
      </w:pPr>
    </w:p>
    <w:p w14:paraId="648F8BD4">
      <w:pPr>
        <w:adjustRightInd w:val="0"/>
        <w:snapToGrid w:val="0"/>
        <w:spacing w:line="360" w:lineRule="auto"/>
        <w:rPr>
          <w:rFonts w:ascii="黑体" w:hAnsi="黑体" w:eastAsia="黑体"/>
          <w:sz w:val="24"/>
        </w:rPr>
      </w:pPr>
    </w:p>
    <w:p w14:paraId="1F60FBC0">
      <w:pPr>
        <w:adjustRightInd w:val="0"/>
        <w:snapToGrid w:val="0"/>
        <w:spacing w:line="360" w:lineRule="auto"/>
        <w:outlineLvl w:val="0"/>
        <w:rPr>
          <w:rFonts w:eastAsia="仿宋_GB2312"/>
          <w:sz w:val="24"/>
        </w:rPr>
      </w:pPr>
      <w:bookmarkStart w:id="21" w:name="_Toc192776019"/>
      <w:r>
        <w:rPr>
          <w:rFonts w:hint="eastAsia" w:ascii="黑体" w:hAnsi="黑体" w:eastAsia="黑体"/>
          <w:sz w:val="24"/>
        </w:rPr>
        <w:t>五、</w:t>
      </w:r>
      <w:bookmarkStart w:id="22" w:name="_Toc18149"/>
      <w:bookmarkStart w:id="23" w:name="_Toc7627"/>
      <w:bookmarkStart w:id="24" w:name="_Toc172215543"/>
      <w:bookmarkStart w:id="25" w:name="_Toc19420"/>
      <w:bookmarkStart w:id="26" w:name="_Toc17960"/>
      <w:bookmarkStart w:id="27" w:name="_Toc30777"/>
      <w:bookmarkStart w:id="28" w:name="_Toc26937"/>
      <w:r>
        <w:rPr>
          <w:rFonts w:hint="eastAsia" w:ascii="黑体" w:hAnsi="黑体" w:eastAsia="黑体" w:cs="宋体"/>
          <w:b/>
          <w:bCs/>
          <w:sz w:val="24"/>
        </w:rPr>
        <w:t>物业管理服务内容及服务标准</w:t>
      </w:r>
      <w:bookmarkEnd w:id="21"/>
      <w:bookmarkEnd w:id="22"/>
      <w:bookmarkEnd w:id="23"/>
      <w:bookmarkEnd w:id="24"/>
      <w:bookmarkEnd w:id="25"/>
      <w:bookmarkEnd w:id="26"/>
      <w:bookmarkEnd w:id="27"/>
      <w:bookmarkEnd w:id="28"/>
    </w:p>
    <w:p w14:paraId="487FCE10">
      <w:pPr>
        <w:keepNext/>
        <w:keepLines/>
        <w:snapToGrid w:val="0"/>
        <w:spacing w:line="360" w:lineRule="auto"/>
        <w:outlineLvl w:val="1"/>
        <w:rPr>
          <w:rFonts w:eastAsia="楷体"/>
          <w:b/>
          <w:sz w:val="24"/>
        </w:rPr>
      </w:pPr>
      <w:bookmarkStart w:id="29" w:name="_Toc172215544"/>
      <w:r>
        <w:rPr>
          <w:rFonts w:hint="eastAsia" w:eastAsia="楷体"/>
          <w:b/>
          <w:sz w:val="24"/>
        </w:rPr>
        <w:t xml:space="preserve">   </w:t>
      </w:r>
      <w:bookmarkStart w:id="30" w:name="_Toc192776020"/>
      <w:r>
        <w:rPr>
          <w:rFonts w:hint="eastAsia" w:eastAsia="楷体"/>
          <w:b/>
          <w:sz w:val="24"/>
        </w:rPr>
        <w:t>（一）基本服务</w:t>
      </w:r>
      <w:bookmarkEnd w:id="29"/>
      <w:bookmarkEnd w:id="30"/>
    </w:p>
    <w:p w14:paraId="13983567">
      <w:pPr>
        <w:adjustRightInd w:val="0"/>
        <w:snapToGrid w:val="0"/>
        <w:spacing w:line="360" w:lineRule="auto"/>
        <w:ind w:firstLine="482" w:firstLineChars="200"/>
        <w:rPr>
          <w:rFonts w:ascii="宋体" w:hAnsi="宋体" w:cs="宋体"/>
          <w:sz w:val="24"/>
        </w:rPr>
      </w:pPr>
      <w:r>
        <w:rPr>
          <w:rFonts w:ascii="宋体" w:hAnsi="宋体" w:cs="宋体"/>
          <w:b/>
          <w:sz w:val="24"/>
        </w:rPr>
        <w:t>1.</w:t>
      </w:r>
      <w:r>
        <w:rPr>
          <w:rFonts w:hint="eastAsia" w:ascii="宋体" w:hAnsi="宋体" w:cs="宋体"/>
          <w:b/>
          <w:sz w:val="24"/>
        </w:rPr>
        <w:t>服务内容</w:t>
      </w:r>
      <w:r>
        <w:rPr>
          <w:rFonts w:hint="eastAsia" w:ascii="宋体" w:hAnsi="宋体" w:cs="宋体"/>
          <w:sz w:val="24"/>
        </w:rPr>
        <w:t>：</w:t>
      </w:r>
    </w:p>
    <w:p w14:paraId="021A78CD">
      <w:pPr>
        <w:adjustRightInd w:val="0"/>
        <w:snapToGrid w:val="0"/>
        <w:spacing w:line="360" w:lineRule="auto"/>
        <w:ind w:firstLine="480" w:firstLineChars="200"/>
        <w:rPr>
          <w:rFonts w:ascii="宋体" w:hAnsi="宋体" w:cs="宋体"/>
          <w:sz w:val="24"/>
        </w:rPr>
      </w:pPr>
      <w:r>
        <w:rPr>
          <w:rFonts w:hint="eastAsia" w:ascii="宋体" w:hAnsi="宋体" w:cs="宋体"/>
          <w:sz w:val="24"/>
        </w:rPr>
        <w:t>目标与责任、服务人员要求、保密和思想政治教育、档案管理、分包投标人管理、服务改进、重大活动后勤保障、应急保障预案、服务方案及工作制度、信报服务、服务热线及紧急维修。</w:t>
      </w:r>
    </w:p>
    <w:p w14:paraId="5D558FE7">
      <w:pPr>
        <w:adjustRightInd w:val="0"/>
        <w:snapToGrid w:val="0"/>
        <w:spacing w:line="360" w:lineRule="auto"/>
        <w:ind w:firstLine="482" w:firstLineChars="200"/>
        <w:rPr>
          <w:rFonts w:ascii="宋体" w:hAnsi="宋体" w:cs="宋体"/>
          <w:sz w:val="24"/>
        </w:rPr>
      </w:pPr>
      <w:r>
        <w:rPr>
          <w:rFonts w:ascii="宋体" w:hAnsi="宋体" w:cs="宋体"/>
          <w:b/>
          <w:sz w:val="24"/>
        </w:rPr>
        <w:t>2.服务标准</w:t>
      </w:r>
      <w:r>
        <w:rPr>
          <w:rFonts w:hint="eastAsia" w:ascii="宋体" w:hAnsi="宋体" w:cs="宋体"/>
          <w:sz w:val="24"/>
        </w:rPr>
        <w:t>：</w:t>
      </w:r>
    </w:p>
    <w:p w14:paraId="02898F26">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目标与责任</w:t>
      </w:r>
    </w:p>
    <w:p w14:paraId="4A8C80C7">
      <w:pPr>
        <w:adjustRightInd w:val="0"/>
        <w:snapToGrid w:val="0"/>
        <w:spacing w:line="360" w:lineRule="auto"/>
        <w:ind w:firstLine="480" w:firstLineChars="200"/>
        <w:rPr>
          <w:rFonts w:ascii="宋体" w:hAnsi="宋体" w:cs="宋体"/>
          <w:sz w:val="24"/>
        </w:rPr>
      </w:pPr>
      <w:r>
        <w:rPr>
          <w:rFonts w:ascii="宋体" w:hAnsi="宋体" w:cs="宋体"/>
          <w:sz w:val="24"/>
        </w:rPr>
        <w:t>2.1.1</w:t>
      </w:r>
      <w:r>
        <w:rPr>
          <w:rFonts w:hint="eastAsia" w:ascii="宋体" w:hAnsi="宋体" w:cs="宋体"/>
          <w:sz w:val="24"/>
        </w:rPr>
        <w:t>结合采购人要求及物业服务实际情况，制定年度管理目标，明确责任分工，并制定配套实施方案。</w:t>
      </w:r>
    </w:p>
    <w:p w14:paraId="1226FC06">
      <w:p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服务人员要求</w:t>
      </w:r>
    </w:p>
    <w:p w14:paraId="18101638">
      <w:pPr>
        <w:adjustRightInd w:val="0"/>
        <w:snapToGrid w:val="0"/>
        <w:spacing w:line="360" w:lineRule="auto"/>
        <w:ind w:firstLine="480" w:firstLineChars="200"/>
        <w:rPr>
          <w:rFonts w:ascii="宋体" w:hAnsi="宋体" w:cs="宋体"/>
          <w:sz w:val="24"/>
        </w:rPr>
      </w:pPr>
      <w:r>
        <w:rPr>
          <w:rFonts w:ascii="宋体" w:hAnsi="宋体" w:cs="宋体"/>
          <w:sz w:val="24"/>
        </w:rPr>
        <w:t>2.2.1</w:t>
      </w:r>
      <w:r>
        <w:rPr>
          <w:rFonts w:hint="eastAsia" w:ascii="宋体" w:hAnsi="宋体" w:cs="宋体"/>
          <w:sz w:val="24"/>
        </w:rPr>
        <w:t>每季度至少开展</w:t>
      </w:r>
      <w:r>
        <w:rPr>
          <w:rFonts w:ascii="宋体" w:hAnsi="宋体" w:cs="宋体"/>
          <w:sz w:val="24"/>
        </w:rPr>
        <w:t>1次岗位技能、职业素质、服务知识、客户文化、绿色节能环保等教育培训，并进行适当形式的考核。</w:t>
      </w:r>
    </w:p>
    <w:p w14:paraId="4F073301">
      <w:pPr>
        <w:adjustRightInd w:val="0"/>
        <w:snapToGrid w:val="0"/>
        <w:spacing w:line="360" w:lineRule="auto"/>
        <w:ind w:firstLine="480" w:firstLineChars="200"/>
        <w:rPr>
          <w:rFonts w:ascii="宋体" w:hAnsi="宋体" w:cs="宋体"/>
          <w:sz w:val="24"/>
        </w:rPr>
      </w:pPr>
      <w:r>
        <w:rPr>
          <w:rFonts w:ascii="宋体" w:hAnsi="宋体" w:cs="宋体"/>
          <w:sz w:val="24"/>
        </w:rPr>
        <w:t>2.2.2</w:t>
      </w:r>
      <w:r>
        <w:rPr>
          <w:rFonts w:hint="eastAsia" w:ascii="宋体" w:hAnsi="宋体" w:cs="宋体"/>
          <w:sz w:val="24"/>
        </w:rPr>
        <w:t>根据采购人要求对服务人员进行从业资格审查，审查结果向采购人报备。</w:t>
      </w:r>
    </w:p>
    <w:p w14:paraId="304E3594">
      <w:pPr>
        <w:adjustRightInd w:val="0"/>
        <w:snapToGrid w:val="0"/>
        <w:spacing w:line="360" w:lineRule="auto"/>
        <w:ind w:firstLine="480" w:firstLineChars="200"/>
        <w:rPr>
          <w:rFonts w:ascii="宋体" w:hAnsi="宋体" w:cs="宋体"/>
          <w:sz w:val="24"/>
        </w:rPr>
      </w:pPr>
      <w:r>
        <w:rPr>
          <w:rFonts w:ascii="宋体" w:hAnsi="宋体" w:cs="宋体"/>
          <w:sz w:val="24"/>
        </w:rPr>
        <w:t>2.2.3</w:t>
      </w:r>
      <w:r>
        <w:rPr>
          <w:rFonts w:hint="eastAsia" w:ascii="宋体" w:hAnsi="宋体" w:cs="宋体"/>
          <w:sz w:val="24"/>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p w14:paraId="0996E027">
      <w:pPr>
        <w:adjustRightInd w:val="0"/>
        <w:snapToGrid w:val="0"/>
        <w:spacing w:line="360" w:lineRule="auto"/>
        <w:ind w:firstLine="480" w:firstLineChars="200"/>
        <w:rPr>
          <w:rFonts w:ascii="宋体" w:hAnsi="宋体" w:cs="宋体"/>
          <w:sz w:val="24"/>
        </w:rPr>
      </w:pPr>
      <w:r>
        <w:rPr>
          <w:rFonts w:ascii="宋体" w:hAnsi="宋体" w:cs="宋体"/>
          <w:sz w:val="24"/>
        </w:rPr>
        <w:t>2.2.4</w:t>
      </w:r>
      <w:r>
        <w:rPr>
          <w:rFonts w:hint="eastAsia" w:ascii="宋体" w:hAnsi="宋体" w:cs="宋体"/>
          <w:sz w:val="24"/>
        </w:rPr>
        <w:t>如采购人认为服务人员不适应岗位要求或存在其他影响工作的，可要求投标人进行调换。如因投标人原因对服务人员进行调换，应当经采购人同意，更换比例不得超过本项目服务人员总数的</w:t>
      </w:r>
      <w:r>
        <w:rPr>
          <w:rFonts w:ascii="宋体" w:hAnsi="宋体" w:cs="宋体"/>
          <w:sz w:val="24"/>
        </w:rPr>
        <w:t>20%。本项目服务人员不得在其他项目兼职。</w:t>
      </w:r>
    </w:p>
    <w:p w14:paraId="30E23476">
      <w:pPr>
        <w:adjustRightInd w:val="0"/>
        <w:snapToGrid w:val="0"/>
        <w:spacing w:line="360" w:lineRule="auto"/>
        <w:ind w:firstLine="480" w:firstLineChars="200"/>
        <w:rPr>
          <w:rFonts w:ascii="宋体" w:hAnsi="宋体" w:cs="宋体"/>
          <w:sz w:val="24"/>
        </w:rPr>
      </w:pPr>
      <w:r>
        <w:rPr>
          <w:rFonts w:ascii="宋体" w:hAnsi="宋体" w:cs="宋体"/>
          <w:sz w:val="24"/>
        </w:rPr>
        <w:t>2.2.5</w:t>
      </w:r>
      <w:r>
        <w:rPr>
          <w:rFonts w:hint="eastAsia" w:ascii="宋体" w:hAnsi="宋体" w:cs="宋体"/>
          <w:sz w:val="24"/>
        </w:rPr>
        <w:t>着装分类统一，佩戴标识。仪容整洁、姿态端正、举止文明。用语文明礼貌，态度温和耐心。</w:t>
      </w:r>
    </w:p>
    <w:p w14:paraId="281B5A23">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保密和思想政治教育</w:t>
      </w:r>
    </w:p>
    <w:p w14:paraId="1EE3AB62">
      <w:pPr>
        <w:adjustRightInd w:val="0"/>
        <w:snapToGrid w:val="0"/>
        <w:spacing w:line="360" w:lineRule="auto"/>
        <w:ind w:firstLine="480" w:firstLineChars="200"/>
        <w:rPr>
          <w:rFonts w:ascii="宋体" w:hAnsi="宋体" w:cs="宋体"/>
          <w:sz w:val="24"/>
        </w:rPr>
      </w:pPr>
      <w:r>
        <w:rPr>
          <w:rFonts w:ascii="宋体" w:hAnsi="宋体" w:cs="宋体"/>
          <w:sz w:val="24"/>
        </w:rPr>
        <w:t>2.3.1</w:t>
      </w:r>
      <w:r>
        <w:rPr>
          <w:rFonts w:hint="eastAsia" w:ascii="宋体" w:hAnsi="宋体" w:cs="宋体"/>
          <w:sz w:val="24"/>
        </w:rPr>
        <w:t>建立保密管理制度。制度内容应当包括但不限于：①明确重点要害岗位保密职责。②对涉密工作岗位的保密要求。</w:t>
      </w:r>
    </w:p>
    <w:p w14:paraId="26675543">
      <w:pPr>
        <w:adjustRightInd w:val="0"/>
        <w:snapToGrid w:val="0"/>
        <w:spacing w:line="360" w:lineRule="auto"/>
        <w:ind w:firstLine="480" w:firstLineChars="200"/>
        <w:rPr>
          <w:rFonts w:ascii="宋体" w:hAnsi="宋体" w:cs="宋体"/>
          <w:sz w:val="24"/>
        </w:rPr>
      </w:pPr>
      <w:r>
        <w:rPr>
          <w:rFonts w:ascii="宋体" w:hAnsi="宋体" w:cs="宋体"/>
          <w:sz w:val="24"/>
        </w:rPr>
        <w:t>2.3.2</w:t>
      </w:r>
      <w:r>
        <w:rPr>
          <w:rFonts w:hint="eastAsia" w:ascii="宋体" w:hAnsi="宋体" w:cs="宋体"/>
          <w:sz w:val="24"/>
        </w:rPr>
        <w:t>根据采购人要求与涉密工作岗位的服务人员签订保密协议。保密协议应当向采购人报备。</w:t>
      </w:r>
    </w:p>
    <w:p w14:paraId="625FC230">
      <w:pPr>
        <w:adjustRightInd w:val="0"/>
        <w:snapToGrid w:val="0"/>
        <w:spacing w:line="360" w:lineRule="auto"/>
        <w:ind w:firstLine="480" w:firstLineChars="200"/>
        <w:rPr>
          <w:rFonts w:ascii="宋体" w:hAnsi="宋体" w:cs="宋体"/>
          <w:sz w:val="24"/>
        </w:rPr>
      </w:pPr>
      <w:r>
        <w:rPr>
          <w:rFonts w:ascii="宋体" w:hAnsi="宋体" w:cs="宋体"/>
          <w:sz w:val="24"/>
        </w:rPr>
        <w:t>2.3.3</w:t>
      </w:r>
      <w:r>
        <w:rPr>
          <w:rFonts w:hint="eastAsia" w:ascii="宋体" w:hAnsi="宋体" w:cs="宋体"/>
          <w:sz w:val="24"/>
        </w:rPr>
        <w:t>每季度至少开展</w:t>
      </w:r>
      <w:r>
        <w:rPr>
          <w:rFonts w:ascii="宋体" w:hAnsi="宋体" w:cs="宋体"/>
          <w:sz w:val="24"/>
        </w:rPr>
        <w:t>1</w:t>
      </w:r>
      <w:r>
        <w:rPr>
          <w:rFonts w:hint="eastAsia" w:ascii="宋体" w:hAnsi="宋体" w:cs="宋体"/>
          <w:sz w:val="24"/>
        </w:rPr>
        <w:t>次对服务人员进行保密、思想政治教育的培训，提高服务人员保密意识和思想政治意识。新入职员工应当接受保密、思想政治教育培训，进行必要的人员经历审查，合格后签订保密协议方可上岗。</w:t>
      </w:r>
    </w:p>
    <w:p w14:paraId="6E0B34D2">
      <w:pPr>
        <w:adjustRightInd w:val="0"/>
        <w:snapToGrid w:val="0"/>
        <w:spacing w:line="360" w:lineRule="auto"/>
        <w:ind w:firstLine="480" w:firstLineChars="200"/>
        <w:rPr>
          <w:rFonts w:ascii="宋体" w:hAnsi="宋体" w:cs="宋体"/>
          <w:sz w:val="24"/>
        </w:rPr>
      </w:pPr>
      <w:r>
        <w:rPr>
          <w:rFonts w:ascii="宋体" w:hAnsi="宋体" w:cs="宋体"/>
          <w:sz w:val="24"/>
        </w:rPr>
        <w:t>2.3.4</w:t>
      </w:r>
      <w:r>
        <w:rPr>
          <w:rFonts w:hint="eastAsia" w:ascii="宋体" w:hAnsi="宋体" w:cs="宋体"/>
          <w:sz w:val="24"/>
        </w:rPr>
        <w:t>发现服务人员违法违规或重大过失，及时报告采购人，并采取必要补救措施。</w:t>
      </w:r>
    </w:p>
    <w:p w14:paraId="207DB4D9">
      <w:pPr>
        <w:adjustRightInd w:val="0"/>
        <w:snapToGrid w:val="0"/>
        <w:spacing w:line="360" w:lineRule="auto"/>
        <w:ind w:firstLine="480" w:firstLineChars="200"/>
        <w:rPr>
          <w:rFonts w:ascii="宋体" w:hAnsi="宋体" w:cs="宋体"/>
          <w:sz w:val="24"/>
        </w:rPr>
      </w:pPr>
      <w:r>
        <w:rPr>
          <w:rFonts w:ascii="宋体" w:hAnsi="宋体" w:cs="宋体"/>
          <w:sz w:val="24"/>
        </w:rPr>
        <w:t>2.4</w:t>
      </w:r>
      <w:r>
        <w:rPr>
          <w:rFonts w:hint="eastAsia" w:ascii="宋体" w:hAnsi="宋体" w:cs="宋体"/>
          <w:sz w:val="24"/>
        </w:rPr>
        <w:t>档案管理</w:t>
      </w:r>
    </w:p>
    <w:p w14:paraId="7CE01B55">
      <w:pPr>
        <w:adjustRightInd w:val="0"/>
        <w:snapToGrid w:val="0"/>
        <w:spacing w:line="360" w:lineRule="auto"/>
        <w:ind w:firstLine="480" w:firstLineChars="200"/>
        <w:rPr>
          <w:rFonts w:ascii="宋体" w:hAnsi="宋体" w:cs="宋体"/>
          <w:sz w:val="24"/>
        </w:rPr>
      </w:pPr>
      <w:r>
        <w:rPr>
          <w:rFonts w:ascii="宋体" w:hAnsi="宋体" w:cs="宋体"/>
          <w:sz w:val="24"/>
        </w:rPr>
        <w:t>2.4.1</w:t>
      </w:r>
      <w:r>
        <w:rPr>
          <w:rFonts w:hint="eastAsia" w:ascii="宋体" w:hAnsi="宋体" w:cs="宋体"/>
          <w:sz w:val="24"/>
        </w:rPr>
        <w:t>建立物业信息，准确、及时地对文件资料和服务记录进行归档保存，并确保其物理安全。</w:t>
      </w:r>
    </w:p>
    <w:p w14:paraId="13F2195F">
      <w:pPr>
        <w:adjustRightInd w:val="0"/>
        <w:snapToGrid w:val="0"/>
        <w:spacing w:line="360" w:lineRule="auto"/>
        <w:ind w:firstLine="480" w:firstLineChars="200"/>
        <w:rPr>
          <w:rFonts w:ascii="宋体" w:hAnsi="宋体" w:cs="宋体"/>
          <w:sz w:val="24"/>
        </w:rPr>
      </w:pPr>
      <w:r>
        <w:rPr>
          <w:rFonts w:ascii="宋体" w:hAnsi="宋体" w:cs="宋体"/>
          <w:sz w:val="24"/>
        </w:rPr>
        <w:t>2.4.2</w:t>
      </w:r>
      <w:r>
        <w:rPr>
          <w:rFonts w:hint="eastAsia" w:ascii="宋体" w:hAnsi="宋体" w:cs="宋体"/>
          <w:sz w:val="24"/>
        </w:rPr>
        <w:t>档案和记录齐全，包括但不限于：</w:t>
      </w:r>
    </w:p>
    <w:p w14:paraId="6E98EF62">
      <w:pPr>
        <w:adjustRightInd w:val="0"/>
        <w:snapToGrid w:val="0"/>
        <w:spacing w:line="360" w:lineRule="auto"/>
        <w:ind w:firstLine="480" w:firstLineChars="200"/>
        <w:rPr>
          <w:rFonts w:ascii="宋体" w:hAnsi="宋体" w:cs="宋体"/>
          <w:sz w:val="24"/>
        </w:rPr>
      </w:pPr>
      <w:r>
        <w:rPr>
          <w:rFonts w:hint="eastAsia" w:ascii="宋体" w:hAnsi="宋体" w:cs="宋体"/>
          <w:sz w:val="24"/>
        </w:rPr>
        <w:t>（1）采购人建议与投诉等。教育培训和考核记录。保密、思想政治教育培训记录。</w:t>
      </w:r>
      <w:r>
        <w:rPr>
          <w:rFonts w:ascii="宋体" w:hAnsi="宋体" w:cs="宋体"/>
          <w:sz w:val="24"/>
        </w:rPr>
        <w:t>接待投诉时，投诉内容、处理结果及反馈意见及时。表：包括管理所设立的各类表格、质量记录表、使用情况表、回访表、洽商申请表等。</w:t>
      </w:r>
    </w:p>
    <w:p w14:paraId="7E697C64">
      <w:pPr>
        <w:adjustRightInd w:val="0"/>
        <w:snapToGrid w:val="0"/>
        <w:spacing w:line="360" w:lineRule="auto"/>
        <w:ind w:firstLine="480" w:firstLineChars="200"/>
        <w:rPr>
          <w:rFonts w:ascii="宋体" w:hAnsi="宋体" w:cs="宋体"/>
          <w:sz w:val="24"/>
        </w:rPr>
      </w:pPr>
      <w:r>
        <w:rPr>
          <w:rFonts w:hint="eastAsia" w:ascii="宋体" w:hAnsi="宋体" w:cs="宋体"/>
          <w:sz w:val="24"/>
        </w:rPr>
        <w:t>（2）房屋维护服务：房屋台账、使用说明、房屋装修、维保记录等。</w:t>
      </w:r>
      <w:r>
        <w:rPr>
          <w:rFonts w:ascii="宋体" w:hAnsi="宋体" w:cs="宋体"/>
          <w:sz w:val="24"/>
        </w:rPr>
        <w:t>图：包括房屋平面图、竣工图、管道走向图、污井下水道位置图、体内线路图、各房屋布置图。档：包括办公楼接管验收记录、管理合同副本、房屋产权证。册：包括房屋建筑册，房屋使用册，绿化管理册等。后期改造工程图纸等及时制图并存档。</w:t>
      </w:r>
    </w:p>
    <w:p w14:paraId="5B4D0880">
      <w:pPr>
        <w:adjustRightInd w:val="0"/>
        <w:snapToGrid w:val="0"/>
        <w:spacing w:line="360" w:lineRule="auto"/>
        <w:ind w:firstLine="480" w:firstLineChars="200"/>
        <w:rPr>
          <w:rFonts w:ascii="宋体" w:hAnsi="宋体" w:cs="宋体"/>
          <w:sz w:val="24"/>
        </w:rPr>
      </w:pPr>
      <w:r>
        <w:rPr>
          <w:rFonts w:hint="eastAsia" w:ascii="宋体" w:hAnsi="宋体" w:cs="宋体"/>
          <w:sz w:val="24"/>
        </w:rPr>
        <w:t>（3）公用设施设备维护服务：设备台账、设备卡、使用说明、维保记录、巡查记录、设施设备安全运行、设施设备定期巡检、维护保养、维修档案等。</w:t>
      </w:r>
      <w:r>
        <w:rPr>
          <w:rFonts w:ascii="宋体" w:hAnsi="宋体" w:cs="宋体"/>
          <w:sz w:val="24"/>
        </w:rPr>
        <w:t>维修更新时，维修更新后的物业变动情况记录在册及时。卡：包括设备保养卡、维修记录卡。</w:t>
      </w:r>
    </w:p>
    <w:p w14:paraId="4E2BB5C7">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）保洁服务：工作日志、清洁检查表、用品清单、客户反馈表等。</w:t>
      </w:r>
    </w:p>
    <w:p w14:paraId="322E8E7D">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）绿化服务：绿化总平面图、清洁整改记录、消杀记录等。</w:t>
      </w:r>
    </w:p>
    <w:p w14:paraId="3BF99459">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）收集整理各种人事档案、质量记录、保险档案、物业权属资料、管理合同、管理制度等资料；建立工程图纸档案、设备档案、工程承包合同、招投标书或报价单、设备运行保养保修记录、竣工图纸、各类洽商。</w:t>
      </w:r>
    </w:p>
    <w:p w14:paraId="580734C6">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）其他：客户信息、财务明细、合同协议、信报信息登记、大件物品进出登记等。</w:t>
      </w:r>
    </w:p>
    <w:p w14:paraId="5A05D378">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w:t>
      </w:r>
      <w:r>
        <w:rPr>
          <w:rFonts w:ascii="宋体" w:hAnsi="宋体" w:cs="宋体"/>
          <w:sz w:val="24"/>
        </w:rPr>
        <w:t>物业接管时，所有原始记录资料交接及时。</w:t>
      </w:r>
    </w:p>
    <w:p w14:paraId="17155B0A">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w:t>
      </w:r>
      <w:r>
        <w:rPr>
          <w:rFonts w:ascii="宋体" w:hAnsi="宋体" w:cs="宋体"/>
          <w:sz w:val="24"/>
        </w:rPr>
        <w:t xml:space="preserve">物业入住时，全面掌握各部门及个人基本情况，区域划分钥匙分配原始记录交接及时。 </w:t>
      </w:r>
    </w:p>
    <w:p w14:paraId="3D5FFF97">
      <w:pPr>
        <w:widowControl/>
        <w:adjustRightInd w:val="0"/>
        <w:snapToGrid w:val="0"/>
        <w:spacing w:line="360" w:lineRule="auto"/>
        <w:ind w:firstLine="480" w:firstLineChars="200"/>
        <w:rPr>
          <w:rFonts w:ascii="宋体" w:hAnsi="宋体" w:cs="宋体"/>
          <w:sz w:val="24"/>
        </w:rPr>
      </w:pPr>
      <w:r>
        <w:rPr>
          <w:rFonts w:ascii="宋体" w:hAnsi="宋体" w:cs="宋体"/>
          <w:sz w:val="24"/>
        </w:rPr>
        <w:t>2.5</w:t>
      </w:r>
      <w:r>
        <w:rPr>
          <w:rFonts w:hint="eastAsia" w:ascii="宋体" w:hAnsi="宋体" w:cs="宋体"/>
          <w:sz w:val="24"/>
        </w:rPr>
        <w:t>服务改进</w:t>
      </w:r>
    </w:p>
    <w:p w14:paraId="42CD5006">
      <w:pPr>
        <w:adjustRightInd w:val="0"/>
        <w:snapToGrid w:val="0"/>
        <w:spacing w:line="360" w:lineRule="auto"/>
        <w:ind w:firstLine="480" w:firstLineChars="200"/>
        <w:rPr>
          <w:rFonts w:ascii="宋体" w:hAnsi="宋体" w:cs="宋体"/>
          <w:sz w:val="24"/>
        </w:rPr>
      </w:pPr>
      <w:r>
        <w:rPr>
          <w:rFonts w:ascii="宋体" w:hAnsi="宋体" w:cs="宋体"/>
          <w:sz w:val="24"/>
        </w:rPr>
        <w:t>2.5.1</w:t>
      </w:r>
      <w:r>
        <w:rPr>
          <w:rFonts w:hint="eastAsia" w:ascii="宋体" w:hAnsi="宋体" w:cs="宋体"/>
          <w:sz w:val="24"/>
        </w:rPr>
        <w:t>明确负责人，定期对物业服务过程进行自查，结合反馈意见与评价结果采取改进措施，持续提升管理与服务水平。</w:t>
      </w:r>
    </w:p>
    <w:p w14:paraId="7BE311CC">
      <w:pPr>
        <w:adjustRightInd w:val="0"/>
        <w:snapToGrid w:val="0"/>
        <w:spacing w:line="360" w:lineRule="auto"/>
        <w:ind w:firstLine="480" w:firstLineChars="200"/>
        <w:rPr>
          <w:rFonts w:ascii="宋体" w:hAnsi="宋体" w:cs="宋体"/>
          <w:sz w:val="24"/>
        </w:rPr>
      </w:pPr>
      <w:r>
        <w:rPr>
          <w:rFonts w:ascii="宋体" w:hAnsi="宋体" w:cs="宋体"/>
          <w:sz w:val="24"/>
        </w:rPr>
        <w:t>2.5.2</w:t>
      </w:r>
      <w:r>
        <w:rPr>
          <w:rFonts w:hint="eastAsia" w:ascii="宋体" w:hAnsi="宋体" w:cs="宋体"/>
          <w:sz w:val="24"/>
        </w:rPr>
        <w:t>对不合格服务进行控制，对不合格服务的原因进行识别和分析，及时采取纠正措施，消除不合格的原因，防止不合格再发生。</w:t>
      </w:r>
    </w:p>
    <w:p w14:paraId="1D15FADE">
      <w:pPr>
        <w:adjustRightInd w:val="0"/>
        <w:snapToGrid w:val="0"/>
        <w:spacing w:line="360" w:lineRule="auto"/>
        <w:ind w:firstLine="480" w:firstLineChars="200"/>
        <w:rPr>
          <w:rFonts w:ascii="宋体" w:hAnsi="宋体" w:cs="宋体"/>
          <w:sz w:val="24"/>
        </w:rPr>
      </w:pPr>
      <w:r>
        <w:rPr>
          <w:rFonts w:ascii="宋体" w:hAnsi="宋体" w:cs="宋体"/>
          <w:sz w:val="24"/>
        </w:rPr>
        <w:t>2.5.3</w:t>
      </w:r>
      <w:r>
        <w:rPr>
          <w:rFonts w:hint="eastAsia" w:ascii="宋体" w:hAnsi="宋体" w:cs="宋体"/>
          <w:sz w:val="24"/>
        </w:rPr>
        <w:t>需整改问题及时整改完成。</w:t>
      </w:r>
    </w:p>
    <w:p w14:paraId="7C2F0C29">
      <w:pPr>
        <w:adjustRightInd w:val="0"/>
        <w:snapToGrid w:val="0"/>
        <w:spacing w:line="360" w:lineRule="auto"/>
        <w:ind w:firstLine="480" w:firstLineChars="200"/>
        <w:rPr>
          <w:rFonts w:ascii="宋体" w:hAnsi="宋体" w:cs="宋体"/>
          <w:sz w:val="24"/>
        </w:rPr>
      </w:pPr>
      <w:r>
        <w:rPr>
          <w:rFonts w:ascii="宋体" w:hAnsi="宋体" w:cs="宋体"/>
          <w:sz w:val="24"/>
        </w:rPr>
        <w:t>2.6</w:t>
      </w:r>
      <w:r>
        <w:rPr>
          <w:rFonts w:hint="eastAsia" w:ascii="宋体" w:hAnsi="宋体" w:cs="宋体"/>
          <w:sz w:val="24"/>
        </w:rPr>
        <w:t>重大活动后勤保障</w:t>
      </w:r>
    </w:p>
    <w:p w14:paraId="764406D3">
      <w:pPr>
        <w:adjustRightInd w:val="0"/>
        <w:snapToGrid w:val="0"/>
        <w:spacing w:line="360" w:lineRule="auto"/>
        <w:ind w:firstLine="480" w:firstLineChars="200"/>
        <w:rPr>
          <w:rFonts w:ascii="宋体" w:hAnsi="宋体" w:cs="宋体"/>
          <w:sz w:val="24"/>
        </w:rPr>
      </w:pPr>
      <w:r>
        <w:rPr>
          <w:rFonts w:ascii="宋体" w:hAnsi="宋体" w:cs="宋体"/>
          <w:sz w:val="24"/>
        </w:rPr>
        <w:t>2.6.1</w:t>
      </w:r>
      <w:r>
        <w:rPr>
          <w:rFonts w:hint="eastAsia" w:ascii="宋体" w:hAnsi="宋体" w:cs="宋体"/>
          <w:sz w:val="24"/>
        </w:rPr>
        <w:t>制订流程。配合采购人制订重大活动后勤保障工作流程，需对任务进行详细了解，并根据工作安排制定详细的后勤保障计划。</w:t>
      </w:r>
    </w:p>
    <w:p w14:paraId="695663A6">
      <w:pPr>
        <w:adjustRightInd w:val="0"/>
        <w:snapToGrid w:val="0"/>
        <w:spacing w:line="360" w:lineRule="auto"/>
        <w:ind w:firstLine="480" w:firstLineChars="200"/>
        <w:rPr>
          <w:rFonts w:ascii="宋体" w:hAnsi="宋体" w:cs="宋体"/>
          <w:sz w:val="24"/>
        </w:rPr>
      </w:pPr>
      <w:r>
        <w:rPr>
          <w:rFonts w:ascii="宋体" w:hAnsi="宋体" w:cs="宋体"/>
          <w:sz w:val="24"/>
        </w:rPr>
        <w:t>2.6.2</w:t>
      </w:r>
      <w:r>
        <w:rPr>
          <w:rFonts w:hint="eastAsia" w:ascii="宋体" w:hAnsi="宋体" w:cs="宋体"/>
          <w:sz w:val="24"/>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685DE7FC">
      <w:pPr>
        <w:adjustRightInd w:val="0"/>
        <w:snapToGrid w:val="0"/>
        <w:spacing w:line="360" w:lineRule="auto"/>
        <w:ind w:firstLine="480" w:firstLineChars="200"/>
        <w:rPr>
          <w:rFonts w:ascii="宋体" w:hAnsi="宋体" w:cs="宋体"/>
          <w:sz w:val="24"/>
        </w:rPr>
      </w:pPr>
      <w:r>
        <w:rPr>
          <w:rFonts w:ascii="宋体" w:hAnsi="宋体" w:cs="宋体"/>
          <w:sz w:val="24"/>
        </w:rPr>
        <w:t>2.6.3</w:t>
      </w:r>
      <w:r>
        <w:rPr>
          <w:rFonts w:hint="eastAsia" w:ascii="宋体" w:hAnsi="宋体" w:cs="宋体"/>
          <w:sz w:val="24"/>
        </w:rPr>
        <w:t>收尾工作。对现场进行检查，做好清理工作。</w:t>
      </w:r>
    </w:p>
    <w:p w14:paraId="3CBC4EB9">
      <w:pPr>
        <w:adjustRightInd w:val="0"/>
        <w:snapToGrid w:val="0"/>
        <w:spacing w:line="360" w:lineRule="auto"/>
        <w:ind w:firstLine="480" w:firstLineChars="200"/>
        <w:rPr>
          <w:rFonts w:ascii="宋体" w:hAnsi="宋体" w:cs="宋体"/>
          <w:sz w:val="24"/>
        </w:rPr>
      </w:pPr>
      <w:r>
        <w:rPr>
          <w:rFonts w:ascii="宋体" w:hAnsi="宋体" w:cs="宋体"/>
          <w:sz w:val="24"/>
        </w:rPr>
        <w:t>2.7</w:t>
      </w:r>
      <w:r>
        <w:rPr>
          <w:rFonts w:hint="eastAsia" w:ascii="宋体" w:hAnsi="宋体" w:cs="宋体"/>
          <w:sz w:val="24"/>
        </w:rPr>
        <w:t>应急保障预案</w:t>
      </w:r>
    </w:p>
    <w:p w14:paraId="62D066D4">
      <w:pPr>
        <w:adjustRightInd w:val="0"/>
        <w:snapToGrid w:val="0"/>
        <w:spacing w:line="360" w:lineRule="auto"/>
        <w:ind w:firstLine="480" w:firstLineChars="200"/>
        <w:rPr>
          <w:rFonts w:ascii="宋体" w:hAnsi="宋体" w:cs="宋体"/>
          <w:sz w:val="24"/>
        </w:rPr>
      </w:pPr>
      <w:r>
        <w:rPr>
          <w:rFonts w:ascii="宋体" w:hAnsi="宋体" w:cs="宋体"/>
          <w:sz w:val="24"/>
        </w:rPr>
        <w:t>2.7.1</w:t>
      </w:r>
      <w:r>
        <w:rPr>
          <w:rFonts w:hint="eastAsia" w:ascii="宋体" w:hAnsi="宋体" w:cs="宋体"/>
          <w:sz w:val="24"/>
        </w:rPr>
        <w:t>重点区域及安全隐患排查。结合项目的实际情况，对重点部位及危险隐患进行排查，并建立清单</w:t>
      </w:r>
      <w:r>
        <w:rPr>
          <w:rFonts w:ascii="宋体" w:hAnsi="宋体" w:cs="宋体"/>
          <w:sz w:val="24"/>
        </w:rPr>
        <w:t>/</w:t>
      </w:r>
      <w:r>
        <w:rPr>
          <w:rFonts w:hint="eastAsia" w:ascii="宋体" w:hAnsi="宋体" w:cs="宋体"/>
          <w:sz w:val="24"/>
        </w:rPr>
        <w:t>台账；应当对危险隐患进行风险分析，制定相应措施进行控制或整改并定期监控；随着设施设备、服务内容的变化，及时更新清单</w:t>
      </w:r>
      <w:r>
        <w:rPr>
          <w:rFonts w:ascii="宋体" w:hAnsi="宋体" w:cs="宋体"/>
          <w:sz w:val="24"/>
        </w:rPr>
        <w:t>/</w:t>
      </w:r>
      <w:r>
        <w:rPr>
          <w:rFonts w:hint="eastAsia" w:ascii="宋体" w:hAnsi="宋体" w:cs="宋体"/>
          <w:sz w:val="24"/>
        </w:rPr>
        <w:t>台账，使风险隐患始终处于受控状态。</w:t>
      </w:r>
    </w:p>
    <w:p w14:paraId="107182A3">
      <w:pPr>
        <w:adjustRightInd w:val="0"/>
        <w:snapToGrid w:val="0"/>
        <w:spacing w:line="360" w:lineRule="auto"/>
        <w:ind w:firstLine="480" w:firstLineChars="200"/>
        <w:rPr>
          <w:rFonts w:ascii="宋体" w:hAnsi="宋体" w:cs="宋体"/>
          <w:sz w:val="24"/>
        </w:rPr>
      </w:pPr>
      <w:r>
        <w:rPr>
          <w:rFonts w:ascii="宋体" w:hAnsi="宋体" w:cs="宋体"/>
          <w:sz w:val="24"/>
        </w:rPr>
        <w:t>2.7.2</w:t>
      </w:r>
      <w:r>
        <w:rPr>
          <w:rFonts w:hint="eastAsia" w:ascii="宋体" w:hAnsi="宋体" w:cs="宋体"/>
          <w:sz w:val="24"/>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p w14:paraId="414A8F5C">
      <w:pPr>
        <w:adjustRightInd w:val="0"/>
        <w:snapToGrid w:val="0"/>
        <w:spacing w:line="360" w:lineRule="auto"/>
        <w:ind w:firstLine="480" w:firstLineChars="200"/>
        <w:rPr>
          <w:rFonts w:ascii="宋体" w:hAnsi="宋体" w:cs="宋体"/>
          <w:sz w:val="24"/>
        </w:rPr>
      </w:pPr>
      <w:r>
        <w:rPr>
          <w:rFonts w:ascii="宋体" w:hAnsi="宋体" w:cs="宋体"/>
          <w:sz w:val="24"/>
        </w:rPr>
        <w:t>2.7.3</w:t>
      </w:r>
      <w:r>
        <w:rPr>
          <w:rFonts w:hint="eastAsia" w:ascii="宋体" w:hAnsi="宋体" w:cs="宋体"/>
          <w:sz w:val="24"/>
        </w:rPr>
        <w:t>应急预案的培训和演练。应急预案定期培训和演练，组织相关岗位每半年至少开展一次专项应急预案演练；留存培训及演练记录和影像资料，并对预案进行评价，确保与实际情况相结合。</w:t>
      </w:r>
    </w:p>
    <w:p w14:paraId="7CC2FD2A">
      <w:pPr>
        <w:adjustRightInd w:val="0"/>
        <w:snapToGrid w:val="0"/>
        <w:spacing w:line="360" w:lineRule="auto"/>
        <w:ind w:firstLine="480" w:firstLineChars="200"/>
        <w:rPr>
          <w:rFonts w:ascii="宋体" w:hAnsi="宋体" w:cs="宋体"/>
          <w:sz w:val="24"/>
        </w:rPr>
      </w:pPr>
      <w:r>
        <w:rPr>
          <w:rFonts w:ascii="宋体" w:hAnsi="宋体" w:cs="宋体"/>
          <w:sz w:val="24"/>
        </w:rPr>
        <w:t>2.7.4</w:t>
      </w:r>
      <w:r>
        <w:rPr>
          <w:rFonts w:hint="eastAsia" w:ascii="宋体" w:hAnsi="宋体" w:cs="宋体"/>
          <w:sz w:val="24"/>
        </w:rPr>
        <w:t>应急物资的管理。根据专项预案中的应对需要、必要的应急物资，建立清单或台账，并由专人定期对应急物资进行检查，如有应急物资不足，及时通知采购人购置齐全，确保能够随时正常使用。</w:t>
      </w:r>
    </w:p>
    <w:p w14:paraId="55AA2DF4">
      <w:pPr>
        <w:adjustRightInd w:val="0"/>
        <w:snapToGrid w:val="0"/>
        <w:spacing w:line="360" w:lineRule="auto"/>
        <w:ind w:firstLine="480" w:firstLineChars="200"/>
        <w:rPr>
          <w:rFonts w:ascii="宋体" w:hAnsi="宋体" w:cs="宋体"/>
          <w:sz w:val="24"/>
        </w:rPr>
      </w:pPr>
      <w:r>
        <w:rPr>
          <w:rFonts w:ascii="宋体" w:hAnsi="宋体" w:cs="宋体"/>
          <w:sz w:val="24"/>
        </w:rPr>
        <w:t>2.8</w:t>
      </w:r>
      <w:r>
        <w:rPr>
          <w:rFonts w:hint="eastAsia" w:ascii="宋体" w:hAnsi="宋体" w:cs="宋体"/>
          <w:sz w:val="24"/>
        </w:rPr>
        <w:t>服务方案及工作制度</w:t>
      </w:r>
    </w:p>
    <w:p w14:paraId="2DF61775">
      <w:pPr>
        <w:adjustRightInd w:val="0"/>
        <w:snapToGrid w:val="0"/>
        <w:spacing w:line="360" w:lineRule="auto"/>
        <w:ind w:firstLine="480" w:firstLineChars="200"/>
        <w:rPr>
          <w:rFonts w:ascii="宋体" w:hAnsi="宋体" w:cs="宋体"/>
          <w:sz w:val="24"/>
        </w:rPr>
      </w:pPr>
      <w:r>
        <w:rPr>
          <w:rFonts w:ascii="宋体" w:hAnsi="宋体" w:cs="宋体"/>
          <w:sz w:val="24"/>
        </w:rPr>
        <w:t>2.8.1</w:t>
      </w:r>
      <w:r>
        <w:rPr>
          <w:rFonts w:hint="eastAsia" w:ascii="宋体" w:hAnsi="宋体" w:cs="宋体"/>
          <w:sz w:val="24"/>
        </w:rPr>
        <w:t>制定工作制度，主要包括：人员录用制度、档案管理制度、物业服务管理制度、公用设施设备相关管理制度等。</w:t>
      </w:r>
    </w:p>
    <w:p w14:paraId="4A8B7B59">
      <w:pPr>
        <w:adjustRightInd w:val="0"/>
        <w:snapToGrid w:val="0"/>
        <w:spacing w:line="360" w:lineRule="auto"/>
        <w:ind w:firstLine="480" w:firstLineChars="200"/>
        <w:rPr>
          <w:rFonts w:ascii="宋体" w:hAnsi="宋体" w:cs="宋体"/>
          <w:sz w:val="24"/>
        </w:rPr>
      </w:pPr>
      <w:r>
        <w:rPr>
          <w:rFonts w:ascii="宋体" w:hAnsi="宋体" w:cs="宋体"/>
          <w:sz w:val="24"/>
        </w:rPr>
        <w:t>2.8.2</w:t>
      </w:r>
      <w:r>
        <w:rPr>
          <w:rFonts w:hint="eastAsia" w:ascii="宋体" w:hAnsi="宋体" w:cs="宋体"/>
          <w:sz w:val="24"/>
        </w:rPr>
        <w:t>制定项目实施方案，主要包括：交接方案、人员培训方案、人员稳定性方案、保密方案等。</w:t>
      </w:r>
    </w:p>
    <w:p w14:paraId="28BF0693">
      <w:pPr>
        <w:adjustRightInd w:val="0"/>
        <w:snapToGrid w:val="0"/>
        <w:spacing w:line="360" w:lineRule="auto"/>
        <w:ind w:firstLine="480" w:firstLineChars="200"/>
        <w:rPr>
          <w:rFonts w:ascii="宋体" w:hAnsi="宋体" w:cs="宋体"/>
          <w:sz w:val="24"/>
        </w:rPr>
      </w:pPr>
      <w:r>
        <w:rPr>
          <w:rFonts w:ascii="宋体" w:hAnsi="宋体" w:cs="宋体"/>
          <w:sz w:val="24"/>
        </w:rPr>
        <w:t>2.8.3</w:t>
      </w:r>
      <w:r>
        <w:rPr>
          <w:rFonts w:hint="eastAsia" w:ascii="宋体" w:hAnsi="宋体" w:cs="宋体"/>
          <w:sz w:val="24"/>
        </w:rPr>
        <w:t>制定物业服务方案，主要包括：房屋维护服务方案、公用设施设备维护服务方案、绿化服务方案、保洁服务方案、保安服务方案、会议服务方案等。</w:t>
      </w:r>
    </w:p>
    <w:p w14:paraId="19919C61">
      <w:pPr>
        <w:adjustRightInd w:val="0"/>
        <w:snapToGrid w:val="0"/>
        <w:spacing w:line="360" w:lineRule="auto"/>
        <w:ind w:firstLine="480" w:firstLineChars="200"/>
        <w:rPr>
          <w:rFonts w:ascii="宋体" w:hAnsi="宋体" w:cs="宋体"/>
          <w:sz w:val="24"/>
        </w:rPr>
      </w:pPr>
      <w:r>
        <w:rPr>
          <w:rFonts w:ascii="宋体" w:hAnsi="宋体" w:cs="宋体"/>
          <w:sz w:val="24"/>
        </w:rPr>
        <w:t>2.9</w:t>
      </w:r>
      <w:r>
        <w:rPr>
          <w:rFonts w:hint="eastAsia" w:ascii="宋体" w:hAnsi="宋体" w:cs="宋体"/>
          <w:sz w:val="24"/>
        </w:rPr>
        <w:t>服务热线及紧急维修</w:t>
      </w:r>
    </w:p>
    <w:p w14:paraId="4185C984">
      <w:pPr>
        <w:adjustRightInd w:val="0"/>
        <w:snapToGrid w:val="0"/>
        <w:spacing w:line="360" w:lineRule="auto"/>
        <w:ind w:firstLine="480" w:firstLineChars="200"/>
        <w:rPr>
          <w:rFonts w:ascii="宋体" w:hAnsi="宋体" w:cs="宋体"/>
          <w:sz w:val="24"/>
        </w:rPr>
      </w:pPr>
      <w:r>
        <w:rPr>
          <w:rFonts w:ascii="宋体" w:hAnsi="宋体" w:cs="宋体"/>
          <w:sz w:val="24"/>
        </w:rPr>
        <w:t>2.9.1</w:t>
      </w:r>
      <w:r>
        <w:rPr>
          <w:rFonts w:hint="eastAsia" w:ascii="宋体" w:hAnsi="宋体" w:cs="宋体"/>
          <w:sz w:val="24"/>
        </w:rPr>
        <w:t>设置</w:t>
      </w:r>
      <w:r>
        <w:rPr>
          <w:rFonts w:ascii="宋体" w:hAnsi="宋体" w:cs="宋体"/>
          <w:sz w:val="24"/>
        </w:rPr>
        <w:t>24</w:t>
      </w:r>
      <w:r>
        <w:rPr>
          <w:rFonts w:hint="eastAsia" w:ascii="宋体" w:hAnsi="宋体" w:cs="宋体"/>
          <w:sz w:val="24"/>
        </w:rPr>
        <w:t>小时报修服务热线。</w:t>
      </w:r>
    </w:p>
    <w:p w14:paraId="178699C6">
      <w:pPr>
        <w:adjustRightInd w:val="0"/>
        <w:snapToGrid w:val="0"/>
        <w:spacing w:line="360" w:lineRule="auto"/>
        <w:ind w:firstLine="480" w:firstLineChars="200"/>
        <w:rPr>
          <w:rFonts w:ascii="宋体" w:hAnsi="宋体" w:cs="宋体"/>
          <w:sz w:val="24"/>
        </w:rPr>
      </w:pPr>
      <w:r>
        <w:rPr>
          <w:rFonts w:ascii="宋体" w:hAnsi="宋体" w:cs="宋体"/>
          <w:sz w:val="24"/>
        </w:rPr>
        <w:t>2.9.2</w:t>
      </w:r>
      <w:r>
        <w:rPr>
          <w:rFonts w:hint="eastAsia" w:ascii="宋体" w:hAnsi="宋体" w:cs="宋体"/>
          <w:sz w:val="24"/>
        </w:rPr>
        <w:t>紧急维修应当</w:t>
      </w:r>
      <w:r>
        <w:rPr>
          <w:rFonts w:ascii="宋体" w:hAnsi="宋体" w:cs="宋体"/>
          <w:sz w:val="24"/>
        </w:rPr>
        <w:t>15</w:t>
      </w:r>
      <w:r>
        <w:rPr>
          <w:rFonts w:hint="eastAsia" w:ascii="宋体" w:hAnsi="宋体" w:cs="宋体"/>
          <w:sz w:val="24"/>
        </w:rPr>
        <w:t>分钟内到达现场，不间断维修直至修复。</w:t>
      </w:r>
    </w:p>
    <w:p w14:paraId="1E6A020D">
      <w:pPr>
        <w:adjustRightInd w:val="0"/>
        <w:snapToGrid w:val="0"/>
        <w:spacing w:line="360" w:lineRule="auto"/>
        <w:ind w:firstLine="482" w:firstLineChars="200"/>
        <w:rPr>
          <w:rFonts w:ascii="宋体" w:hAnsi="宋体" w:cs="宋体"/>
          <w:b/>
          <w:bCs/>
          <w:sz w:val="24"/>
        </w:rPr>
      </w:pPr>
    </w:p>
    <w:p w14:paraId="5FA8F8E7">
      <w:pPr>
        <w:keepNext/>
        <w:keepLines/>
        <w:snapToGrid w:val="0"/>
        <w:spacing w:line="360" w:lineRule="auto"/>
        <w:ind w:firstLine="482" w:firstLineChars="200"/>
        <w:outlineLvl w:val="1"/>
        <w:rPr>
          <w:rFonts w:eastAsia="楷体"/>
          <w:b/>
          <w:sz w:val="24"/>
        </w:rPr>
      </w:pPr>
      <w:bookmarkStart w:id="31" w:name="_Toc172215545"/>
      <w:bookmarkStart w:id="32" w:name="_Toc192776021"/>
      <w:r>
        <w:rPr>
          <w:rFonts w:hint="eastAsia" w:eastAsia="楷体"/>
          <w:b/>
          <w:sz w:val="24"/>
        </w:rPr>
        <w:t>（二）建筑物日常养护维修服务</w:t>
      </w:r>
      <w:bookmarkEnd w:id="31"/>
      <w:bookmarkEnd w:id="32"/>
    </w:p>
    <w:p w14:paraId="2AB06864">
      <w:pPr>
        <w:spacing w:line="460" w:lineRule="exact"/>
        <w:ind w:firstLine="480" w:firstLineChars="200"/>
        <w:rPr>
          <w:rFonts w:ascii="宋体" w:hAnsi="宋体"/>
          <w:sz w:val="24"/>
        </w:rPr>
      </w:pPr>
      <w:bookmarkStart w:id="33" w:name="_Toc172215546"/>
      <w:r>
        <w:rPr>
          <w:rFonts w:hint="eastAsia" w:ascii="宋体" w:hAnsi="宋体"/>
          <w:sz w:val="24"/>
        </w:rPr>
        <w:t>1、范围</w:t>
      </w:r>
    </w:p>
    <w:p w14:paraId="530D8D49">
      <w:pPr>
        <w:spacing w:line="460" w:lineRule="exact"/>
        <w:ind w:firstLine="470" w:firstLineChars="196"/>
        <w:rPr>
          <w:rFonts w:ascii="宋体" w:hAnsi="宋体"/>
          <w:color w:val="FF0000"/>
          <w:sz w:val="24"/>
        </w:rPr>
      </w:pPr>
      <w:r>
        <w:rPr>
          <w:rFonts w:hint="eastAsia" w:ascii="宋体" w:hAnsi="宋体"/>
          <w:sz w:val="24"/>
        </w:rPr>
        <w:t>房屋（小修）、水、电、气等公用设备设施的日常维修、维护；</w:t>
      </w:r>
      <w:r>
        <w:rPr>
          <w:rFonts w:hint="eastAsia" w:ascii="宋体" w:hAnsi="宋体"/>
          <w:color w:val="FF0000"/>
          <w:sz w:val="24"/>
        </w:rPr>
        <w:t xml:space="preserve"> </w:t>
      </w:r>
    </w:p>
    <w:p w14:paraId="577A905A">
      <w:pPr>
        <w:spacing w:line="460" w:lineRule="exact"/>
        <w:ind w:firstLine="470" w:firstLineChars="196"/>
        <w:rPr>
          <w:rFonts w:ascii="宋体" w:hAnsi="宋体"/>
          <w:sz w:val="24"/>
        </w:rPr>
      </w:pPr>
      <w:r>
        <w:rPr>
          <w:rFonts w:hint="eastAsia" w:ascii="宋体" w:hAnsi="宋体"/>
          <w:sz w:val="24"/>
        </w:rPr>
        <w:t>2、原则</w:t>
      </w:r>
    </w:p>
    <w:p w14:paraId="2FB5BB6B">
      <w:pPr>
        <w:spacing w:line="460" w:lineRule="exact"/>
        <w:ind w:firstLine="470" w:firstLineChars="196"/>
        <w:rPr>
          <w:rFonts w:ascii="宋体" w:hAnsi="宋体"/>
          <w:sz w:val="24"/>
        </w:rPr>
      </w:pPr>
      <w:r>
        <w:rPr>
          <w:rFonts w:hint="eastAsia" w:ascii="宋体" w:hAnsi="宋体"/>
          <w:sz w:val="24"/>
        </w:rPr>
        <w:t>“服务”的原则：维修人员要转变以前“我管你从”的思想，审固树立为学校服务的意识，端正服务态度，提高服务质量，想学校之所想，急学校之所急，认真解决学校急需解决的维修问题。</w:t>
      </w:r>
    </w:p>
    <w:p w14:paraId="2BA8B2D0">
      <w:pPr>
        <w:spacing w:line="460" w:lineRule="exact"/>
        <w:ind w:firstLine="470" w:firstLineChars="196"/>
        <w:rPr>
          <w:rFonts w:ascii="宋体" w:hAnsi="宋体"/>
          <w:sz w:val="24"/>
        </w:rPr>
      </w:pPr>
      <w:r>
        <w:rPr>
          <w:rFonts w:hint="eastAsia" w:ascii="宋体" w:hAnsi="宋体"/>
          <w:sz w:val="24"/>
        </w:rPr>
        <w:t>“质量第一”的原则：维修人员必须树立“质量是企业的第一生命”的思想，遵守维修的有关规范，保证维修材料质量，加强回访，尽力减低返修率。</w:t>
      </w:r>
    </w:p>
    <w:p w14:paraId="15A1DBA2">
      <w:pPr>
        <w:spacing w:line="460" w:lineRule="exact"/>
        <w:ind w:firstLine="470" w:firstLineChars="196"/>
        <w:rPr>
          <w:rFonts w:ascii="宋体" w:hAnsi="宋体"/>
          <w:sz w:val="24"/>
        </w:rPr>
      </w:pPr>
      <w:r>
        <w:rPr>
          <w:rFonts w:hint="eastAsia" w:ascii="宋体" w:hAnsi="宋体"/>
          <w:sz w:val="24"/>
        </w:rPr>
        <w:t>“经济、合理、安全、实用”的原则：维修要加强维修成本管理，合理使用人力、物力、财力、节约维修成本；制定合理的房屋维修计划和方案；通过维修，保证使用人使用安全；要从实际出发，因地制宜、因房制宜进行维修，满足教育教学质量和使用功能上的要求。维修方案、成本核算报学校审核批准。</w:t>
      </w:r>
    </w:p>
    <w:p w14:paraId="38530361">
      <w:pPr>
        <w:spacing w:line="460" w:lineRule="exact"/>
        <w:ind w:firstLine="470" w:firstLineChars="196"/>
        <w:rPr>
          <w:rFonts w:ascii="宋体" w:hAnsi="宋体"/>
          <w:sz w:val="24"/>
        </w:rPr>
      </w:pPr>
      <w:r>
        <w:rPr>
          <w:rFonts w:hint="eastAsia" w:ascii="宋体" w:hAnsi="宋体"/>
          <w:sz w:val="24"/>
        </w:rPr>
        <w:t>3、校园日常维修基本要求：</w:t>
      </w:r>
    </w:p>
    <w:p w14:paraId="2B9523E1">
      <w:pPr>
        <w:spacing w:line="460" w:lineRule="exact"/>
        <w:ind w:firstLine="470" w:firstLineChars="196"/>
        <w:rPr>
          <w:rFonts w:ascii="宋体" w:hAnsi="宋体"/>
          <w:sz w:val="24"/>
        </w:rPr>
      </w:pPr>
      <w:r>
        <w:rPr>
          <w:rFonts w:hint="eastAsia" w:ascii="宋体" w:hAnsi="宋体"/>
          <w:sz w:val="24"/>
        </w:rPr>
        <w:t>日常零星维护项目，主要通过维修管理人员的检查、师生的随时报修和物业人员的日常巡视三个渠道来收集。零星维护的特点是修理范围广，项目零星分散，时间紧，要求及时，具有经常性的服务性质。零星维护应力争做到“水电急修不过夜，小修项目不过三，一般项目不过五”。</w:t>
      </w:r>
    </w:p>
    <w:p w14:paraId="460A6F9D">
      <w:pPr>
        <w:spacing w:line="460" w:lineRule="exact"/>
        <w:ind w:firstLine="470" w:firstLineChars="196"/>
        <w:rPr>
          <w:rFonts w:ascii="宋体" w:hAnsi="宋体"/>
          <w:sz w:val="24"/>
        </w:rPr>
      </w:pPr>
      <w:r>
        <w:rPr>
          <w:rFonts w:hint="eastAsia" w:ascii="宋体" w:hAnsi="宋体"/>
          <w:sz w:val="24"/>
        </w:rPr>
        <w:t>3.1房屋建筑公用部位（含南北校）</w:t>
      </w:r>
    </w:p>
    <w:p w14:paraId="636BFE85">
      <w:pPr>
        <w:spacing w:line="460" w:lineRule="exact"/>
        <w:ind w:firstLine="470" w:firstLineChars="196"/>
        <w:rPr>
          <w:rFonts w:ascii="宋体" w:hAnsi="宋体"/>
          <w:sz w:val="24"/>
        </w:rPr>
      </w:pPr>
      <w:r>
        <w:rPr>
          <w:rFonts w:hint="eastAsia" w:ascii="宋体" w:hAnsi="宋体"/>
          <w:sz w:val="24"/>
        </w:rPr>
        <w:t>3.1.1玻璃、门、窗配件完好，门、窗开闭灵活并无异常声响。</w:t>
      </w:r>
    </w:p>
    <w:p w14:paraId="68E7F651">
      <w:pPr>
        <w:spacing w:line="460" w:lineRule="exact"/>
        <w:ind w:firstLine="470" w:firstLineChars="196"/>
        <w:rPr>
          <w:rFonts w:ascii="宋体" w:hAnsi="宋体"/>
          <w:sz w:val="24"/>
        </w:rPr>
      </w:pPr>
      <w:r>
        <w:rPr>
          <w:rFonts w:hint="eastAsia" w:ascii="宋体" w:hAnsi="宋体"/>
          <w:sz w:val="24"/>
        </w:rPr>
        <w:t>3.1.2对所有脱落外墙砖的维修（面积在5㎡以下且不涉及高空作业，3米以下的维修内容）以及地面砖的维修（面积在10㎡以下）。</w:t>
      </w:r>
    </w:p>
    <w:p w14:paraId="54312C6B">
      <w:pPr>
        <w:spacing w:line="460" w:lineRule="exact"/>
        <w:ind w:firstLine="470" w:firstLineChars="196"/>
        <w:rPr>
          <w:rFonts w:ascii="宋体" w:hAnsi="宋体"/>
          <w:sz w:val="24"/>
        </w:rPr>
      </w:pPr>
      <w:r>
        <w:rPr>
          <w:rFonts w:hint="eastAsia" w:ascii="宋体" w:hAnsi="宋体"/>
          <w:sz w:val="24"/>
        </w:rPr>
        <w:t>3.1.3路灯、探照灯、楼道灯、各房间内的照明灯，亮灯率不低于95﹪，公共照明设备完好。</w:t>
      </w:r>
    </w:p>
    <w:p w14:paraId="6B1E1162">
      <w:pPr>
        <w:spacing w:line="460" w:lineRule="exact"/>
        <w:ind w:firstLine="470" w:firstLineChars="196"/>
        <w:rPr>
          <w:rFonts w:ascii="宋体" w:hAnsi="宋体"/>
          <w:sz w:val="24"/>
        </w:rPr>
      </w:pPr>
      <w:r>
        <w:rPr>
          <w:rFonts w:hint="eastAsia" w:ascii="宋体" w:hAnsi="宋体"/>
          <w:sz w:val="24"/>
        </w:rPr>
        <w:t>3.1.4围墙：每天巡查不少于一次，围墙完好，铁栅栏围墙表面无锈蚀。</w:t>
      </w:r>
    </w:p>
    <w:p w14:paraId="08A5B0AC">
      <w:pPr>
        <w:spacing w:line="460" w:lineRule="exact"/>
        <w:ind w:firstLine="470" w:firstLineChars="196"/>
        <w:rPr>
          <w:rFonts w:ascii="宋体" w:hAnsi="宋体"/>
          <w:sz w:val="24"/>
        </w:rPr>
      </w:pPr>
      <w:r>
        <w:rPr>
          <w:rFonts w:hint="eastAsia" w:ascii="宋体" w:hAnsi="宋体"/>
          <w:sz w:val="24"/>
        </w:rPr>
        <w:t>3.1.5场地、步道、路面、侧石、井盖等：道路畅通，路面平整；井盖无缺损、无丢失，路面井盖不影响车辆和行人通行。如遇到路面不平整等情况，与学院沟通，适情况进行外修。</w:t>
      </w:r>
    </w:p>
    <w:p w14:paraId="61E8FC75">
      <w:pPr>
        <w:spacing w:line="460" w:lineRule="exact"/>
        <w:ind w:firstLine="470" w:firstLineChars="196"/>
        <w:rPr>
          <w:rFonts w:ascii="宋体" w:hAnsi="宋体"/>
          <w:sz w:val="24"/>
        </w:rPr>
      </w:pPr>
      <w:r>
        <w:rPr>
          <w:rFonts w:hint="eastAsia" w:ascii="宋体" w:hAnsi="宋体"/>
          <w:sz w:val="24"/>
        </w:rPr>
        <w:t>3.1.6休闲椅、护栏：保持原有面貌，保证其安全使用。</w:t>
      </w:r>
    </w:p>
    <w:p w14:paraId="0B8D6283">
      <w:pPr>
        <w:spacing w:line="460" w:lineRule="exact"/>
        <w:ind w:firstLine="470" w:firstLineChars="196"/>
        <w:rPr>
          <w:rFonts w:ascii="宋体" w:hAnsi="宋体"/>
          <w:sz w:val="24"/>
        </w:rPr>
      </w:pPr>
      <w:r>
        <w:rPr>
          <w:rFonts w:hint="eastAsia" w:ascii="宋体" w:hAnsi="宋体"/>
          <w:sz w:val="24"/>
        </w:rPr>
        <w:t>3.1.7安全标志等：清晰完整，设施运行正常。</w:t>
      </w:r>
    </w:p>
    <w:p w14:paraId="357C2F91">
      <w:pPr>
        <w:spacing w:line="460" w:lineRule="exact"/>
        <w:ind w:firstLine="470" w:firstLineChars="196"/>
        <w:rPr>
          <w:rFonts w:ascii="宋体" w:hAnsi="宋体"/>
          <w:sz w:val="24"/>
        </w:rPr>
      </w:pPr>
      <w:r>
        <w:rPr>
          <w:rFonts w:hint="eastAsia" w:ascii="宋体" w:hAnsi="宋体"/>
          <w:sz w:val="24"/>
        </w:rPr>
        <w:t>3.1.8公共雨、污水管道、房顶：保证畅通。屋顶檐沟每月检查。</w:t>
      </w:r>
    </w:p>
    <w:p w14:paraId="5C803643">
      <w:pPr>
        <w:spacing w:line="460" w:lineRule="exact"/>
        <w:ind w:firstLine="470" w:firstLineChars="196"/>
        <w:rPr>
          <w:rFonts w:ascii="宋体" w:hAnsi="宋体"/>
          <w:sz w:val="24"/>
        </w:rPr>
      </w:pPr>
      <w:r>
        <w:rPr>
          <w:rFonts w:hint="eastAsia" w:ascii="宋体" w:hAnsi="宋体"/>
          <w:sz w:val="24"/>
        </w:rPr>
        <w:t>3.1.9标识系统：每周巡查一次并做好相关记录，确保清晰美观，牢固可靠。</w:t>
      </w:r>
    </w:p>
    <w:p w14:paraId="1BA99151">
      <w:pPr>
        <w:spacing w:line="460" w:lineRule="exact"/>
        <w:ind w:firstLine="470" w:firstLineChars="196"/>
        <w:rPr>
          <w:rFonts w:ascii="宋体" w:hAnsi="宋体"/>
          <w:sz w:val="24"/>
        </w:rPr>
      </w:pPr>
      <w:r>
        <w:rPr>
          <w:rFonts w:hint="eastAsia" w:ascii="宋体" w:hAnsi="宋体"/>
          <w:sz w:val="24"/>
        </w:rPr>
        <w:t>3.1.10 公共区域每周至少巡检一次，并做好记录。发现问题及时处理，不能及时处理，采取有效措施并上报学院。</w:t>
      </w:r>
    </w:p>
    <w:p w14:paraId="6930BD8D">
      <w:pPr>
        <w:spacing w:line="460" w:lineRule="exact"/>
        <w:ind w:firstLine="470" w:firstLineChars="196"/>
        <w:rPr>
          <w:rFonts w:ascii="宋体" w:hAnsi="宋体"/>
          <w:sz w:val="24"/>
        </w:rPr>
      </w:pPr>
      <w:r>
        <w:rPr>
          <w:rFonts w:hint="eastAsia" w:ascii="宋体" w:hAnsi="宋体"/>
          <w:sz w:val="24"/>
        </w:rPr>
        <w:t>3.2供电系统（含南北校10KV变配电室3个；各个楼宇的配电室、井、箱）</w:t>
      </w:r>
    </w:p>
    <w:p w14:paraId="4FC7FB2D">
      <w:pPr>
        <w:spacing w:line="460" w:lineRule="exact"/>
        <w:ind w:firstLine="470" w:firstLineChars="196"/>
        <w:rPr>
          <w:rFonts w:ascii="宋体" w:hAnsi="宋体"/>
          <w:sz w:val="24"/>
        </w:rPr>
      </w:pPr>
      <w:r>
        <w:rPr>
          <w:rFonts w:hint="eastAsia" w:ascii="宋体" w:hAnsi="宋体"/>
          <w:sz w:val="24"/>
        </w:rPr>
        <w:t>3.2.1供电运行和维修人员必须持证上岗；严格执行用电安全规范，确保用电安全；高配设备根据北京市电力局相关操作规程执行。</w:t>
      </w:r>
    </w:p>
    <w:p w14:paraId="1181040F">
      <w:pPr>
        <w:spacing w:line="460" w:lineRule="exact"/>
        <w:ind w:firstLine="470" w:firstLineChars="196"/>
        <w:rPr>
          <w:rFonts w:ascii="宋体" w:hAnsi="宋体"/>
          <w:sz w:val="24"/>
        </w:rPr>
      </w:pPr>
      <w:r>
        <w:rPr>
          <w:rFonts w:hint="eastAsia" w:ascii="宋体" w:hAnsi="宋体"/>
          <w:sz w:val="24"/>
        </w:rPr>
        <w:t>3.2.2各分电表箱、配电箱、配电柜及每层管线分线盒：无积尘，接头无松动现象；每月清洁一次，主要用电线路的绝缘状况，每半年测试一次，绝缘良好。</w:t>
      </w:r>
    </w:p>
    <w:p w14:paraId="5BE61CA7">
      <w:pPr>
        <w:spacing w:line="460" w:lineRule="exact"/>
        <w:ind w:firstLine="470" w:firstLineChars="196"/>
        <w:rPr>
          <w:rFonts w:ascii="宋体" w:hAnsi="宋体"/>
          <w:sz w:val="24"/>
        </w:rPr>
      </w:pPr>
      <w:r>
        <w:rPr>
          <w:rFonts w:hint="eastAsia" w:ascii="宋体" w:hAnsi="宋体"/>
          <w:sz w:val="24"/>
        </w:rPr>
        <w:t>3.2.3总配电箱：每年保养，无积尘，接头无松动现象。</w:t>
      </w:r>
    </w:p>
    <w:p w14:paraId="080C7FDD">
      <w:pPr>
        <w:spacing w:line="460" w:lineRule="exact"/>
        <w:ind w:firstLine="470" w:firstLineChars="196"/>
        <w:rPr>
          <w:rFonts w:ascii="宋体" w:hAnsi="宋体"/>
          <w:sz w:val="24"/>
        </w:rPr>
      </w:pPr>
      <w:r>
        <w:rPr>
          <w:rFonts w:hint="eastAsia" w:ascii="宋体" w:hAnsi="宋体"/>
          <w:sz w:val="24"/>
        </w:rPr>
        <w:t>3.2.4公共使用的照明、应急灯、指示灯具、线路、开关要保证完好。</w:t>
      </w:r>
    </w:p>
    <w:p w14:paraId="1D275347">
      <w:pPr>
        <w:spacing w:line="460" w:lineRule="exact"/>
        <w:ind w:firstLine="470" w:firstLineChars="196"/>
        <w:rPr>
          <w:rFonts w:ascii="宋体" w:hAnsi="宋体"/>
          <w:sz w:val="24"/>
        </w:rPr>
      </w:pPr>
      <w:r>
        <w:rPr>
          <w:rFonts w:hint="eastAsia" w:ascii="宋体" w:hAnsi="宋体"/>
          <w:sz w:val="24"/>
        </w:rPr>
        <w:t>3.2.5设备出现故障时，维修人员应在接到报修后</w:t>
      </w:r>
      <w:r>
        <w:rPr>
          <w:rFonts w:ascii="宋体" w:hAnsi="宋体"/>
          <w:sz w:val="24"/>
        </w:rPr>
        <w:t>15</w:t>
      </w:r>
      <w:r>
        <w:rPr>
          <w:rFonts w:hint="eastAsia" w:ascii="宋体" w:hAnsi="宋体"/>
          <w:sz w:val="24"/>
        </w:rPr>
        <w:t>分钟内到达现场，设备维修合格率达到100%，一般性维修不过夜。（维修人员应保持通讯畅通）。</w:t>
      </w:r>
    </w:p>
    <w:p w14:paraId="1D3E0AA7">
      <w:pPr>
        <w:spacing w:line="460" w:lineRule="exact"/>
        <w:ind w:firstLine="470" w:firstLineChars="196"/>
        <w:rPr>
          <w:rFonts w:ascii="宋体" w:hAnsi="宋体"/>
          <w:sz w:val="24"/>
        </w:rPr>
      </w:pPr>
      <w:r>
        <w:rPr>
          <w:rFonts w:hint="eastAsia" w:ascii="宋体" w:hAnsi="宋体"/>
          <w:sz w:val="24"/>
        </w:rPr>
        <w:t>3.2.6每周定期巡查做好总表、分表用电巡查记录，发现异常及时报告，并作出处理。</w:t>
      </w:r>
    </w:p>
    <w:p w14:paraId="35D1BE6D">
      <w:pPr>
        <w:spacing w:line="460" w:lineRule="exact"/>
        <w:ind w:firstLine="470" w:firstLineChars="196"/>
        <w:rPr>
          <w:rFonts w:ascii="宋体" w:hAnsi="宋体"/>
          <w:sz w:val="24"/>
        </w:rPr>
      </w:pPr>
      <w:r>
        <w:rPr>
          <w:rFonts w:hint="eastAsia" w:ascii="宋体" w:hAnsi="宋体"/>
          <w:sz w:val="24"/>
        </w:rPr>
        <w:t>3.2.7配电室、变压器、配电柜巡检维护。每年春季进行清扫，必要时增加清洁频次。每天至少巡检两次白班夜班各巡检一次，及时处理出现的问题，必要时与供电公司协调工作。</w:t>
      </w:r>
    </w:p>
    <w:p w14:paraId="0EADB528">
      <w:pPr>
        <w:spacing w:line="460" w:lineRule="exact"/>
        <w:ind w:firstLine="470" w:firstLineChars="196"/>
        <w:rPr>
          <w:rFonts w:ascii="宋体" w:hAnsi="宋体"/>
          <w:sz w:val="24"/>
        </w:rPr>
      </w:pPr>
      <w:r>
        <w:rPr>
          <w:rFonts w:hint="eastAsia" w:ascii="宋体" w:hAnsi="宋体"/>
          <w:sz w:val="24"/>
        </w:rPr>
        <w:t>3.3供水系统（南校区2套）</w:t>
      </w:r>
    </w:p>
    <w:p w14:paraId="3E492A25">
      <w:pPr>
        <w:spacing w:line="460" w:lineRule="exact"/>
        <w:ind w:firstLine="470" w:firstLineChars="196"/>
        <w:rPr>
          <w:rFonts w:ascii="宋体" w:hAnsi="宋体"/>
          <w:sz w:val="24"/>
        </w:rPr>
      </w:pPr>
      <w:r>
        <w:rPr>
          <w:rFonts w:hint="eastAsia" w:ascii="宋体" w:hAnsi="宋体"/>
          <w:sz w:val="24"/>
        </w:rPr>
        <w:t xml:space="preserve">3.3.1供水设备：设施设备完好、无渗漏、无污染； </w:t>
      </w:r>
    </w:p>
    <w:p w14:paraId="7E31C26B">
      <w:pPr>
        <w:spacing w:line="460" w:lineRule="exact"/>
        <w:ind w:firstLine="470" w:firstLineChars="196"/>
        <w:rPr>
          <w:rFonts w:ascii="宋体" w:hAnsi="宋体"/>
          <w:sz w:val="24"/>
        </w:rPr>
      </w:pPr>
      <w:r>
        <w:rPr>
          <w:rFonts w:hint="eastAsia" w:ascii="宋体" w:hAnsi="宋体"/>
          <w:sz w:val="24"/>
        </w:rPr>
        <w:t>3.3.2设备出现故障时，维修人员应在接到报修后30分钟内到达现场，维修合格率100%，一般性故障排除不过夜。</w:t>
      </w:r>
    </w:p>
    <w:p w14:paraId="0066C7D8">
      <w:pPr>
        <w:spacing w:line="460" w:lineRule="exact"/>
        <w:ind w:firstLine="470" w:firstLineChars="196"/>
        <w:rPr>
          <w:rFonts w:ascii="宋体" w:hAnsi="宋体"/>
          <w:sz w:val="24"/>
        </w:rPr>
      </w:pPr>
      <w:r>
        <w:rPr>
          <w:rFonts w:hint="eastAsia" w:ascii="宋体" w:hAnsi="宋体"/>
          <w:sz w:val="24"/>
        </w:rPr>
        <w:t>3.3.3及时发现用水异常现象，每周做好总表、分表用水记录，发现异常及时报告，并作出处理。</w:t>
      </w:r>
    </w:p>
    <w:p w14:paraId="1F6AE87B">
      <w:pPr>
        <w:spacing w:line="460" w:lineRule="exact"/>
        <w:ind w:firstLine="470" w:firstLineChars="196"/>
        <w:rPr>
          <w:rFonts w:ascii="宋体" w:hAnsi="宋体"/>
          <w:sz w:val="24"/>
        </w:rPr>
      </w:pPr>
      <w:r>
        <w:rPr>
          <w:rFonts w:hint="eastAsia" w:ascii="宋体" w:hAnsi="宋体"/>
          <w:sz w:val="24"/>
        </w:rPr>
        <w:t>3.3.4协助做好水平衡测试工作。</w:t>
      </w:r>
    </w:p>
    <w:p w14:paraId="5C2594D8">
      <w:pPr>
        <w:spacing w:line="460" w:lineRule="exact"/>
        <w:ind w:firstLine="470" w:firstLineChars="196"/>
        <w:rPr>
          <w:rFonts w:ascii="宋体" w:hAnsi="宋体"/>
          <w:sz w:val="24"/>
        </w:rPr>
      </w:pPr>
      <w:r>
        <w:rPr>
          <w:rFonts w:hint="eastAsia" w:ascii="宋体" w:hAnsi="宋体"/>
          <w:sz w:val="24"/>
        </w:rPr>
        <w:t>3.4排水系统（含南北校区）</w:t>
      </w:r>
    </w:p>
    <w:p w14:paraId="018742CC">
      <w:pPr>
        <w:spacing w:line="460" w:lineRule="exact"/>
        <w:ind w:firstLine="470" w:firstLineChars="196"/>
        <w:rPr>
          <w:rFonts w:ascii="宋体" w:hAnsi="宋体"/>
          <w:sz w:val="24"/>
        </w:rPr>
      </w:pPr>
      <w:r>
        <w:rPr>
          <w:rFonts w:hint="eastAsia" w:ascii="宋体" w:hAnsi="宋体"/>
          <w:sz w:val="24"/>
        </w:rPr>
        <w:t>3.4.1污水泵、提升泵、排水泵，能正常运行，无渗漏水现象；每季一次润滑加油；一级保养每年一次。</w:t>
      </w:r>
    </w:p>
    <w:p w14:paraId="7D70649C">
      <w:pPr>
        <w:spacing w:line="460" w:lineRule="exact"/>
        <w:ind w:firstLine="470" w:firstLineChars="196"/>
        <w:rPr>
          <w:rFonts w:ascii="宋体" w:hAnsi="宋体"/>
          <w:sz w:val="24"/>
        </w:rPr>
      </w:pPr>
      <w:r>
        <w:rPr>
          <w:rFonts w:hint="eastAsia" w:ascii="宋体" w:hAnsi="宋体"/>
          <w:sz w:val="24"/>
        </w:rPr>
        <w:t>3.4.2控制柜：每月检查一次，控制柜电器性能完好，运作正常。</w:t>
      </w:r>
    </w:p>
    <w:p w14:paraId="51191A41">
      <w:pPr>
        <w:spacing w:line="460" w:lineRule="exact"/>
        <w:ind w:firstLine="470" w:firstLineChars="196"/>
        <w:rPr>
          <w:rFonts w:ascii="宋体" w:hAnsi="宋体"/>
          <w:sz w:val="24"/>
        </w:rPr>
      </w:pPr>
      <w:r>
        <w:rPr>
          <w:rFonts w:hint="eastAsia" w:ascii="宋体" w:hAnsi="宋体"/>
          <w:sz w:val="24"/>
        </w:rPr>
        <w:t>3.4.</w:t>
      </w:r>
      <w:r>
        <w:rPr>
          <w:rFonts w:ascii="宋体" w:hAnsi="宋体"/>
          <w:sz w:val="24"/>
        </w:rPr>
        <w:t>3</w:t>
      </w:r>
      <w:r>
        <w:rPr>
          <w:rFonts w:hint="eastAsia" w:ascii="宋体" w:hAnsi="宋体"/>
          <w:sz w:val="24"/>
        </w:rPr>
        <w:t>窨井、窨沟、排水沟、集水井：管道通畅，无堵塞外溢现象，汛期道路无积水，地下室、库房、设备房无积水和浸泡发生；每月清理屋顶一次，保持屋顶雨水管道畅通。</w:t>
      </w:r>
    </w:p>
    <w:p w14:paraId="37643FDF">
      <w:pPr>
        <w:spacing w:line="460" w:lineRule="exact"/>
        <w:ind w:firstLine="470" w:firstLineChars="196"/>
        <w:rPr>
          <w:rFonts w:ascii="宋体" w:hAnsi="宋体"/>
          <w:sz w:val="24"/>
        </w:rPr>
      </w:pPr>
      <w:r>
        <w:rPr>
          <w:rFonts w:hint="eastAsia" w:ascii="宋体" w:hAnsi="宋体"/>
          <w:sz w:val="24"/>
        </w:rPr>
        <w:t>3.4.</w:t>
      </w:r>
      <w:r>
        <w:rPr>
          <w:rFonts w:ascii="宋体" w:hAnsi="宋体"/>
          <w:sz w:val="24"/>
        </w:rPr>
        <w:t>4</w:t>
      </w:r>
      <w:r>
        <w:rPr>
          <w:rFonts w:hint="eastAsia" w:ascii="宋体" w:hAnsi="宋体"/>
          <w:sz w:val="24"/>
        </w:rPr>
        <w:t>排污泵、排气扇：每月试运行，运转灵活。</w:t>
      </w:r>
    </w:p>
    <w:p w14:paraId="3F6C041A">
      <w:pPr>
        <w:spacing w:line="460" w:lineRule="exact"/>
        <w:ind w:firstLine="470" w:firstLineChars="196"/>
        <w:rPr>
          <w:rFonts w:ascii="宋体" w:hAnsi="宋体"/>
          <w:sz w:val="24"/>
        </w:rPr>
      </w:pPr>
      <w:r>
        <w:rPr>
          <w:rFonts w:hint="eastAsia" w:ascii="宋体" w:hAnsi="宋体"/>
          <w:sz w:val="24"/>
        </w:rPr>
        <w:t>3.4.</w:t>
      </w:r>
      <w:r>
        <w:rPr>
          <w:rFonts w:ascii="宋体" w:hAnsi="宋体"/>
          <w:sz w:val="24"/>
        </w:rPr>
        <w:t>5</w:t>
      </w:r>
      <w:r>
        <w:rPr>
          <w:rFonts w:hint="eastAsia" w:ascii="宋体" w:hAnsi="宋体"/>
          <w:sz w:val="24"/>
        </w:rPr>
        <w:t>设备、阀门、管道工作正常，无跑冒滴漏现象。</w:t>
      </w:r>
    </w:p>
    <w:p w14:paraId="24E05383">
      <w:pPr>
        <w:spacing w:line="460" w:lineRule="exact"/>
        <w:ind w:firstLine="470" w:firstLineChars="196"/>
        <w:rPr>
          <w:rFonts w:ascii="宋体" w:hAnsi="宋体"/>
          <w:sz w:val="24"/>
        </w:rPr>
      </w:pPr>
      <w:r>
        <w:rPr>
          <w:rFonts w:hint="eastAsia" w:ascii="宋体" w:hAnsi="宋体"/>
          <w:sz w:val="24"/>
        </w:rPr>
        <w:t>3.4.</w:t>
      </w:r>
      <w:r>
        <w:rPr>
          <w:rFonts w:ascii="宋体" w:hAnsi="宋体"/>
          <w:sz w:val="24"/>
        </w:rPr>
        <w:t>6</w:t>
      </w:r>
      <w:r>
        <w:rPr>
          <w:rFonts w:hint="eastAsia" w:ascii="宋体" w:hAnsi="宋体"/>
          <w:sz w:val="24"/>
        </w:rPr>
        <w:t>遇有事故，维修人员在规定时间内进行抢修，无大面积跑水、泛水和长时间停水现象。</w:t>
      </w:r>
    </w:p>
    <w:p w14:paraId="4F64B3BF">
      <w:pPr>
        <w:spacing w:line="460" w:lineRule="exact"/>
        <w:ind w:firstLine="470" w:firstLineChars="196"/>
        <w:rPr>
          <w:rFonts w:ascii="宋体" w:hAnsi="宋体"/>
          <w:sz w:val="24"/>
        </w:rPr>
      </w:pPr>
      <w:r>
        <w:rPr>
          <w:rFonts w:hint="eastAsia" w:ascii="宋体" w:hAnsi="宋体"/>
          <w:sz w:val="24"/>
        </w:rPr>
        <w:t>3.5</w:t>
      </w:r>
      <w:r>
        <w:rPr>
          <w:rFonts w:ascii="宋体" w:hAnsi="宋体"/>
          <w:sz w:val="24"/>
        </w:rPr>
        <w:t xml:space="preserve"> </w:t>
      </w:r>
      <w:r>
        <w:rPr>
          <w:rFonts w:hint="eastAsia" w:ascii="宋体" w:hAnsi="宋体"/>
          <w:sz w:val="24"/>
        </w:rPr>
        <w:t>电梯的巡查。每天巡查一次，电梯运行时有无异常，照明通风是否正常，各指示等是否正常工作，报警装置是否正常，出现问题需要上报学院，由学院统一安排外修。</w:t>
      </w:r>
    </w:p>
    <w:p w14:paraId="2DC9B2B0">
      <w:pPr>
        <w:spacing w:line="460" w:lineRule="exact"/>
        <w:ind w:firstLine="470" w:firstLineChars="196"/>
        <w:rPr>
          <w:rFonts w:ascii="宋体" w:hAnsi="宋体"/>
          <w:sz w:val="24"/>
        </w:rPr>
      </w:pPr>
      <w:r>
        <w:rPr>
          <w:rFonts w:hint="eastAsia" w:ascii="宋体" w:hAnsi="宋体"/>
          <w:sz w:val="24"/>
        </w:rPr>
        <w:t>3.7 供暖系统（不包含锅炉房）</w:t>
      </w:r>
    </w:p>
    <w:p w14:paraId="4BD922A8">
      <w:pPr>
        <w:spacing w:line="460" w:lineRule="exact"/>
        <w:ind w:firstLine="470" w:firstLineChars="196"/>
        <w:rPr>
          <w:rFonts w:ascii="宋体" w:hAnsi="宋体"/>
          <w:sz w:val="24"/>
        </w:rPr>
      </w:pPr>
      <w:r>
        <w:rPr>
          <w:rFonts w:hint="eastAsia" w:ascii="宋体" w:hAnsi="宋体"/>
          <w:sz w:val="24"/>
        </w:rPr>
        <w:t>负责供暖外管线及楼宇暖气系统的维护维修，保证学院每年冬季正常供暖。供暖期间供暖系统出现问题需要立即到场维修。</w:t>
      </w:r>
    </w:p>
    <w:p w14:paraId="30A7BFC9">
      <w:pPr>
        <w:spacing w:line="460" w:lineRule="exact"/>
        <w:ind w:firstLine="470" w:firstLineChars="196"/>
        <w:rPr>
          <w:rFonts w:ascii="宋体" w:hAnsi="宋体"/>
          <w:sz w:val="24"/>
        </w:rPr>
      </w:pPr>
      <w:r>
        <w:rPr>
          <w:rFonts w:hint="eastAsia" w:ascii="宋体" w:hAnsi="宋体"/>
          <w:sz w:val="24"/>
        </w:rPr>
        <w:t>4、维修时限</w:t>
      </w:r>
    </w:p>
    <w:p w14:paraId="3634217B">
      <w:pPr>
        <w:spacing w:line="460" w:lineRule="exact"/>
        <w:ind w:firstLine="470" w:firstLineChars="196"/>
        <w:rPr>
          <w:rFonts w:ascii="宋体" w:hAnsi="宋体"/>
          <w:sz w:val="24"/>
        </w:rPr>
      </w:pPr>
      <w:r>
        <w:rPr>
          <w:rFonts w:hint="eastAsia" w:ascii="宋体" w:hAnsi="宋体"/>
          <w:sz w:val="24"/>
        </w:rPr>
        <w:t>急修：1</w:t>
      </w:r>
      <w:r>
        <w:rPr>
          <w:rFonts w:ascii="宋体" w:hAnsi="宋体"/>
          <w:sz w:val="24"/>
        </w:rPr>
        <w:t>5</w:t>
      </w:r>
      <w:r>
        <w:rPr>
          <w:rFonts w:hint="eastAsia" w:ascii="宋体" w:hAnsi="宋体"/>
          <w:sz w:val="24"/>
        </w:rPr>
        <w:t>分钟内到场处理，一般修理一天内完成，及时率100%、返修率1%，并有回访记录。教学区、办公区、宿舍水、电、卫浴设备、门锁维修不过夜。</w:t>
      </w:r>
    </w:p>
    <w:p w14:paraId="363F1ACD">
      <w:pPr>
        <w:spacing w:line="460" w:lineRule="exact"/>
        <w:ind w:firstLine="470" w:firstLineChars="196"/>
        <w:rPr>
          <w:rFonts w:ascii="宋体" w:hAnsi="宋体"/>
          <w:sz w:val="24"/>
        </w:rPr>
      </w:pPr>
      <w:r>
        <w:rPr>
          <w:rFonts w:hint="eastAsia" w:ascii="宋体" w:hAnsi="宋体"/>
          <w:sz w:val="24"/>
        </w:rPr>
        <w:t>小修：1</w:t>
      </w:r>
      <w:r>
        <w:rPr>
          <w:rFonts w:ascii="宋体" w:hAnsi="宋体"/>
          <w:sz w:val="24"/>
        </w:rPr>
        <w:t>5</w:t>
      </w:r>
      <w:r>
        <w:rPr>
          <w:rFonts w:hint="eastAsia" w:ascii="宋体" w:hAnsi="宋体"/>
          <w:sz w:val="24"/>
        </w:rPr>
        <w:t>分钟内到场48小时内完成修理（特殊情况除外）。</w:t>
      </w:r>
    </w:p>
    <w:p w14:paraId="2EFA74E9">
      <w:pPr>
        <w:spacing w:line="460" w:lineRule="exact"/>
        <w:ind w:firstLine="470" w:firstLineChars="196"/>
        <w:rPr>
          <w:rFonts w:ascii="宋体" w:hAnsi="宋体"/>
          <w:sz w:val="24"/>
        </w:rPr>
      </w:pPr>
      <w:r>
        <w:rPr>
          <w:rFonts w:hint="eastAsia" w:ascii="宋体" w:hAnsi="宋体"/>
          <w:sz w:val="24"/>
        </w:rPr>
        <w:t>大修：1</w:t>
      </w:r>
      <w:r>
        <w:rPr>
          <w:rFonts w:ascii="宋体" w:hAnsi="宋体"/>
          <w:sz w:val="24"/>
        </w:rPr>
        <w:t>5</w:t>
      </w:r>
      <w:r>
        <w:rPr>
          <w:rFonts w:hint="eastAsia" w:ascii="宋体" w:hAnsi="宋体"/>
          <w:sz w:val="24"/>
        </w:rPr>
        <w:t>分钟到场，一天内有答复。</w:t>
      </w:r>
    </w:p>
    <w:p w14:paraId="13C6C619">
      <w:pPr>
        <w:numPr>
          <w:ilvl w:val="0"/>
          <w:numId w:val="3"/>
        </w:numPr>
        <w:spacing w:line="460" w:lineRule="exact"/>
        <w:rPr>
          <w:rFonts w:ascii="宋体" w:hAnsi="宋体"/>
          <w:sz w:val="24"/>
        </w:rPr>
      </w:pPr>
      <w:r>
        <w:rPr>
          <w:rFonts w:hint="eastAsia" w:ascii="宋体" w:hAnsi="宋体"/>
          <w:sz w:val="24"/>
        </w:rPr>
        <w:t>校内其他维修</w:t>
      </w:r>
    </w:p>
    <w:p w14:paraId="63DC0CAE">
      <w:pPr>
        <w:spacing w:line="460" w:lineRule="exact"/>
        <w:ind w:firstLine="495"/>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遇电路故障没电，水管爆裂、水龙头漏水、门锁开不了、门窗毁坏，要随叫随修；</w:t>
      </w:r>
    </w:p>
    <w:p w14:paraId="4F6C8533">
      <w:pPr>
        <w:spacing w:line="460" w:lineRule="exact"/>
        <w:ind w:firstLine="495"/>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排水管、排污管要保持畅通，如有堵塞应立即疏通，厕所堵塞应当天疏通。遇到特殊情况需要上报学院，由学院统一安排外修。（如下水道不通，需要拆除地面的维修工程及对给排水有漏水的维修）</w:t>
      </w:r>
    </w:p>
    <w:p w14:paraId="4EDA8DF4">
      <w:pPr>
        <w:spacing w:line="460" w:lineRule="exact"/>
        <w:ind w:firstLine="495"/>
        <w:rPr>
          <w:rFonts w:ascii="宋体" w:hAnsi="宋体"/>
          <w:sz w:val="24"/>
        </w:rPr>
      </w:pPr>
      <w:r>
        <w:rPr>
          <w:rFonts w:hint="eastAsia" w:ascii="宋体" w:hAnsi="宋体"/>
          <w:sz w:val="24"/>
        </w:rPr>
        <w:t>5.</w:t>
      </w:r>
      <w:r>
        <w:rPr>
          <w:rFonts w:ascii="宋体" w:hAnsi="宋体"/>
          <w:sz w:val="24"/>
        </w:rPr>
        <w:t>3</w:t>
      </w:r>
      <w:r>
        <w:rPr>
          <w:rFonts w:hint="eastAsia" w:ascii="宋体" w:hAnsi="宋体"/>
          <w:sz w:val="24"/>
        </w:rPr>
        <w:t>学校安排的紧急外修物业人员应积极配合，随叫随到。</w:t>
      </w:r>
    </w:p>
    <w:p w14:paraId="4972B0F2">
      <w:pPr>
        <w:spacing w:line="460" w:lineRule="exact"/>
        <w:ind w:firstLine="480"/>
        <w:rPr>
          <w:rFonts w:ascii="宋体" w:hAnsi="宋体"/>
          <w:sz w:val="24"/>
        </w:rPr>
      </w:pPr>
      <w:r>
        <w:rPr>
          <w:rFonts w:hint="eastAsia" w:ascii="宋体" w:hAnsi="宋体"/>
          <w:sz w:val="24"/>
        </w:rPr>
        <w:t>6、学院招生、学生报到、学院举办大型活动等特殊时期，按学校要求提供人力支援及其他临时性服务。</w:t>
      </w:r>
    </w:p>
    <w:p w14:paraId="05EB61DA">
      <w:pPr>
        <w:spacing w:line="460" w:lineRule="exact"/>
        <w:ind w:firstLine="480"/>
        <w:rPr>
          <w:rFonts w:ascii="宋体" w:hAnsi="宋体"/>
          <w:sz w:val="24"/>
        </w:rPr>
      </w:pPr>
    </w:p>
    <w:bookmarkEnd w:id="33"/>
    <w:p w14:paraId="3C3496F5">
      <w:pPr>
        <w:keepNext/>
        <w:keepLines/>
        <w:snapToGrid w:val="0"/>
        <w:spacing w:line="360" w:lineRule="auto"/>
        <w:ind w:firstLine="482" w:firstLineChars="200"/>
        <w:outlineLvl w:val="1"/>
        <w:rPr>
          <w:rFonts w:eastAsia="楷体"/>
          <w:b/>
          <w:sz w:val="24"/>
        </w:rPr>
      </w:pPr>
      <w:bookmarkStart w:id="34" w:name="_Toc172215547"/>
      <w:bookmarkStart w:id="35" w:name="_Toc192776022"/>
      <w:r>
        <w:rPr>
          <w:rFonts w:hint="eastAsia" w:eastAsia="楷体"/>
          <w:b/>
          <w:sz w:val="24"/>
        </w:rPr>
        <w:t>（三）保洁服务</w:t>
      </w:r>
      <w:bookmarkEnd w:id="34"/>
      <w:bookmarkEnd w:id="35"/>
    </w:p>
    <w:p w14:paraId="5244E1F4">
      <w:pPr>
        <w:spacing w:line="360" w:lineRule="auto"/>
        <w:ind w:firstLine="482" w:firstLineChars="200"/>
        <w:rPr>
          <w:rFonts w:ascii="宋体" w:hAnsi="宋体" w:cs="宋体"/>
          <w:sz w:val="24"/>
        </w:rPr>
      </w:pPr>
      <w:r>
        <w:rPr>
          <w:rFonts w:ascii="宋体" w:hAnsi="宋体" w:cs="宋体"/>
          <w:b/>
          <w:bCs/>
          <w:sz w:val="24"/>
        </w:rPr>
        <w:t>1.服务内容</w:t>
      </w:r>
    </w:p>
    <w:p w14:paraId="234C7217">
      <w:pPr>
        <w:spacing w:line="360" w:lineRule="auto"/>
        <w:ind w:firstLine="480" w:firstLineChars="200"/>
        <w:rPr>
          <w:rFonts w:ascii="宋体" w:hAnsi="宋体" w:cs="宋体"/>
          <w:sz w:val="24"/>
        </w:rPr>
      </w:pPr>
      <w:r>
        <w:rPr>
          <w:rFonts w:hint="eastAsia" w:ascii="宋体" w:hAnsi="宋体" w:cs="宋体"/>
          <w:sz w:val="24"/>
        </w:rPr>
        <w:t>学院所有室内、外公共区域，卫生间、洗漱间、学生公寓（不含宿舍房间内）、公寓楼A、公寓楼B、羽毛球馆、公共浴室、南北校操场。</w:t>
      </w:r>
    </w:p>
    <w:p w14:paraId="70424E10">
      <w:pPr>
        <w:spacing w:line="360" w:lineRule="auto"/>
        <w:ind w:firstLine="480" w:firstLineChars="200"/>
        <w:rPr>
          <w:rFonts w:ascii="宋体" w:hAnsi="宋体" w:cs="宋体"/>
          <w:sz w:val="24"/>
        </w:rPr>
      </w:pPr>
      <w:r>
        <w:rPr>
          <w:rFonts w:hint="eastAsia" w:ascii="宋体" w:hAnsi="宋体" w:cs="宋体"/>
          <w:sz w:val="24"/>
        </w:rPr>
        <w:t>2.服务标准</w:t>
      </w:r>
    </w:p>
    <w:p w14:paraId="581A6AA4">
      <w:pPr>
        <w:spacing w:line="360" w:lineRule="auto"/>
        <w:ind w:firstLine="480" w:firstLineChars="200"/>
        <w:rPr>
          <w:rFonts w:ascii="宋体" w:hAnsi="宋体" w:cs="宋体"/>
          <w:sz w:val="24"/>
        </w:rPr>
      </w:pPr>
      <w:r>
        <w:rPr>
          <w:rFonts w:hint="eastAsia" w:ascii="宋体" w:hAnsi="宋体" w:cs="宋体"/>
          <w:sz w:val="24"/>
        </w:rPr>
        <w:t>2.1基本要求</w:t>
      </w:r>
    </w:p>
    <w:p w14:paraId="3A3DC91A">
      <w:pPr>
        <w:spacing w:line="360" w:lineRule="auto"/>
        <w:ind w:firstLine="480" w:firstLineChars="200"/>
        <w:rPr>
          <w:rFonts w:ascii="宋体" w:hAnsi="宋体" w:cs="宋体"/>
          <w:sz w:val="24"/>
        </w:rPr>
      </w:pPr>
      <w:r>
        <w:rPr>
          <w:rFonts w:hint="eastAsia" w:ascii="宋体" w:hAnsi="宋体" w:cs="宋体"/>
          <w:sz w:val="24"/>
        </w:rPr>
        <w:t>建立保洁服务的工作制度及工作计划，并按照执行。做好保洁服务工作记录，记录填写规范、保存完好。作业时采取安全防护措施，防止对作业人员或他人造成伤害。相关耗材的环保、安全性等应当符合国家相关规定要求。进入保密区域时，有相关人员全程在场。</w:t>
      </w:r>
    </w:p>
    <w:p w14:paraId="4F5ABB73">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2办公用房区域保洁</w:t>
      </w:r>
    </w:p>
    <w:p w14:paraId="44774C9B">
      <w:pPr>
        <w:spacing w:line="360" w:lineRule="auto"/>
        <w:ind w:firstLine="480" w:firstLineChars="200"/>
        <w:rPr>
          <w:rFonts w:ascii="宋体" w:hAnsi="宋体" w:cs="宋体"/>
          <w:sz w:val="24"/>
        </w:rPr>
      </w:pPr>
      <w:r>
        <w:rPr>
          <w:rFonts w:hint="eastAsia" w:ascii="宋体" w:hAnsi="宋体" w:cs="宋体"/>
          <w:sz w:val="24"/>
        </w:rPr>
        <w:t>2.2.1大厅、楼内公共通道</w:t>
      </w:r>
    </w:p>
    <w:p w14:paraId="4AD8D395">
      <w:pPr>
        <w:spacing w:line="360" w:lineRule="auto"/>
        <w:ind w:firstLine="480" w:firstLineChars="200"/>
        <w:rPr>
          <w:rFonts w:ascii="宋体" w:hAnsi="宋体" w:cs="宋体"/>
          <w:sz w:val="24"/>
        </w:rPr>
      </w:pPr>
      <w:r>
        <w:rPr>
          <w:rFonts w:hint="eastAsia" w:ascii="宋体" w:hAnsi="宋体" w:cs="宋体"/>
          <w:sz w:val="24"/>
        </w:rPr>
        <w:t>（1）公共通道保持干净，无异味、无杂物、无积水，每日至少开展1次清洁作业。指示牌干净，无污渍，每日至少开展1次清洁作业。</w:t>
      </w:r>
    </w:p>
    <w:p w14:paraId="4BB95534">
      <w:pPr>
        <w:spacing w:line="360" w:lineRule="auto"/>
        <w:ind w:firstLine="480" w:firstLineChars="200"/>
        <w:rPr>
          <w:rFonts w:ascii="宋体" w:hAnsi="宋体" w:cs="宋体"/>
          <w:sz w:val="24"/>
        </w:rPr>
      </w:pPr>
      <w:r>
        <w:rPr>
          <w:rFonts w:hint="eastAsia" w:ascii="宋体" w:hAnsi="宋体" w:cs="宋体"/>
          <w:sz w:val="24"/>
        </w:rPr>
        <w:t>（2）地面：各大厅地面每日全面清洁三次（上班前、中午及适当时间），做到干净、光亮、无脚印、无水迹、无陈旧性垃圾；每月用专用设备清洗、保养一次，每半年对地面进行一次专业的抛光处理。办公用房区域、公共场所区域和周围环境预防性卫生消毒，消毒后及时通风，每周至少开展1次作业。</w:t>
      </w:r>
    </w:p>
    <w:p w14:paraId="75EDED52">
      <w:pPr>
        <w:spacing w:line="360" w:lineRule="auto"/>
        <w:ind w:firstLine="480" w:firstLineChars="200"/>
        <w:rPr>
          <w:rFonts w:ascii="宋体" w:hAnsi="宋体" w:cs="宋体"/>
          <w:sz w:val="24"/>
        </w:rPr>
      </w:pPr>
      <w:r>
        <w:rPr>
          <w:rFonts w:hint="eastAsia" w:ascii="宋体" w:hAnsi="宋体" w:cs="宋体"/>
          <w:sz w:val="24"/>
        </w:rPr>
        <w:t>（3）墙面及玻璃：每日清洁、擦抹一次，做到光亮、目视无污渍；玻璃门、玻璃幕墙循环保洁，保持无印迹、无粘附物。</w:t>
      </w:r>
    </w:p>
    <w:p w14:paraId="782B909D">
      <w:pPr>
        <w:spacing w:line="360" w:lineRule="auto"/>
        <w:ind w:firstLine="480" w:firstLineChars="200"/>
        <w:rPr>
          <w:rFonts w:ascii="宋体" w:hAnsi="宋体" w:cs="宋体"/>
          <w:sz w:val="24"/>
        </w:rPr>
      </w:pPr>
      <w:r>
        <w:rPr>
          <w:rFonts w:hint="eastAsia" w:ascii="宋体" w:hAnsi="宋体" w:cs="宋体"/>
          <w:sz w:val="24"/>
        </w:rPr>
        <w:t>（5）标识牌：每日清洁、擦抹一次，做到无尘、无粘附物。</w:t>
      </w:r>
    </w:p>
    <w:p w14:paraId="1649F485">
      <w:pPr>
        <w:spacing w:line="360" w:lineRule="auto"/>
        <w:ind w:firstLine="480" w:firstLineChars="200"/>
        <w:rPr>
          <w:rFonts w:ascii="宋体" w:hAnsi="宋体" w:cs="宋体"/>
          <w:sz w:val="24"/>
        </w:rPr>
      </w:pPr>
      <w:r>
        <w:rPr>
          <w:rFonts w:hint="eastAsia" w:ascii="宋体" w:hAnsi="宋体" w:cs="宋体"/>
          <w:sz w:val="24"/>
        </w:rPr>
        <w:t>（6）玻璃、墙面等每季度清洗一次。</w:t>
      </w:r>
    </w:p>
    <w:p w14:paraId="5614C681">
      <w:pPr>
        <w:spacing w:line="360" w:lineRule="auto"/>
        <w:ind w:firstLine="480" w:firstLineChars="200"/>
        <w:rPr>
          <w:rFonts w:ascii="宋体" w:hAnsi="宋体" w:cs="宋体"/>
          <w:sz w:val="24"/>
        </w:rPr>
      </w:pPr>
      <w:r>
        <w:rPr>
          <w:rFonts w:hint="eastAsia" w:ascii="宋体" w:hAnsi="宋体" w:cs="宋体"/>
          <w:sz w:val="24"/>
        </w:rPr>
        <w:t>（8）地垫的清洁：雨天设置“小心地滑”提示牌，每周清洗一次，保证无污渍。</w:t>
      </w:r>
    </w:p>
    <w:p w14:paraId="4FBA815C">
      <w:pPr>
        <w:spacing w:line="360" w:lineRule="auto"/>
        <w:ind w:firstLine="480" w:firstLineChars="200"/>
        <w:rPr>
          <w:rFonts w:ascii="宋体" w:hAnsi="宋体" w:cs="宋体"/>
          <w:sz w:val="24"/>
        </w:rPr>
      </w:pPr>
      <w:r>
        <w:rPr>
          <w:rFonts w:hint="eastAsia" w:ascii="宋体" w:hAnsi="宋体" w:cs="宋体"/>
          <w:sz w:val="24"/>
        </w:rPr>
        <w:t>2.2.2电器、消防等设施设备</w:t>
      </w:r>
    </w:p>
    <w:p w14:paraId="56FBCE34">
      <w:pPr>
        <w:spacing w:line="360" w:lineRule="auto"/>
        <w:ind w:firstLine="480" w:firstLineChars="200"/>
        <w:rPr>
          <w:rFonts w:ascii="宋体" w:hAnsi="宋体" w:cs="宋体"/>
          <w:sz w:val="24"/>
        </w:rPr>
      </w:pPr>
      <w:r>
        <w:rPr>
          <w:rFonts w:hint="eastAsia" w:ascii="宋体" w:hAnsi="宋体" w:cs="宋体"/>
          <w:sz w:val="24"/>
        </w:rPr>
        <w:t>（1）配电箱、设备机房、会议室音视频设备、消防栓及开关插座等保持表面干净，无尘无污迹，每月至少开展1次清洁作业。</w:t>
      </w:r>
    </w:p>
    <w:p w14:paraId="6A1F828E">
      <w:pPr>
        <w:spacing w:line="360" w:lineRule="auto"/>
        <w:ind w:firstLine="480" w:firstLineChars="200"/>
        <w:rPr>
          <w:rFonts w:ascii="宋体" w:hAnsi="宋体" w:cs="宋体"/>
          <w:sz w:val="24"/>
        </w:rPr>
      </w:pPr>
      <w:r>
        <w:rPr>
          <w:rFonts w:hint="eastAsia" w:ascii="宋体" w:hAnsi="宋体" w:cs="宋体"/>
          <w:sz w:val="24"/>
        </w:rPr>
        <w:t>（3）消防栓（箱）、应急灯、灭火器、电源开关盒、提脚线、楼道梁肩等部位每周清洁、擦抹一次，做到整洁、无灰尘、标识清晰。</w:t>
      </w:r>
    </w:p>
    <w:p w14:paraId="43D14687">
      <w:pPr>
        <w:spacing w:line="360" w:lineRule="auto"/>
        <w:ind w:firstLine="480" w:firstLineChars="200"/>
        <w:rPr>
          <w:rFonts w:ascii="宋体" w:hAnsi="宋体" w:cs="宋体"/>
          <w:sz w:val="24"/>
        </w:rPr>
      </w:pPr>
      <w:r>
        <w:rPr>
          <w:rFonts w:hint="eastAsia" w:ascii="宋体" w:hAnsi="宋体" w:cs="宋体"/>
          <w:sz w:val="24"/>
        </w:rPr>
        <w:t>2.2.3楼层保洁</w:t>
      </w:r>
    </w:p>
    <w:p w14:paraId="215E164C">
      <w:pPr>
        <w:spacing w:line="360" w:lineRule="auto"/>
        <w:ind w:firstLine="480" w:firstLineChars="200"/>
        <w:rPr>
          <w:rFonts w:ascii="宋体" w:hAnsi="宋体" w:cs="宋体"/>
          <w:sz w:val="24"/>
        </w:rPr>
      </w:pPr>
      <w:r>
        <w:rPr>
          <w:rFonts w:hint="eastAsia" w:ascii="宋体" w:hAnsi="宋体" w:cs="宋体"/>
          <w:sz w:val="24"/>
        </w:rPr>
        <w:t>（1）楼梯及楼梯间保持干净、无异味、无杂物、无积水，每日至少开展1次清洁作业。</w:t>
      </w:r>
    </w:p>
    <w:p w14:paraId="699F3DF1">
      <w:pPr>
        <w:spacing w:line="360" w:lineRule="auto"/>
        <w:ind w:firstLine="480" w:firstLineChars="200"/>
        <w:rPr>
          <w:rFonts w:ascii="宋体" w:hAnsi="宋体" w:cs="宋体"/>
          <w:sz w:val="24"/>
        </w:rPr>
      </w:pPr>
      <w:r>
        <w:rPr>
          <w:rFonts w:hint="eastAsia" w:ascii="宋体" w:hAnsi="宋体" w:cs="宋体"/>
          <w:sz w:val="24"/>
        </w:rPr>
        <w:t>（2）开水间保持干净、无异味、无杂物、无积水，每日至少开展1次清洁作业。</w:t>
      </w:r>
    </w:p>
    <w:p w14:paraId="74E058F5">
      <w:pPr>
        <w:spacing w:line="360" w:lineRule="auto"/>
        <w:ind w:firstLine="480" w:firstLineChars="200"/>
        <w:rPr>
          <w:rFonts w:eastAsia="仿宋"/>
          <w:sz w:val="24"/>
        </w:rPr>
      </w:pPr>
      <w:r>
        <w:rPr>
          <w:rFonts w:hint="eastAsia" w:ascii="宋体" w:hAnsi="宋体" w:cs="宋体"/>
          <w:sz w:val="24"/>
        </w:rPr>
        <w:t>（3）作业工具间：保持干净，无异味、无杂物、无积水，每日至少开展1次清洁作业。作业工具摆放整齐有序，表面干净无渍，每日消毒。</w:t>
      </w:r>
    </w:p>
    <w:p w14:paraId="1AB8AC57">
      <w:pPr>
        <w:spacing w:line="360" w:lineRule="auto"/>
        <w:ind w:firstLine="480" w:firstLineChars="200"/>
        <w:rPr>
          <w:rFonts w:ascii="宋体" w:hAnsi="宋体" w:cs="宋体"/>
          <w:sz w:val="24"/>
        </w:rPr>
      </w:pPr>
      <w:r>
        <w:rPr>
          <w:rFonts w:hint="eastAsia" w:ascii="宋体" w:hAnsi="宋体" w:cs="宋体"/>
          <w:sz w:val="24"/>
        </w:rPr>
        <w:t>（4）地面：每日二次彻底清洁地面卫生；其余时间循环保洁，做到干净、整洁、光亮、无陈旧性垃圾。</w:t>
      </w:r>
    </w:p>
    <w:p w14:paraId="53A3AA07">
      <w:pPr>
        <w:spacing w:line="360" w:lineRule="auto"/>
        <w:ind w:firstLine="480" w:firstLineChars="200"/>
        <w:rPr>
          <w:rFonts w:ascii="宋体" w:hAnsi="宋体" w:cs="宋体"/>
          <w:sz w:val="24"/>
        </w:rPr>
      </w:pPr>
      <w:r>
        <w:rPr>
          <w:rFonts w:hint="eastAsia" w:ascii="宋体" w:hAnsi="宋体" w:cs="宋体"/>
          <w:sz w:val="24"/>
        </w:rPr>
        <w:t>（5）天花顶：定期清洁除尘，保持无灰尘、无蜘蛛网。</w:t>
      </w:r>
    </w:p>
    <w:p w14:paraId="79B4B9E0">
      <w:pPr>
        <w:spacing w:line="360" w:lineRule="auto"/>
        <w:ind w:firstLine="480" w:firstLineChars="200"/>
        <w:rPr>
          <w:rFonts w:eastAsia="仿宋"/>
          <w:sz w:val="24"/>
        </w:rPr>
      </w:pPr>
      <w:r>
        <w:rPr>
          <w:rFonts w:hint="eastAsia" w:ascii="宋体" w:hAnsi="宋体" w:cs="宋体"/>
          <w:sz w:val="24"/>
        </w:rPr>
        <w:t>（6）办公室门及公共区域玻璃：每周清洁、擦抹一次，做到光亮、目视无污渍；窗台每日保洁，保持无灰尘、无污迹。门窗玻璃干净无尘，透光性好，每周至少开展1次清洁作业。</w:t>
      </w:r>
    </w:p>
    <w:p w14:paraId="046F540E">
      <w:pPr>
        <w:spacing w:line="360" w:lineRule="auto"/>
        <w:ind w:firstLine="480" w:firstLineChars="200"/>
        <w:rPr>
          <w:rFonts w:eastAsia="仿宋"/>
          <w:sz w:val="24"/>
        </w:rPr>
      </w:pPr>
      <w:r>
        <w:rPr>
          <w:rFonts w:hint="eastAsia" w:ascii="宋体" w:hAnsi="宋体" w:cs="宋体"/>
          <w:sz w:val="24"/>
        </w:rPr>
        <w:t>2.2.4公共卫生间：</w:t>
      </w:r>
    </w:p>
    <w:p w14:paraId="1581474B">
      <w:pPr>
        <w:spacing w:line="360" w:lineRule="auto"/>
        <w:ind w:firstLine="480" w:firstLineChars="200"/>
        <w:rPr>
          <w:rFonts w:ascii="宋体" w:hAnsi="宋体" w:cs="宋体"/>
          <w:sz w:val="24"/>
        </w:rPr>
      </w:pPr>
      <w:r>
        <w:rPr>
          <w:rFonts w:hint="eastAsia" w:ascii="宋体" w:hAnsi="宋体" w:cs="宋体"/>
          <w:sz w:val="24"/>
        </w:rPr>
        <w:t>（1）保持干净，无异味，垃圾无溢出，每日至少开展1次清洁作业。及时补充厕纸等必要用品。</w:t>
      </w:r>
    </w:p>
    <w:p w14:paraId="35E95F10">
      <w:pPr>
        <w:spacing w:line="360" w:lineRule="auto"/>
        <w:ind w:firstLine="480" w:firstLineChars="200"/>
        <w:rPr>
          <w:rFonts w:ascii="宋体" w:hAnsi="宋体" w:cs="宋体"/>
          <w:sz w:val="24"/>
        </w:rPr>
      </w:pPr>
      <w:r>
        <w:rPr>
          <w:rFonts w:hint="eastAsia" w:ascii="宋体" w:hAnsi="宋体" w:cs="宋体"/>
          <w:sz w:val="24"/>
        </w:rPr>
        <w:t>（2）卫生间保洁时设置“工作进行中”提示牌人性化服务。</w:t>
      </w:r>
    </w:p>
    <w:p w14:paraId="56B3B0FC">
      <w:pPr>
        <w:spacing w:line="360" w:lineRule="auto"/>
        <w:ind w:firstLine="480" w:firstLineChars="200"/>
        <w:rPr>
          <w:rFonts w:ascii="宋体" w:hAnsi="宋体" w:cs="宋体"/>
          <w:sz w:val="24"/>
        </w:rPr>
      </w:pPr>
      <w:r>
        <w:rPr>
          <w:rFonts w:hint="eastAsia" w:ascii="宋体" w:hAnsi="宋体" w:cs="宋体"/>
          <w:sz w:val="24"/>
        </w:rPr>
        <w:t>（3）大（小）便器：每日清洁二次，循环保洁，做到干净、整洁、光亮、无污渍、无异味。</w:t>
      </w:r>
    </w:p>
    <w:p w14:paraId="38A9E1B3">
      <w:pPr>
        <w:spacing w:line="360" w:lineRule="auto"/>
        <w:ind w:firstLine="480" w:firstLineChars="200"/>
        <w:rPr>
          <w:rFonts w:ascii="宋体" w:hAnsi="宋体" w:cs="宋体"/>
          <w:sz w:val="24"/>
        </w:rPr>
      </w:pPr>
      <w:r>
        <w:rPr>
          <w:rFonts w:hint="eastAsia" w:ascii="宋体" w:hAnsi="宋体" w:cs="宋体"/>
          <w:sz w:val="24"/>
        </w:rPr>
        <w:t>（4）洗手台盆及水龙头：用镜布每日清洁二次，循环保洁，做到干净、明亮、无印迹物。</w:t>
      </w:r>
    </w:p>
    <w:p w14:paraId="257EAB62">
      <w:pPr>
        <w:spacing w:line="360" w:lineRule="auto"/>
        <w:ind w:firstLine="480" w:firstLineChars="200"/>
        <w:rPr>
          <w:rFonts w:ascii="宋体" w:hAnsi="宋体" w:cs="宋体"/>
          <w:sz w:val="24"/>
        </w:rPr>
      </w:pPr>
      <w:r>
        <w:rPr>
          <w:rFonts w:hint="eastAsia" w:ascii="宋体" w:hAnsi="宋体" w:cs="宋体"/>
          <w:sz w:val="24"/>
        </w:rPr>
        <w:t>（5）台盆面板及镜子：用镜布每日清洁、循环保洁，保持台面整洁、卫生用品摆放整齐、无水迹，镜面光亮、印迹、无粘附物。</w:t>
      </w:r>
    </w:p>
    <w:p w14:paraId="2834E84B">
      <w:pPr>
        <w:spacing w:line="360" w:lineRule="auto"/>
        <w:ind w:firstLine="480" w:firstLineChars="200"/>
        <w:rPr>
          <w:rFonts w:ascii="宋体" w:hAnsi="宋体" w:cs="宋体"/>
          <w:sz w:val="24"/>
        </w:rPr>
      </w:pPr>
      <w:r>
        <w:rPr>
          <w:rFonts w:hint="eastAsia" w:ascii="宋体" w:hAnsi="宋体" w:cs="宋体"/>
          <w:sz w:val="24"/>
        </w:rPr>
        <w:t>（6）地面：每日定时清洁，循环保洁，保持无水迹、无脚印、无卫生死角。</w:t>
      </w:r>
    </w:p>
    <w:p w14:paraId="13F410BE">
      <w:pPr>
        <w:spacing w:line="360" w:lineRule="auto"/>
        <w:ind w:firstLine="480" w:firstLineChars="200"/>
        <w:rPr>
          <w:rFonts w:eastAsia="仿宋"/>
          <w:sz w:val="24"/>
        </w:rPr>
      </w:pPr>
      <w:r>
        <w:rPr>
          <w:rFonts w:hint="eastAsia" w:ascii="宋体" w:hAnsi="宋体" w:cs="宋体"/>
          <w:sz w:val="24"/>
        </w:rPr>
        <w:t>（7）墙面：每周清洁墙面一次，保持墙面光亮、无印迹。</w:t>
      </w:r>
    </w:p>
    <w:p w14:paraId="33787A9A">
      <w:pPr>
        <w:spacing w:line="360" w:lineRule="auto"/>
        <w:ind w:firstLine="480" w:firstLineChars="200"/>
        <w:rPr>
          <w:rFonts w:ascii="宋体" w:hAnsi="宋体" w:cs="宋体"/>
          <w:sz w:val="24"/>
        </w:rPr>
      </w:pPr>
      <w:r>
        <w:rPr>
          <w:rFonts w:hint="eastAsia" w:ascii="宋体" w:hAnsi="宋体" w:cs="宋体"/>
          <w:sz w:val="24"/>
        </w:rPr>
        <w:t>2.2.5电梯间</w:t>
      </w:r>
    </w:p>
    <w:p w14:paraId="57784029">
      <w:pPr>
        <w:spacing w:line="360" w:lineRule="auto"/>
        <w:ind w:firstLine="480" w:firstLineChars="200"/>
        <w:rPr>
          <w:rFonts w:eastAsia="仿宋"/>
          <w:sz w:val="24"/>
        </w:rPr>
      </w:pPr>
      <w:r>
        <w:rPr>
          <w:rFonts w:hint="eastAsia" w:ascii="宋体" w:hAnsi="宋体" w:cs="宋体"/>
          <w:sz w:val="24"/>
        </w:rPr>
        <w:t>（1）电梯轿厢保持干净，无污渍、无粘贴物、无异味，每日至少开展1次清洁作业。灯具、操作指示板明亮。定期对轿厢内按键进行清洁和消毒。</w:t>
      </w:r>
    </w:p>
    <w:p w14:paraId="1F639963">
      <w:pPr>
        <w:spacing w:line="360" w:lineRule="auto"/>
        <w:ind w:firstLine="480" w:firstLineChars="200"/>
        <w:rPr>
          <w:rFonts w:ascii="宋体" w:hAnsi="宋体" w:cs="宋体"/>
          <w:sz w:val="24"/>
        </w:rPr>
      </w:pPr>
      <w:r>
        <w:rPr>
          <w:rFonts w:hint="eastAsia" w:ascii="宋体" w:hAnsi="宋体" w:cs="宋体"/>
          <w:sz w:val="24"/>
        </w:rPr>
        <w:t>（2）电梯轿厢地面：每日避开使用高峰期清洁地面，循环保洁，做到干净、无印迹、无陈旧性垃圾。轿厢地毯每日更换，每日清洗。</w:t>
      </w:r>
    </w:p>
    <w:p w14:paraId="48B83D09">
      <w:pPr>
        <w:spacing w:line="360" w:lineRule="auto"/>
        <w:ind w:firstLine="480" w:firstLineChars="200"/>
        <w:rPr>
          <w:rFonts w:ascii="宋体" w:hAnsi="宋体" w:cs="宋体"/>
          <w:sz w:val="24"/>
        </w:rPr>
      </w:pPr>
      <w:r>
        <w:rPr>
          <w:rFonts w:hint="eastAsia" w:ascii="宋体" w:hAnsi="宋体" w:cs="宋体"/>
          <w:sz w:val="24"/>
        </w:rPr>
        <w:t>（3）电梯外门：随时保洁，做到光亮、整洁，无手印、无粘附物。</w:t>
      </w:r>
    </w:p>
    <w:p w14:paraId="79209B9F">
      <w:pPr>
        <w:spacing w:line="360" w:lineRule="auto"/>
        <w:ind w:firstLine="480" w:firstLineChars="200"/>
        <w:rPr>
          <w:rFonts w:ascii="宋体" w:hAnsi="宋体" w:cs="宋体"/>
          <w:sz w:val="24"/>
        </w:rPr>
      </w:pPr>
      <w:r>
        <w:rPr>
          <w:rFonts w:hint="eastAsia" w:ascii="宋体" w:hAnsi="宋体" w:cs="宋体"/>
          <w:sz w:val="24"/>
        </w:rPr>
        <w:t>（4）电梯门轨道沟槽：每日用刷子、抹布去除沟槽中的杂物、泥沙保持干净。</w:t>
      </w:r>
    </w:p>
    <w:p w14:paraId="3E395AC8">
      <w:pPr>
        <w:spacing w:line="360" w:lineRule="auto"/>
        <w:ind w:firstLine="480" w:firstLineChars="200"/>
        <w:rPr>
          <w:rFonts w:ascii="宋体" w:hAnsi="宋体" w:cs="宋体"/>
          <w:sz w:val="24"/>
        </w:rPr>
      </w:pPr>
      <w:r>
        <w:rPr>
          <w:rFonts w:hint="eastAsia" w:ascii="宋体" w:hAnsi="宋体" w:cs="宋体"/>
          <w:sz w:val="24"/>
        </w:rPr>
        <w:t>2.2.6平台、屋顶、天沟保持干净，有杂物及时清扫，每月至少开展1次清洁作业。。</w:t>
      </w:r>
    </w:p>
    <w:p w14:paraId="3EF644CE">
      <w:pPr>
        <w:spacing w:line="360" w:lineRule="auto"/>
        <w:ind w:firstLine="480" w:firstLineChars="200"/>
        <w:rPr>
          <w:rFonts w:ascii="宋体" w:hAnsi="宋体" w:cs="宋体"/>
          <w:sz w:val="24"/>
        </w:rPr>
      </w:pPr>
      <w:r>
        <w:rPr>
          <w:rFonts w:hint="eastAsia" w:ascii="宋体" w:hAnsi="宋体" w:cs="宋体"/>
          <w:sz w:val="24"/>
        </w:rPr>
        <w:t>2.2.7石材地面、内墙做好养护工作，每季度开展1次清洁作业。</w:t>
      </w:r>
    </w:p>
    <w:p w14:paraId="5BB61B18">
      <w:pPr>
        <w:spacing w:line="360" w:lineRule="auto"/>
        <w:ind w:firstLine="480" w:firstLineChars="200"/>
        <w:rPr>
          <w:rFonts w:ascii="宋体" w:hAnsi="宋体" w:cs="宋体"/>
          <w:sz w:val="24"/>
        </w:rPr>
      </w:pPr>
      <w:r>
        <w:rPr>
          <w:rFonts w:hint="eastAsia" w:ascii="宋体" w:hAnsi="宋体" w:cs="宋体"/>
          <w:sz w:val="24"/>
        </w:rPr>
        <w:t>2.2.8地毯干净、无油渍、无污渍、无褪色，每月至少开展1次清洁作业。</w:t>
      </w:r>
    </w:p>
    <w:p w14:paraId="73769011">
      <w:pPr>
        <w:spacing w:line="360" w:lineRule="auto"/>
        <w:ind w:firstLine="480" w:firstLineChars="200"/>
        <w:rPr>
          <w:rFonts w:ascii="宋体" w:hAnsi="宋体" w:cs="宋体"/>
          <w:sz w:val="24"/>
        </w:rPr>
      </w:pPr>
      <w:r>
        <w:rPr>
          <w:rFonts w:hint="eastAsia" w:ascii="宋体" w:hAnsi="宋体" w:cs="宋体"/>
          <w:sz w:val="24"/>
        </w:rPr>
        <w:t>2.3公共场地区域保洁</w:t>
      </w:r>
    </w:p>
    <w:p w14:paraId="66DB3FFD">
      <w:pPr>
        <w:spacing w:line="360" w:lineRule="auto"/>
        <w:ind w:firstLine="480" w:firstLineChars="200"/>
        <w:rPr>
          <w:rFonts w:ascii="宋体" w:hAnsi="宋体" w:cs="宋体"/>
          <w:sz w:val="24"/>
        </w:rPr>
      </w:pPr>
      <w:r>
        <w:rPr>
          <w:rFonts w:ascii="宋体" w:hAnsi="宋体" w:cs="宋体"/>
          <w:sz w:val="24"/>
        </w:rPr>
        <w:t>2.3.1每日清扫道路地面、停车场等公共区域2次，保持干净、无杂物、无积水</w:t>
      </w:r>
      <w:r>
        <w:rPr>
          <w:rFonts w:hint="eastAsia" w:ascii="宋体" w:hAnsi="宋体" w:cs="宋体"/>
          <w:sz w:val="24"/>
        </w:rPr>
        <w:t>。</w:t>
      </w:r>
    </w:p>
    <w:p w14:paraId="01799FB2">
      <w:pPr>
        <w:spacing w:line="360" w:lineRule="auto"/>
        <w:ind w:firstLine="480" w:firstLineChars="200"/>
        <w:rPr>
          <w:rFonts w:ascii="宋体" w:hAnsi="宋体" w:cs="宋体"/>
          <w:sz w:val="24"/>
        </w:rPr>
      </w:pPr>
      <w:r>
        <w:rPr>
          <w:rFonts w:ascii="宋体" w:hAnsi="宋体" w:cs="宋体"/>
          <w:sz w:val="24"/>
        </w:rPr>
        <w:t>2.3.2雪、冰冻等恶劣天气时及时清扫积水、积雪，并采取安全防护措施。</w:t>
      </w:r>
    </w:p>
    <w:p w14:paraId="00F952E8">
      <w:pPr>
        <w:spacing w:line="360" w:lineRule="auto"/>
        <w:ind w:firstLine="480" w:firstLineChars="200"/>
        <w:rPr>
          <w:rFonts w:ascii="宋体" w:hAnsi="宋体" w:cs="宋体"/>
          <w:sz w:val="24"/>
        </w:rPr>
      </w:pPr>
      <w:r>
        <w:rPr>
          <w:rFonts w:ascii="宋体" w:hAnsi="宋体" w:cs="宋体"/>
          <w:sz w:val="24"/>
        </w:rPr>
        <w:t>2.3.3各种路标、宣传栏等保持干净，每月至少开展1次清洁作业。</w:t>
      </w:r>
    </w:p>
    <w:p w14:paraId="65B030B8">
      <w:pPr>
        <w:spacing w:line="360" w:lineRule="auto"/>
        <w:ind w:firstLine="480" w:firstLineChars="200"/>
        <w:rPr>
          <w:rFonts w:ascii="宋体" w:hAnsi="宋体" w:cs="宋体"/>
          <w:sz w:val="24"/>
        </w:rPr>
      </w:pPr>
      <w:r>
        <w:rPr>
          <w:rFonts w:ascii="宋体" w:hAnsi="宋体" w:cs="宋体"/>
          <w:sz w:val="24"/>
        </w:rPr>
        <w:t>2.3.4清洁室外照明设备，每月至少开展1次清洁作业。</w:t>
      </w:r>
    </w:p>
    <w:p w14:paraId="3981E7FD">
      <w:pPr>
        <w:spacing w:line="360" w:lineRule="auto"/>
        <w:ind w:firstLine="480" w:firstLineChars="200"/>
        <w:rPr>
          <w:rFonts w:ascii="宋体" w:hAnsi="宋体" w:cs="宋体"/>
          <w:sz w:val="24"/>
        </w:rPr>
      </w:pPr>
      <w:r>
        <w:rPr>
          <w:rFonts w:ascii="宋体" w:hAnsi="宋体" w:cs="宋体"/>
          <w:sz w:val="24"/>
        </w:rPr>
        <w:t>2.3.5绿地内无杂物、无改变用途和破坏、践踏、占用现象，</w:t>
      </w:r>
      <w:r>
        <w:rPr>
          <w:rFonts w:hint="eastAsia" w:ascii="宋体" w:hAnsi="宋体" w:cs="宋体"/>
          <w:sz w:val="24"/>
        </w:rPr>
        <w:t>每日</w:t>
      </w:r>
      <w:r>
        <w:rPr>
          <w:rFonts w:ascii="宋体" w:hAnsi="宋体" w:cs="宋体"/>
          <w:sz w:val="24"/>
        </w:rPr>
        <w:t>至少开展1次巡查。</w:t>
      </w:r>
    </w:p>
    <w:p w14:paraId="599B39C0">
      <w:pPr>
        <w:spacing w:line="360" w:lineRule="auto"/>
        <w:ind w:firstLine="480" w:firstLineChars="200"/>
        <w:rPr>
          <w:rFonts w:ascii="宋体" w:hAnsi="宋体" w:cs="宋体"/>
          <w:color w:val="000000"/>
          <w:sz w:val="24"/>
        </w:rPr>
      </w:pPr>
      <w:r>
        <w:rPr>
          <w:rFonts w:ascii="宋体" w:hAnsi="宋体" w:cs="宋体"/>
          <w:color w:val="000000"/>
          <w:sz w:val="24"/>
        </w:rPr>
        <w:t>2.3.6办公区外立面定期清洗、2米以</w:t>
      </w:r>
      <w:r>
        <w:rPr>
          <w:rFonts w:hint="eastAsia" w:ascii="宋体" w:hAnsi="宋体" w:cs="宋体"/>
          <w:color w:val="000000"/>
          <w:sz w:val="24"/>
        </w:rPr>
        <w:t>下</w:t>
      </w:r>
      <w:r>
        <w:rPr>
          <w:rFonts w:ascii="宋体" w:hAnsi="宋体" w:cs="宋体"/>
          <w:color w:val="000000"/>
          <w:sz w:val="24"/>
        </w:rPr>
        <w:t>外窗玻璃擦拭，每年至少开展1次清洗。</w:t>
      </w:r>
    </w:p>
    <w:p w14:paraId="221A2C4D">
      <w:pPr>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8室外设施、标志：每日清洁、擦抹一次，做到无灰尘、无污渍。</w:t>
      </w:r>
    </w:p>
    <w:p w14:paraId="30B14563">
      <w:pPr>
        <w:spacing w:line="360" w:lineRule="auto"/>
        <w:ind w:firstLine="480" w:firstLineChars="200"/>
        <w:rPr>
          <w:rFonts w:ascii="宋体" w:hAnsi="宋体" w:cs="宋体"/>
          <w:sz w:val="24"/>
        </w:rPr>
      </w:pPr>
      <w:r>
        <w:rPr>
          <w:rFonts w:hint="eastAsia" w:ascii="宋体" w:hAnsi="宋体" w:cs="宋体"/>
          <w:sz w:val="24"/>
        </w:rPr>
        <w:t>2.3.9下水道口：定期清理树叶等杂物，确保排水口通畅，防止堵塞。每月定期对污水排水沟渠进行消毒。</w:t>
      </w:r>
    </w:p>
    <w:p w14:paraId="3D70307D">
      <w:pPr>
        <w:spacing w:line="360" w:lineRule="auto"/>
        <w:ind w:firstLine="480" w:firstLineChars="200"/>
        <w:rPr>
          <w:rFonts w:ascii="宋体" w:hAnsi="宋体" w:cs="宋体"/>
          <w:sz w:val="24"/>
        </w:rPr>
      </w:pPr>
      <w:r>
        <w:rPr>
          <w:rFonts w:hint="eastAsia" w:ascii="宋体" w:hAnsi="宋体" w:cs="宋体"/>
          <w:sz w:val="24"/>
        </w:rPr>
        <w:t>2.4垃圾处理</w:t>
      </w:r>
    </w:p>
    <w:p w14:paraId="33F9F588">
      <w:pPr>
        <w:spacing w:line="360" w:lineRule="auto"/>
        <w:ind w:firstLine="480" w:firstLineChars="200"/>
        <w:rPr>
          <w:rFonts w:ascii="宋体" w:hAnsi="宋体" w:cs="宋体"/>
          <w:sz w:val="24"/>
        </w:rPr>
      </w:pPr>
      <w:r>
        <w:rPr>
          <w:rFonts w:hint="eastAsia" w:ascii="宋体" w:hAnsi="宋体" w:cs="宋体"/>
          <w:sz w:val="24"/>
        </w:rPr>
        <w:t>2.4.1在指定位置摆放分类垃圾桶，并在显著处张贴垃圾分类标识。分类垃圾桶和垃圾分类标识根据北京市的要求设置。</w:t>
      </w:r>
    </w:p>
    <w:p w14:paraId="2BC41EFB">
      <w:pPr>
        <w:spacing w:line="360" w:lineRule="auto"/>
        <w:ind w:firstLine="480" w:firstLineChars="200"/>
        <w:rPr>
          <w:rFonts w:ascii="宋体" w:hAnsi="宋体" w:cs="宋体"/>
          <w:sz w:val="24"/>
        </w:rPr>
      </w:pPr>
      <w:r>
        <w:rPr>
          <w:rFonts w:hint="eastAsia" w:ascii="宋体" w:hAnsi="宋体" w:cs="宋体"/>
          <w:sz w:val="24"/>
        </w:rPr>
        <w:t>2.4.2桶身表面干净无污渍，每日开展至少1次清洁作业。定期进行消毒灭菌处理，保持垃圾桶无异味、无粘附物、无污迹、无陈旧性垃圾。</w:t>
      </w:r>
    </w:p>
    <w:p w14:paraId="62FE7A74">
      <w:pPr>
        <w:spacing w:line="360" w:lineRule="auto"/>
        <w:ind w:firstLine="480" w:firstLineChars="200"/>
        <w:rPr>
          <w:rFonts w:ascii="宋体" w:hAnsi="宋体" w:cs="宋体"/>
          <w:sz w:val="24"/>
        </w:rPr>
      </w:pPr>
      <w:r>
        <w:rPr>
          <w:rFonts w:hint="eastAsia" w:ascii="宋体" w:hAnsi="宋体" w:cs="宋体"/>
          <w:sz w:val="24"/>
        </w:rPr>
        <w:t>2.4.3垃圾中转房保持整洁，无明显异味，每日至少开展1次清洁作业。</w:t>
      </w:r>
    </w:p>
    <w:p w14:paraId="3A66DF01">
      <w:pPr>
        <w:spacing w:line="360" w:lineRule="auto"/>
        <w:ind w:firstLine="480" w:firstLineChars="200"/>
        <w:rPr>
          <w:rFonts w:ascii="宋体" w:hAnsi="宋体" w:cs="宋体"/>
          <w:sz w:val="24"/>
        </w:rPr>
      </w:pPr>
      <w:r>
        <w:rPr>
          <w:rFonts w:hint="eastAsia" w:ascii="宋体" w:hAnsi="宋体" w:cs="宋体"/>
          <w:sz w:val="24"/>
        </w:rPr>
        <w:t>2.4.5每个工作日内要对楼层产生的垃圾，进行清理分类，并运至垃圾集中堆放点。每周对垃圾收集点进行彻底清洁、消毒。</w:t>
      </w:r>
    </w:p>
    <w:p w14:paraId="417572DE">
      <w:pPr>
        <w:spacing w:line="360" w:lineRule="auto"/>
        <w:ind w:firstLine="480" w:firstLineChars="200"/>
        <w:rPr>
          <w:rFonts w:ascii="宋体" w:hAnsi="宋体" w:cs="宋体"/>
          <w:sz w:val="24"/>
        </w:rPr>
      </w:pPr>
      <w:r>
        <w:rPr>
          <w:rFonts w:hint="eastAsia" w:ascii="宋体" w:hAnsi="宋体" w:cs="宋体"/>
          <w:sz w:val="24"/>
        </w:rPr>
        <w:t>2.4.6垃圾装袋，日产日清。</w:t>
      </w:r>
    </w:p>
    <w:p w14:paraId="294AF568">
      <w:pPr>
        <w:spacing w:line="360" w:lineRule="auto"/>
        <w:ind w:firstLine="480" w:firstLineChars="200"/>
        <w:rPr>
          <w:rFonts w:ascii="宋体" w:hAnsi="宋体" w:cs="宋体"/>
          <w:sz w:val="24"/>
        </w:rPr>
      </w:pPr>
      <w:r>
        <w:rPr>
          <w:rFonts w:hint="eastAsia" w:ascii="宋体" w:hAnsi="宋体" w:cs="宋体"/>
          <w:sz w:val="24"/>
        </w:rPr>
        <w:t>2.4.7建立垃圾清运台账，交由规范的渠道回收处理。</w:t>
      </w:r>
    </w:p>
    <w:p w14:paraId="4310EB60">
      <w:pPr>
        <w:spacing w:line="360" w:lineRule="auto"/>
        <w:ind w:firstLine="480" w:firstLineChars="200"/>
        <w:rPr>
          <w:rFonts w:ascii="宋体" w:hAnsi="宋体" w:cs="宋体"/>
          <w:sz w:val="24"/>
        </w:rPr>
      </w:pPr>
      <w:r>
        <w:rPr>
          <w:rFonts w:hint="eastAsia" w:ascii="宋体" w:hAnsi="宋体" w:cs="宋体"/>
          <w:sz w:val="24"/>
        </w:rPr>
        <w:t>2.4.8做好垃圾分类管理的宣传工作，督促并引导全员参与垃圾分类投放。</w:t>
      </w:r>
    </w:p>
    <w:p w14:paraId="32421D8E">
      <w:pPr>
        <w:spacing w:line="360" w:lineRule="auto"/>
        <w:ind w:firstLine="480" w:firstLineChars="200"/>
        <w:rPr>
          <w:rFonts w:ascii="宋体" w:hAnsi="宋体" w:cs="宋体"/>
          <w:sz w:val="24"/>
        </w:rPr>
      </w:pPr>
      <w:r>
        <w:rPr>
          <w:rFonts w:hint="eastAsia" w:ascii="宋体" w:hAnsi="宋体" w:cs="宋体"/>
          <w:sz w:val="24"/>
        </w:rPr>
        <w:t>2.4.9垃圾分类投放管理工作的执行标准，按北京市要求执行。</w:t>
      </w:r>
    </w:p>
    <w:p w14:paraId="6AF4E953">
      <w:pPr>
        <w:spacing w:line="360" w:lineRule="auto"/>
        <w:ind w:firstLine="480" w:firstLineChars="200"/>
        <w:rPr>
          <w:rFonts w:ascii="宋体" w:hAnsi="宋体" w:cs="宋体"/>
          <w:sz w:val="24"/>
        </w:rPr>
      </w:pPr>
      <w:r>
        <w:rPr>
          <w:rFonts w:hint="eastAsia" w:ascii="宋体" w:hAnsi="宋体" w:cs="宋体"/>
          <w:sz w:val="24"/>
        </w:rPr>
        <w:t>2.4.10禁止从楼上抛掷杂物、垃圾、泼洒污水，禁止在窗口、阳台晾晒拖把、抹布；禁止将废料、垃圾、饭渣、布条等投入厕所和下水道造成管道堵塞。</w:t>
      </w:r>
    </w:p>
    <w:p w14:paraId="361E1A1D">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7卫生消毒</w:t>
      </w:r>
    </w:p>
    <w:p w14:paraId="6AD7603B">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w:t>
      </w:r>
      <w:r>
        <w:rPr>
          <w:rFonts w:ascii="宋体" w:hAnsi="宋体" w:cs="宋体"/>
          <w:sz w:val="24"/>
        </w:rPr>
        <w:t>.1</w:t>
      </w:r>
      <w:r>
        <w:rPr>
          <w:rFonts w:hint="eastAsia" w:ascii="宋体" w:hAnsi="宋体" w:cs="宋体"/>
          <w:sz w:val="24"/>
        </w:rPr>
        <w:t>办公用房区域、公共场所区域和周围环境预防性卫生消毒，消毒后及时通风，每周至少开展</w:t>
      </w:r>
      <w:r>
        <w:rPr>
          <w:rFonts w:ascii="宋体" w:hAnsi="宋体" w:cs="宋体"/>
          <w:sz w:val="24"/>
        </w:rPr>
        <w:t>1</w:t>
      </w:r>
      <w:r>
        <w:rPr>
          <w:rFonts w:hint="eastAsia" w:ascii="宋体" w:hAnsi="宋体" w:cs="宋体"/>
          <w:sz w:val="24"/>
        </w:rPr>
        <w:t>次作业。</w:t>
      </w:r>
    </w:p>
    <w:p w14:paraId="120EF925">
      <w:pPr>
        <w:spacing w:line="360" w:lineRule="auto"/>
        <w:ind w:firstLine="480" w:firstLineChars="200"/>
        <w:rPr>
          <w:rFonts w:ascii="宋体" w:hAnsi="宋体" w:cs="宋体"/>
          <w:sz w:val="24"/>
        </w:rPr>
      </w:pPr>
      <w:r>
        <w:rPr>
          <w:rFonts w:hint="eastAsia" w:ascii="宋体" w:hAnsi="宋体" w:cs="宋体"/>
          <w:sz w:val="24"/>
        </w:rPr>
        <w:t>2.8专业石材养护</w:t>
      </w:r>
    </w:p>
    <w:p w14:paraId="4947CEEA">
      <w:pPr>
        <w:spacing w:line="360" w:lineRule="auto"/>
        <w:ind w:firstLine="480" w:firstLineChars="200"/>
        <w:rPr>
          <w:rFonts w:ascii="宋体" w:hAnsi="宋体" w:cs="宋体"/>
          <w:sz w:val="24"/>
        </w:rPr>
      </w:pPr>
      <w:r>
        <w:rPr>
          <w:rFonts w:hint="eastAsia" w:ascii="宋体" w:hAnsi="宋体" w:cs="宋体"/>
          <w:sz w:val="24"/>
        </w:rPr>
        <w:t>针对装饰石材的材质、养护特性、使用要求，提供专业的石材养护方法，对石材进行专业养护处理，保证石材天然本色及光亮的同时，起到保护石材、防止污染、增强抗磨损的作用，延长石材使用寿命。</w:t>
      </w:r>
    </w:p>
    <w:p w14:paraId="70AE651E">
      <w:pPr>
        <w:spacing w:line="460" w:lineRule="exact"/>
        <w:ind w:firstLine="470" w:firstLineChars="196"/>
        <w:rPr>
          <w:rFonts w:ascii="宋体" w:hAnsi="宋体"/>
          <w:sz w:val="24"/>
        </w:rPr>
      </w:pPr>
      <w:r>
        <w:rPr>
          <w:rFonts w:hint="eastAsia" w:ascii="Arial" w:hAnsi="Arial"/>
          <w:sz w:val="24"/>
          <w:szCs w:val="20"/>
        </w:rPr>
        <w:t>2</w:t>
      </w:r>
      <w:r>
        <w:rPr>
          <w:rFonts w:ascii="Arial" w:hAnsi="Arial"/>
          <w:sz w:val="24"/>
          <w:szCs w:val="20"/>
        </w:rPr>
        <w:t>.9</w:t>
      </w:r>
      <w:r>
        <w:rPr>
          <w:rFonts w:hint="eastAsia" w:ascii="宋体" w:hAnsi="宋体"/>
          <w:sz w:val="24"/>
        </w:rPr>
        <w:t>公寓楼A及公寓楼B、羽毛球馆、南北校浴室工作内容</w:t>
      </w:r>
    </w:p>
    <w:p w14:paraId="7F731D85">
      <w:pPr>
        <w:spacing w:line="460" w:lineRule="exact"/>
        <w:ind w:firstLine="470" w:firstLineChars="196"/>
        <w:rPr>
          <w:rFonts w:ascii="宋体" w:hAnsi="宋体"/>
          <w:sz w:val="24"/>
        </w:rPr>
      </w:pPr>
      <w:r>
        <w:rPr>
          <w:rFonts w:hint="eastAsia" w:ascii="宋体" w:hAnsi="宋体"/>
          <w:sz w:val="24"/>
        </w:rPr>
        <w:t xml:space="preserve">    负责公寓楼A及公寓楼B的管理工作。物品配备的检查（齐全、完好情况）。床上用品的更换。入住人员的管理工作。（入住：发放备品、钥匙等工作。入住期间：卫生的打扫工作，入住结束：房间物品的检查工作，换床单被褥，并协助学院将换下来的床单被褥清点外送清洗）详细的工作标准按照《公寓楼清洁人员工作方案》执行。</w:t>
      </w:r>
    </w:p>
    <w:p w14:paraId="181DC8E1">
      <w:pPr>
        <w:spacing w:line="460" w:lineRule="exact"/>
        <w:ind w:firstLine="470" w:firstLineChars="196"/>
        <w:rPr>
          <w:rFonts w:ascii="宋体" w:hAnsi="宋体"/>
          <w:sz w:val="24"/>
        </w:rPr>
      </w:pPr>
      <w:r>
        <w:rPr>
          <w:rFonts w:hint="eastAsia" w:ascii="宋体" w:hAnsi="宋体"/>
          <w:sz w:val="24"/>
        </w:rPr>
        <w:t>负责公寓楼A及公寓楼B的卫生清洁工作。（公寓楼所有区域的卫生保洁工作。包括屋内、楼道、楼梯间、消防栓及其他公共设施）</w:t>
      </w:r>
    </w:p>
    <w:p w14:paraId="73260DB5">
      <w:pPr>
        <w:spacing w:line="460" w:lineRule="exact"/>
        <w:ind w:firstLine="470" w:firstLineChars="196"/>
        <w:rPr>
          <w:rFonts w:ascii="宋体" w:hAnsi="宋体"/>
          <w:sz w:val="24"/>
        </w:rPr>
      </w:pPr>
      <w:r>
        <w:rPr>
          <w:rFonts w:hint="eastAsia" w:ascii="宋体" w:hAnsi="宋体"/>
          <w:sz w:val="24"/>
        </w:rPr>
        <w:t>负责羽毛球馆（高标准）卫生清洁。（执勤维护与保洁的清洁工作）</w:t>
      </w:r>
    </w:p>
    <w:p w14:paraId="69DE3CEF">
      <w:pPr>
        <w:spacing w:line="460" w:lineRule="exact"/>
        <w:ind w:firstLine="470" w:firstLineChars="196"/>
        <w:rPr>
          <w:rFonts w:ascii="宋体" w:hAnsi="宋体"/>
          <w:sz w:val="24"/>
        </w:rPr>
      </w:pPr>
      <w:r>
        <w:rPr>
          <w:rFonts w:hint="eastAsia" w:ascii="宋体" w:hAnsi="宋体"/>
          <w:sz w:val="24"/>
        </w:rPr>
        <w:t>负责南北校浴室的管理工作。设备设施的日常运行、保养、维护。每日按学院规定开放、关闭浴室。负责刷卡设备的监管，确保刷卡系统的正常使用。</w:t>
      </w:r>
    </w:p>
    <w:p w14:paraId="38AAB3A1">
      <w:pPr>
        <w:spacing w:line="460" w:lineRule="exact"/>
        <w:ind w:firstLine="470" w:firstLineChars="196"/>
        <w:rPr>
          <w:rFonts w:ascii="Arial" w:hAnsi="Arial"/>
          <w:sz w:val="24"/>
          <w:szCs w:val="20"/>
        </w:rPr>
      </w:pPr>
      <w:r>
        <w:rPr>
          <w:rFonts w:hint="eastAsia" w:ascii="宋体" w:hAnsi="宋体"/>
          <w:sz w:val="24"/>
        </w:rPr>
        <w:t>负责南北校浴室（高标准）卫生清洁。保持浴室内卫生良好，通风透气，每次开放前、后认真请刷、消毒，每周最少一次的彻底清洁、消毒。避免传染疾病的传播，确保师生洗浴安全卫生。</w:t>
      </w:r>
    </w:p>
    <w:p w14:paraId="271CA25F">
      <w:pPr>
        <w:keepNext/>
        <w:keepLines/>
        <w:snapToGrid w:val="0"/>
        <w:spacing w:line="360" w:lineRule="auto"/>
        <w:ind w:firstLine="482" w:firstLineChars="200"/>
        <w:outlineLvl w:val="1"/>
        <w:rPr>
          <w:rFonts w:eastAsia="楷体"/>
          <w:b/>
          <w:sz w:val="24"/>
        </w:rPr>
      </w:pPr>
      <w:bookmarkStart w:id="36" w:name="_Toc192776023"/>
      <w:bookmarkStart w:id="37" w:name="_Toc172215548"/>
      <w:r>
        <w:rPr>
          <w:rFonts w:hint="eastAsia" w:eastAsia="楷体"/>
          <w:b/>
          <w:sz w:val="24"/>
        </w:rPr>
        <w:t>（四）绿化养护管理服务</w:t>
      </w:r>
      <w:bookmarkEnd w:id="36"/>
      <w:bookmarkEnd w:id="37"/>
    </w:p>
    <w:p w14:paraId="0311A15D">
      <w:pPr>
        <w:spacing w:line="360" w:lineRule="auto"/>
        <w:ind w:firstLine="480" w:firstLineChars="200"/>
        <w:rPr>
          <w:rFonts w:ascii="宋体" w:hAnsi="宋体" w:cs="宋体"/>
          <w:sz w:val="24"/>
        </w:rPr>
      </w:pPr>
      <w:r>
        <w:rPr>
          <w:rFonts w:ascii="宋体" w:hAnsi="宋体" w:cs="宋体"/>
          <w:sz w:val="24"/>
        </w:rPr>
        <w:t>1.服务内容</w:t>
      </w:r>
    </w:p>
    <w:p w14:paraId="42147520">
      <w:pPr>
        <w:spacing w:line="360" w:lineRule="auto"/>
        <w:ind w:firstLine="480" w:firstLineChars="200"/>
        <w:rPr>
          <w:rFonts w:ascii="宋体" w:hAnsi="宋体" w:cs="宋体"/>
          <w:sz w:val="24"/>
        </w:rPr>
      </w:pPr>
      <w:r>
        <w:rPr>
          <w:rFonts w:hint="eastAsia" w:ascii="宋体" w:hAnsi="宋体" w:cs="宋体"/>
          <w:sz w:val="24"/>
        </w:rPr>
        <w:t>主要指室外绿化养护，如校区内所有树木、花草、绿地等的日常养护和管理。</w:t>
      </w:r>
    </w:p>
    <w:p w14:paraId="37ECB3F4">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服务标准</w:t>
      </w:r>
    </w:p>
    <w:p w14:paraId="2DA73D2A">
      <w:pPr>
        <w:spacing w:line="360" w:lineRule="auto"/>
        <w:ind w:firstLine="480" w:firstLineChars="200"/>
        <w:rPr>
          <w:rFonts w:ascii="宋体" w:hAnsi="宋体" w:cs="宋体"/>
          <w:sz w:val="24"/>
        </w:rPr>
      </w:pPr>
      <w:r>
        <w:rPr>
          <w:rFonts w:hint="eastAsia" w:ascii="宋体" w:hAnsi="宋体" w:cs="宋体"/>
          <w:sz w:val="24"/>
        </w:rPr>
        <w:t>2.1基本要求</w:t>
      </w:r>
    </w:p>
    <w:p w14:paraId="6A0138BA">
      <w:pPr>
        <w:spacing w:line="360" w:lineRule="auto"/>
        <w:ind w:firstLine="480" w:firstLineChars="200"/>
        <w:rPr>
          <w:rFonts w:ascii="宋体" w:hAnsi="宋体" w:cs="宋体"/>
          <w:sz w:val="24"/>
        </w:rPr>
      </w:pPr>
      <w:r>
        <w:rPr>
          <w:rFonts w:hint="eastAsia" w:ascii="宋体" w:hAnsi="宋体" w:cs="宋体"/>
          <w:sz w:val="24"/>
        </w:rPr>
        <w:t xml:space="preserve">2.1.1制定绿化服务的工作制度及工作计划，并按照执行。 </w:t>
      </w:r>
    </w:p>
    <w:p w14:paraId="2565E53D">
      <w:pPr>
        <w:spacing w:line="360" w:lineRule="auto"/>
        <w:ind w:firstLine="480" w:firstLineChars="200"/>
        <w:rPr>
          <w:rFonts w:ascii="宋体" w:hAnsi="宋体" w:cs="宋体"/>
          <w:sz w:val="24"/>
        </w:rPr>
      </w:pPr>
      <w:r>
        <w:rPr>
          <w:rFonts w:hint="eastAsia" w:ascii="宋体" w:hAnsi="宋体" w:cs="宋体"/>
          <w:sz w:val="24"/>
        </w:rPr>
        <w:t>2.1.2做好绿化服务工作记录，填写规范。</w:t>
      </w:r>
    </w:p>
    <w:p w14:paraId="75E5731B">
      <w:pPr>
        <w:spacing w:line="360" w:lineRule="auto"/>
        <w:ind w:firstLine="480" w:firstLineChars="200"/>
        <w:rPr>
          <w:rFonts w:ascii="宋体" w:hAnsi="宋体" w:cs="宋体"/>
          <w:sz w:val="24"/>
        </w:rPr>
      </w:pPr>
      <w:r>
        <w:rPr>
          <w:rFonts w:hint="eastAsia" w:ascii="宋体" w:hAnsi="宋体" w:cs="宋体"/>
          <w:sz w:val="24"/>
        </w:rPr>
        <w:t xml:space="preserve">2.1.3作业时采取安全防护措施，防止对作业人员或他人造成伤害。 </w:t>
      </w:r>
    </w:p>
    <w:p w14:paraId="03E2B561">
      <w:pPr>
        <w:spacing w:line="360" w:lineRule="auto"/>
        <w:ind w:firstLine="480" w:firstLineChars="200"/>
        <w:rPr>
          <w:rFonts w:ascii="宋体" w:hAnsi="宋体" w:cs="宋体"/>
          <w:sz w:val="24"/>
        </w:rPr>
      </w:pPr>
      <w:r>
        <w:rPr>
          <w:rFonts w:hint="eastAsia" w:ascii="宋体" w:hAnsi="宋体" w:cs="宋体"/>
          <w:sz w:val="24"/>
        </w:rPr>
        <w:t xml:space="preserve">2.1.4相关耗材的环保、安全性应当符合规定要求。 </w:t>
      </w:r>
    </w:p>
    <w:p w14:paraId="1E436396">
      <w:pPr>
        <w:spacing w:line="360" w:lineRule="auto"/>
        <w:ind w:firstLine="480" w:firstLineChars="200"/>
        <w:rPr>
          <w:rFonts w:ascii="宋体" w:hAnsi="宋体" w:cs="宋体"/>
          <w:sz w:val="24"/>
        </w:rPr>
      </w:pPr>
      <w:r>
        <w:rPr>
          <w:rFonts w:hint="eastAsia" w:ascii="宋体" w:hAnsi="宋体" w:cs="宋体"/>
          <w:sz w:val="24"/>
        </w:rPr>
        <w:t>2.2</w:t>
      </w:r>
      <w:r>
        <w:rPr>
          <w:rFonts w:ascii="宋体" w:hAnsi="宋体" w:cs="宋体"/>
          <w:sz w:val="24"/>
        </w:rPr>
        <w:t>室外绿化</w:t>
      </w:r>
      <w:r>
        <w:rPr>
          <w:rFonts w:hint="eastAsia" w:ascii="宋体" w:hAnsi="宋体" w:cs="宋体"/>
          <w:sz w:val="24"/>
        </w:rPr>
        <w:t>养护</w:t>
      </w:r>
      <w:r>
        <w:rPr>
          <w:rFonts w:ascii="宋体" w:hAnsi="宋体" w:cs="宋体"/>
          <w:sz w:val="24"/>
        </w:rPr>
        <w:t>服务标准</w:t>
      </w:r>
    </w:p>
    <w:p w14:paraId="10CDA15D">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1</w:t>
      </w:r>
      <w:r>
        <w:rPr>
          <w:rFonts w:ascii="宋体" w:hAnsi="宋体" w:cs="宋体"/>
          <w:sz w:val="24"/>
        </w:rPr>
        <w:t>根据生长环境、植物特性进行除草、灌溉、施肥、整形修剪、防治病虫害等。</w:t>
      </w:r>
    </w:p>
    <w:p w14:paraId="050F6EBB">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2</w:t>
      </w:r>
      <w:r>
        <w:rPr>
          <w:rFonts w:ascii="宋体" w:hAnsi="宋体" w:cs="宋体"/>
          <w:sz w:val="24"/>
        </w:rPr>
        <w:t>根据生长情况修剪绿地，绿地内无枯草、无杂物，无干枯坏死和病虫侵害，基本无裸露土地。草坪修剪应高度一致、边缘整齐。</w:t>
      </w:r>
    </w:p>
    <w:p w14:paraId="44DF04FA">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3</w:t>
      </w:r>
      <w:r>
        <w:rPr>
          <w:rFonts w:ascii="宋体" w:hAnsi="宋体" w:cs="宋体"/>
          <w:sz w:val="24"/>
        </w:rPr>
        <w:t>定期修剪树木、花卉等，灌乔木生长正常、造型美观自然、花枝新鲜，无枯叶、无病虫、无死树缺株。</w:t>
      </w:r>
    </w:p>
    <w:p w14:paraId="1D34666E">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4</w:t>
      </w:r>
      <w:r>
        <w:rPr>
          <w:rFonts w:ascii="宋体" w:hAnsi="宋体" w:cs="宋体"/>
          <w:sz w:val="24"/>
        </w:rPr>
        <w:t>绿篱生长造型正常，颜色正常，修剪及时，基本无死株和干死株，有虫株率在10%以下。</w:t>
      </w:r>
    </w:p>
    <w:p w14:paraId="3B186480">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5</w:t>
      </w:r>
      <w:r>
        <w:rPr>
          <w:rFonts w:ascii="宋体" w:hAnsi="宋体" w:cs="宋体"/>
          <w:sz w:val="24"/>
        </w:rPr>
        <w:t>清除花坛和花景的花蒂、黄叶、杂草、垃圾，做好病虫害防治。</w:t>
      </w:r>
    </w:p>
    <w:p w14:paraId="778AFDBF">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7</w:t>
      </w:r>
      <w:r>
        <w:rPr>
          <w:rFonts w:ascii="宋体" w:hAnsi="宋体" w:cs="宋体"/>
          <w:sz w:val="24"/>
        </w:rPr>
        <w:t>根据病虫害发生规律实施综合治理，通常在病虫率高时，以药剂杀死病虫，以确保植物良好生长。产生垃圾的主要区域和路段做到日产日清。</w:t>
      </w:r>
    </w:p>
    <w:p w14:paraId="1B882176">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8</w:t>
      </w:r>
      <w:r>
        <w:rPr>
          <w:rFonts w:ascii="宋体" w:hAnsi="宋体" w:cs="宋体"/>
          <w:sz w:val="24"/>
        </w:rPr>
        <w:t>雨雪、冰冻等恶劣天气来临前，专人巡查，对绿植做好预防措施，排除安全隐患。使用密度为80%的双幅遮阳网，并配合脚手架、竹子、草席、草绳、树干涂白工作进行。</w:t>
      </w:r>
    </w:p>
    <w:p w14:paraId="55CB88C0">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9</w:t>
      </w:r>
      <w:r>
        <w:rPr>
          <w:rFonts w:ascii="宋体" w:hAnsi="宋体" w:cs="宋体"/>
          <w:sz w:val="24"/>
        </w:rPr>
        <w:t>恶劣天气后，及时清除倒树断枝，疏通道路，尽快恢复原状。</w:t>
      </w:r>
    </w:p>
    <w:p w14:paraId="36154C4D">
      <w:pPr>
        <w:spacing w:line="360" w:lineRule="auto"/>
        <w:ind w:firstLine="480" w:firstLineChars="200"/>
        <w:rPr>
          <w:rFonts w:ascii="宋体" w:hAnsi="宋体" w:cs="宋体"/>
          <w:sz w:val="24"/>
        </w:rPr>
      </w:pPr>
      <w:r>
        <w:rPr>
          <w:rFonts w:hint="eastAsia" w:ascii="宋体" w:hAnsi="宋体" w:cs="宋体"/>
          <w:sz w:val="24"/>
        </w:rPr>
        <w:t>2.2.10养护</w:t>
      </w:r>
      <w:r>
        <w:rPr>
          <w:rFonts w:ascii="宋体" w:hAnsi="宋体" w:cs="宋体"/>
          <w:sz w:val="24"/>
        </w:rPr>
        <w:t>要求：植物生长旺盛，呈勃勃生机，在覆盖度、无杂草率、生长势等指标上，绿化完好率达到≥95%。</w:t>
      </w:r>
    </w:p>
    <w:p w14:paraId="38F3423A">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2.11</w:t>
      </w:r>
      <w:r>
        <w:rPr>
          <w:rFonts w:ascii="宋体" w:hAnsi="宋体" w:cs="宋体"/>
          <w:sz w:val="24"/>
        </w:rPr>
        <w:t>补植、改植：对被损坏或其他原因死亡的植物应及时补植，补植要与原品种一致，规格、数量基本相同；对已呈老化或明显与周围环境不协调的植物应改植，改植</w:t>
      </w:r>
      <w:r>
        <w:rPr>
          <w:rFonts w:hint="eastAsia" w:ascii="宋体" w:hAnsi="宋体" w:cs="宋体"/>
          <w:sz w:val="24"/>
        </w:rPr>
        <w:t>要严格</w:t>
      </w:r>
      <w:r>
        <w:rPr>
          <w:rFonts w:ascii="宋体" w:hAnsi="宋体" w:cs="宋体"/>
          <w:sz w:val="24"/>
        </w:rPr>
        <w:t>按照种植规范进行。</w:t>
      </w:r>
    </w:p>
    <w:p w14:paraId="07135136">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12</w:t>
      </w:r>
      <w:r>
        <w:rPr>
          <w:rFonts w:ascii="宋体" w:hAnsi="宋体" w:cs="宋体"/>
          <w:sz w:val="24"/>
        </w:rPr>
        <w:t>保持路面及绿地无垃圾杂物，有垃圾杂物10分钟内捡拾干净。做到即产即清，囤放不过夜，不焚烧。</w:t>
      </w:r>
    </w:p>
    <w:p w14:paraId="7B1EB6F1">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13</w:t>
      </w:r>
      <w:r>
        <w:rPr>
          <w:rFonts w:ascii="宋体" w:hAnsi="宋体" w:cs="宋体"/>
          <w:sz w:val="24"/>
        </w:rPr>
        <w:t>设施维护：绿地、水池的给排水设施，日常维护要做到完好无损，以保障绿化供水和排涝使用，防止水被人为滥用。</w:t>
      </w:r>
    </w:p>
    <w:p w14:paraId="48978B70">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14</w:t>
      </w:r>
      <w:r>
        <w:rPr>
          <w:rFonts w:ascii="宋体" w:hAnsi="宋体" w:cs="宋体"/>
          <w:sz w:val="24"/>
        </w:rPr>
        <w:t>其它：做好绿化档案管理</w:t>
      </w:r>
      <w:r>
        <w:rPr>
          <w:rFonts w:hint="eastAsia" w:ascii="宋体" w:hAnsi="宋体" w:cs="宋体"/>
          <w:sz w:val="24"/>
        </w:rPr>
        <w:t>及其他相关事项</w:t>
      </w:r>
      <w:r>
        <w:rPr>
          <w:rFonts w:ascii="宋体" w:hAnsi="宋体" w:cs="宋体"/>
          <w:sz w:val="24"/>
        </w:rPr>
        <w:t>。</w:t>
      </w:r>
      <w:r>
        <w:rPr>
          <w:rFonts w:hint="eastAsia" w:ascii="宋体" w:hAnsi="宋体" w:cs="宋体"/>
          <w:sz w:val="24"/>
        </w:rPr>
        <w:t>保持原有绿化布局，在甲方同意的基础上，合理补植、增植。</w:t>
      </w:r>
    </w:p>
    <w:p w14:paraId="0240FA58">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w:t>
      </w:r>
      <w:r>
        <w:rPr>
          <w:rFonts w:ascii="宋体" w:hAnsi="宋体" w:cs="宋体"/>
          <w:sz w:val="24"/>
        </w:rPr>
        <w:t>5</w:t>
      </w:r>
      <w:r>
        <w:rPr>
          <w:rFonts w:hint="eastAsia" w:ascii="宋体" w:hAnsi="宋体" w:cs="宋体"/>
          <w:sz w:val="24"/>
        </w:rPr>
        <w:t>保证现有绿植的成活率百分之百，草皮更换周期五年以上，由于投标人绿化养护管理不到位、施工等原因造成树木或植被死亡，由投标人负责按原品种、规格进行补植，费用由投标人承担。在投标人绿化养护过程中，浇灌用水费用由采购人承担。</w:t>
      </w:r>
    </w:p>
    <w:p w14:paraId="5A0C470B">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室内植物摆放服务标准</w:t>
      </w:r>
    </w:p>
    <w:p w14:paraId="700DBE99">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1</w:t>
      </w:r>
      <w:r>
        <w:rPr>
          <w:rFonts w:ascii="宋体" w:hAnsi="宋体" w:cs="宋体"/>
          <w:sz w:val="24"/>
        </w:rPr>
        <w:t>严格做好养护服务，确保植物无枯枝、残枝、黄叶。对叶尖有少许枯黄的叶片，要合理修剪，保持树形美观自然。</w:t>
      </w:r>
    </w:p>
    <w:p w14:paraId="2608ABED">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2</w:t>
      </w:r>
      <w:r>
        <w:rPr>
          <w:rFonts w:ascii="宋体" w:hAnsi="宋体" w:cs="宋体"/>
          <w:sz w:val="24"/>
        </w:rPr>
        <w:t>在养护工作上按照科学的植物水肥需要保证盆花干湿合理，不过量浇水施肥，又不缺水少肥，施用的肥料应无异味、无毒、无刺激性气味，保证摆放环境清新自然。</w:t>
      </w:r>
    </w:p>
    <w:p w14:paraId="43891CD0">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3</w:t>
      </w:r>
      <w:r>
        <w:rPr>
          <w:rFonts w:ascii="宋体" w:hAnsi="宋体" w:cs="宋体"/>
          <w:sz w:val="24"/>
        </w:rPr>
        <w:t>保持盆花的花盆、器皿干净整洁，无污水、泥垢及污渍。花盆内无杂物、垃圾，对损坏残缺的花盆套缸及时更换。每次养护完毕，清理现场保持清洁。</w:t>
      </w:r>
    </w:p>
    <w:p w14:paraId="63589FEF">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4</w:t>
      </w:r>
      <w:r>
        <w:rPr>
          <w:rFonts w:ascii="宋体" w:hAnsi="宋体" w:cs="宋体"/>
          <w:sz w:val="24"/>
        </w:rPr>
        <w:t>对长势不良的盆花应</w:t>
      </w:r>
      <w:r>
        <w:rPr>
          <w:rFonts w:hint="eastAsia" w:ascii="宋体" w:hAnsi="宋体" w:cs="宋体"/>
          <w:sz w:val="24"/>
        </w:rPr>
        <w:t>建议采购人</w:t>
      </w:r>
      <w:r>
        <w:rPr>
          <w:rFonts w:ascii="宋体" w:hAnsi="宋体" w:cs="宋体"/>
          <w:sz w:val="24"/>
        </w:rPr>
        <w:t>及时进行更换。</w:t>
      </w:r>
    </w:p>
    <w:p w14:paraId="0471A6F4">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5</w:t>
      </w:r>
      <w:r>
        <w:rPr>
          <w:rFonts w:ascii="宋体" w:hAnsi="宋体" w:cs="宋体"/>
          <w:sz w:val="24"/>
        </w:rPr>
        <w:t>室内植物的摆放在接到</w:t>
      </w:r>
      <w:r>
        <w:rPr>
          <w:rFonts w:hint="eastAsia" w:ascii="宋体" w:hAnsi="宋体" w:cs="宋体"/>
          <w:sz w:val="24"/>
        </w:rPr>
        <w:t>采购人</w:t>
      </w:r>
      <w:r>
        <w:rPr>
          <w:rFonts w:ascii="宋体" w:hAnsi="宋体" w:cs="宋体"/>
          <w:sz w:val="24"/>
        </w:rPr>
        <w:t>通知后选择下班时间或休息日时间进行摆放，不得影响办公区域的正常办公。特殊情况经</w:t>
      </w:r>
      <w:r>
        <w:rPr>
          <w:rFonts w:hint="eastAsia" w:ascii="宋体" w:hAnsi="宋体" w:cs="宋体"/>
          <w:sz w:val="24"/>
        </w:rPr>
        <w:t>采购人</w:t>
      </w:r>
      <w:r>
        <w:rPr>
          <w:rFonts w:ascii="宋体" w:hAnsi="宋体" w:cs="宋体"/>
          <w:sz w:val="24"/>
        </w:rPr>
        <w:t>同意后除外。</w:t>
      </w:r>
    </w:p>
    <w:p w14:paraId="7028CA05">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6</w:t>
      </w:r>
      <w:r>
        <w:rPr>
          <w:rFonts w:ascii="宋体" w:hAnsi="宋体" w:cs="宋体"/>
          <w:sz w:val="24"/>
        </w:rPr>
        <w:t>物业服务单位须按国家规范及标准，提供长期警示牌和临时警示牌，如果考虑不周、摆放不当造成安全事故的，由物业服务单位负责。</w:t>
      </w:r>
    </w:p>
    <w:p w14:paraId="3772E1E1">
      <w:pPr>
        <w:keepNext/>
        <w:keepLines/>
        <w:snapToGrid w:val="0"/>
        <w:spacing w:line="360" w:lineRule="auto"/>
        <w:ind w:firstLine="482" w:firstLineChars="200"/>
        <w:outlineLvl w:val="1"/>
        <w:rPr>
          <w:rFonts w:eastAsia="楷体"/>
          <w:b/>
          <w:sz w:val="24"/>
        </w:rPr>
      </w:pPr>
      <w:bookmarkStart w:id="38" w:name="_Toc192776024"/>
      <w:bookmarkStart w:id="39" w:name="_Toc172215550"/>
      <w:r>
        <w:rPr>
          <w:rFonts w:hint="eastAsia" w:eastAsia="楷体"/>
          <w:b/>
          <w:sz w:val="24"/>
        </w:rPr>
        <w:t>（五）会议服务</w:t>
      </w:r>
      <w:bookmarkEnd w:id="38"/>
      <w:bookmarkEnd w:id="39"/>
    </w:p>
    <w:p w14:paraId="38AEF7A1">
      <w:pPr>
        <w:adjustRightInd w:val="0"/>
        <w:snapToGrid w:val="0"/>
        <w:spacing w:line="360" w:lineRule="auto"/>
        <w:ind w:firstLine="482" w:firstLineChars="200"/>
        <w:rPr>
          <w:rFonts w:ascii="宋体" w:hAnsi="宋体" w:cs="宋体"/>
          <w:b/>
          <w:bCs/>
          <w:sz w:val="24"/>
        </w:rPr>
      </w:pPr>
      <w:r>
        <w:rPr>
          <w:rFonts w:ascii="宋体" w:hAnsi="宋体" w:cs="宋体"/>
          <w:b/>
          <w:bCs/>
          <w:sz w:val="24"/>
        </w:rPr>
        <w:t>1.服务内容</w:t>
      </w:r>
    </w:p>
    <w:p w14:paraId="7129933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接受会议预订，记录会议需求，会前准备、引导服务、会中服务、会后工作；小型会议、大型会议、会议服务耗材、涉密会议服务。</w:t>
      </w:r>
    </w:p>
    <w:p w14:paraId="659F890C">
      <w:p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p>
    <w:p w14:paraId="71B941F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2.1接受会议预订，记录会议需求。</w:t>
      </w:r>
    </w:p>
    <w:p w14:paraId="3F5B061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2.2根据会议需求、场地大小、用途，明确会议桌椅、物品、设备、文具等摆放规定，音、视频设施保障措施</w:t>
      </w:r>
    </w:p>
    <w:p w14:paraId="0B634885">
      <w:pPr>
        <w:adjustRightInd w:val="0"/>
        <w:snapToGrid w:val="0"/>
        <w:spacing w:line="360" w:lineRule="auto"/>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2.</w:t>
      </w:r>
      <w:r>
        <w:rPr>
          <w:rFonts w:ascii="宋体" w:hAnsi="宋体" w:cs="宋体"/>
          <w:bCs/>
          <w:sz w:val="24"/>
        </w:rPr>
        <w:t>1小型会议会前准备：会前1小时，调试灯光音响设备，保证正常使用，检查室内卫生，打开门窗通风，按规范要求做好会议摆台；会前30分钟，启动空调设备，服务人员就位，迎候与会人员，引导落座，协助安放随身物品；会前5分钟，摆放湿巾、备好茶水。</w:t>
      </w:r>
      <w:r>
        <w:rPr>
          <w:rFonts w:hint="eastAsia" w:ascii="宋体" w:hAnsi="宋体" w:cs="宋体"/>
          <w:bCs/>
          <w:sz w:val="24"/>
        </w:rPr>
        <w:t>做好引导牌并放置在指定位置，引导人员引导手势规范，语言标准。</w:t>
      </w:r>
    </w:p>
    <w:p w14:paraId="72EE4EB6">
      <w:pPr>
        <w:adjustRightInd w:val="0"/>
        <w:snapToGrid w:val="0"/>
        <w:spacing w:line="360" w:lineRule="auto"/>
        <w:ind w:firstLine="480" w:firstLineChars="200"/>
        <w:rPr>
          <w:rFonts w:eastAsia="仿宋"/>
          <w:sz w:val="24"/>
        </w:rPr>
      </w:pPr>
      <w:r>
        <w:rPr>
          <w:rFonts w:ascii="宋体" w:hAnsi="宋体" w:cs="宋体"/>
          <w:bCs/>
          <w:sz w:val="24"/>
        </w:rPr>
        <w:t>2.</w:t>
      </w:r>
      <w:r>
        <w:rPr>
          <w:rFonts w:hint="eastAsia" w:ascii="宋体" w:hAnsi="宋体" w:cs="宋体"/>
          <w:bCs/>
          <w:sz w:val="24"/>
        </w:rPr>
        <w:t>2.</w:t>
      </w:r>
      <w:r>
        <w:rPr>
          <w:rFonts w:ascii="宋体" w:hAnsi="宋体" w:cs="宋体"/>
          <w:bCs/>
          <w:sz w:val="24"/>
        </w:rPr>
        <w:t>2大型会议会前准备：按照要求布置会场，提前2小时请采购人检查会场；会前1小时，调试好灯光音响设备，检查室内卫生，打开门窗通风，按规范要求做好会议摆台；会前30分钟，启动空调设备，服务人员就位，迎候与会人员，引导落座，协助安放随身物品；会前10分钟，为主席台摆放湿巾、备好茶水。</w:t>
      </w:r>
      <w:r>
        <w:rPr>
          <w:rFonts w:hint="eastAsia" w:ascii="宋体" w:hAnsi="宋体" w:cs="宋体"/>
          <w:bCs/>
          <w:sz w:val="24"/>
        </w:rPr>
        <w:t>做好引导牌并放置在指定位置，引导人员引导手势规范，语言标准。</w:t>
      </w:r>
    </w:p>
    <w:p w14:paraId="6E9BD5D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2.3做好引导牌并放置在指定位置，引导人员引导手势规范，语言标准。</w:t>
      </w:r>
    </w:p>
    <w:p w14:paraId="1A5E05B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2.4会议期间按要求加水。每隔30分钟续水一次。涉密会议无会中服务，须提前将热水准备好。</w:t>
      </w:r>
    </w:p>
    <w:p w14:paraId="63D623C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2.5对会议现场进行检查，做好会场清扫工作。及时提醒、协助与会人员携带好随身物品，对遗留的文件和物品及时交有关部门处理；按分工清理会议用品；关闭空调音响设备及灯具，恢复原会场形式并做好消毒。</w:t>
      </w:r>
    </w:p>
    <w:p w14:paraId="4803D8B1">
      <w:pPr>
        <w:keepNext/>
        <w:keepLines/>
        <w:spacing w:before="10" w:after="10" w:line="360" w:lineRule="auto"/>
        <w:outlineLvl w:val="0"/>
        <w:rPr>
          <w:rFonts w:eastAsia="黑体"/>
          <w:b/>
          <w:kern w:val="44"/>
          <w:sz w:val="24"/>
        </w:rPr>
      </w:pPr>
      <w:bookmarkStart w:id="40" w:name="_Toc172215559"/>
      <w:bookmarkStart w:id="41" w:name="_Toc192776027"/>
      <w:r>
        <w:rPr>
          <w:rFonts w:hint="eastAsia" w:eastAsia="黑体"/>
          <w:b/>
          <w:kern w:val="44"/>
          <w:sz w:val="24"/>
        </w:rPr>
        <w:t>六、物业管理服务人员需求</w:t>
      </w:r>
      <w:bookmarkEnd w:id="40"/>
      <w:bookmarkEnd w:id="41"/>
    </w:p>
    <w:p w14:paraId="32BB9661">
      <w:pPr>
        <w:keepNext/>
        <w:keepLines/>
        <w:snapToGrid w:val="0"/>
        <w:spacing w:line="360" w:lineRule="auto"/>
        <w:ind w:firstLine="482" w:firstLineChars="200"/>
        <w:outlineLvl w:val="1"/>
        <w:rPr>
          <w:rFonts w:ascii="宋体" w:hAnsi="宋体" w:cs="宋体"/>
          <w:b/>
          <w:sz w:val="24"/>
        </w:rPr>
      </w:pPr>
      <w:bookmarkStart w:id="42" w:name="_Toc172215560"/>
      <w:bookmarkStart w:id="43" w:name="_Toc192776028"/>
      <w:r>
        <w:rPr>
          <w:rFonts w:hint="eastAsia" w:eastAsia="楷体"/>
          <w:b/>
          <w:sz w:val="24"/>
        </w:rPr>
        <w:t>（一）进驻人员要求</w:t>
      </w:r>
      <w:bookmarkEnd w:id="42"/>
      <w:bookmarkEnd w:id="43"/>
    </w:p>
    <w:p w14:paraId="086759D7">
      <w:pPr>
        <w:adjustRightInd w:val="0"/>
        <w:snapToGrid w:val="0"/>
        <w:spacing w:line="360" w:lineRule="auto"/>
        <w:ind w:firstLine="482" w:firstLineChars="200"/>
        <w:rPr>
          <w:rFonts w:ascii="宋体" w:hAnsi="宋体" w:cs="宋体"/>
          <w:b/>
          <w:bCs/>
          <w:sz w:val="24"/>
        </w:rPr>
      </w:pPr>
      <w:r>
        <w:rPr>
          <w:rFonts w:ascii="宋体" w:hAnsi="宋体" w:cs="宋体"/>
          <w:b/>
          <w:bCs/>
          <w:sz w:val="24"/>
        </w:rPr>
        <w:t>1.服务内容</w:t>
      </w:r>
    </w:p>
    <w:p w14:paraId="3EE34C08">
      <w:pPr>
        <w:adjustRightInd w:val="0"/>
        <w:snapToGrid w:val="0"/>
        <w:spacing w:line="360" w:lineRule="auto"/>
        <w:ind w:firstLine="480" w:firstLineChars="200"/>
        <w:rPr>
          <w:rFonts w:ascii="宋体" w:hAnsi="宋体" w:cs="宋体"/>
          <w:sz w:val="24"/>
        </w:rPr>
      </w:pPr>
      <w:r>
        <w:rPr>
          <w:rFonts w:ascii="宋体" w:hAnsi="宋体" w:cs="宋体"/>
          <w:sz w:val="24"/>
        </w:rPr>
        <w:t>1.1项目经理、保洁主管、保洁员、绿化工、客服</w:t>
      </w:r>
      <w:r>
        <w:rPr>
          <w:rFonts w:hint="eastAsia" w:ascii="宋体" w:hAnsi="宋体" w:cs="宋体"/>
          <w:sz w:val="24"/>
        </w:rPr>
        <w:t>文员</w:t>
      </w:r>
      <w:r>
        <w:rPr>
          <w:rFonts w:ascii="宋体" w:hAnsi="宋体" w:cs="宋体"/>
          <w:sz w:val="24"/>
        </w:rPr>
        <w:t>、工程主管、工程人员。</w:t>
      </w:r>
    </w:p>
    <w:p w14:paraId="72DB9E36">
      <w:pPr>
        <w:adjustRightInd w:val="0"/>
        <w:snapToGrid w:val="0"/>
        <w:spacing w:line="360" w:lineRule="auto"/>
        <w:ind w:firstLine="480" w:firstLineChars="200"/>
        <w:rPr>
          <w:rFonts w:ascii="宋体" w:hAnsi="宋体" w:cs="宋体"/>
          <w:sz w:val="24"/>
        </w:rPr>
      </w:pPr>
      <w:r>
        <w:rPr>
          <w:rFonts w:ascii="宋体" w:hAnsi="宋体" w:cs="宋体"/>
          <w:sz w:val="24"/>
        </w:rPr>
        <w:t>1.2进驻管理、会议、展览及特殊活动服务、收发服务、公共关系管理、节能管理、一般易耗品、消耗品配置要求、其他服务。</w:t>
      </w:r>
    </w:p>
    <w:p w14:paraId="0E2CADCE">
      <w:p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p>
    <w:p w14:paraId="11326A94">
      <w:pPr>
        <w:adjustRightInd w:val="0"/>
        <w:snapToGrid w:val="0"/>
        <w:spacing w:line="360" w:lineRule="auto"/>
        <w:ind w:firstLine="480" w:firstLineChars="200"/>
        <w:rPr>
          <w:rFonts w:ascii="宋体" w:hAnsi="宋体" w:cs="宋体"/>
          <w:sz w:val="24"/>
        </w:rPr>
      </w:pPr>
      <w:r>
        <w:rPr>
          <w:rFonts w:ascii="宋体" w:hAnsi="宋体" w:cs="宋体"/>
          <w:sz w:val="24"/>
        </w:rPr>
        <w:t>2.1项目经理职责要求</w:t>
      </w:r>
    </w:p>
    <w:p w14:paraId="710BCB40">
      <w:pPr>
        <w:adjustRightInd w:val="0"/>
        <w:snapToGrid w:val="0"/>
        <w:spacing w:line="360" w:lineRule="auto"/>
        <w:ind w:firstLine="480" w:firstLineChars="200"/>
        <w:rPr>
          <w:rFonts w:ascii="宋体" w:hAnsi="宋体" w:cs="宋体"/>
          <w:sz w:val="24"/>
        </w:rPr>
      </w:pPr>
      <w:r>
        <w:rPr>
          <w:rFonts w:ascii="宋体" w:hAnsi="宋体" w:cs="宋体"/>
          <w:sz w:val="24"/>
        </w:rPr>
        <w:t>2.1.1对本项目安全生产、物业服务安全正常运营负第一责任</w:t>
      </w:r>
      <w:r>
        <w:rPr>
          <w:rFonts w:hint="eastAsia" w:ascii="宋体" w:hAnsi="宋体" w:cs="宋体"/>
          <w:sz w:val="24"/>
        </w:rPr>
        <w:t>。</w:t>
      </w:r>
    </w:p>
    <w:p w14:paraId="292D1483">
      <w:pPr>
        <w:adjustRightInd w:val="0"/>
        <w:snapToGrid w:val="0"/>
        <w:spacing w:line="360" w:lineRule="auto"/>
        <w:ind w:firstLine="480" w:firstLineChars="200"/>
        <w:rPr>
          <w:rFonts w:ascii="宋体" w:hAnsi="宋体" w:cs="宋体"/>
          <w:sz w:val="24"/>
        </w:rPr>
      </w:pPr>
      <w:r>
        <w:rPr>
          <w:rFonts w:ascii="宋体" w:hAnsi="宋体" w:cs="宋体"/>
          <w:sz w:val="24"/>
        </w:rPr>
        <w:t>2.1.2代表</w:t>
      </w:r>
      <w:r>
        <w:rPr>
          <w:rFonts w:hint="eastAsia" w:ascii="宋体" w:hAnsi="宋体" w:cs="宋体"/>
          <w:sz w:val="24"/>
        </w:rPr>
        <w:t>投标人</w:t>
      </w:r>
      <w:r>
        <w:rPr>
          <w:rFonts w:ascii="宋体" w:hAnsi="宋体" w:cs="宋体"/>
          <w:sz w:val="24"/>
        </w:rPr>
        <w:t>与采购人就各相关部分进行沟通，确保服务合同约定的各服务方案按标准执行到位</w:t>
      </w:r>
      <w:r>
        <w:rPr>
          <w:rFonts w:hint="eastAsia" w:ascii="宋体" w:hAnsi="宋体" w:cs="宋体"/>
          <w:sz w:val="24"/>
        </w:rPr>
        <w:t>。</w:t>
      </w:r>
    </w:p>
    <w:p w14:paraId="3DF0D5E8">
      <w:pPr>
        <w:adjustRightInd w:val="0"/>
        <w:snapToGrid w:val="0"/>
        <w:spacing w:line="360" w:lineRule="auto"/>
        <w:ind w:firstLine="480" w:firstLineChars="200"/>
        <w:rPr>
          <w:rFonts w:ascii="宋体" w:hAnsi="宋体" w:cs="宋体"/>
          <w:sz w:val="24"/>
        </w:rPr>
      </w:pPr>
      <w:r>
        <w:rPr>
          <w:rFonts w:ascii="宋体" w:hAnsi="宋体" w:cs="宋体"/>
          <w:sz w:val="24"/>
        </w:rPr>
        <w:t>2.1.3对项目各岗位人员按计划进行培训、考核，确保</w:t>
      </w:r>
      <w:r>
        <w:rPr>
          <w:rFonts w:hint="eastAsia" w:ascii="宋体" w:hAnsi="宋体" w:cs="宋体"/>
          <w:sz w:val="24"/>
        </w:rPr>
        <w:t>采购人</w:t>
      </w:r>
      <w:r>
        <w:rPr>
          <w:rFonts w:ascii="宋体" w:hAnsi="宋体" w:cs="宋体"/>
          <w:sz w:val="24"/>
        </w:rPr>
        <w:t>满意度达到98%以上</w:t>
      </w:r>
      <w:r>
        <w:rPr>
          <w:rFonts w:hint="eastAsia" w:ascii="宋体" w:hAnsi="宋体" w:cs="宋体"/>
          <w:sz w:val="24"/>
        </w:rPr>
        <w:t>。</w:t>
      </w:r>
    </w:p>
    <w:p w14:paraId="284907E1">
      <w:pPr>
        <w:adjustRightInd w:val="0"/>
        <w:snapToGrid w:val="0"/>
        <w:spacing w:line="360" w:lineRule="auto"/>
        <w:ind w:firstLine="480" w:firstLineChars="200"/>
        <w:rPr>
          <w:rFonts w:ascii="宋体" w:hAnsi="宋体" w:cs="宋体"/>
          <w:sz w:val="24"/>
        </w:rPr>
      </w:pPr>
      <w:r>
        <w:rPr>
          <w:rFonts w:ascii="宋体" w:hAnsi="宋体" w:cs="宋体"/>
          <w:sz w:val="24"/>
        </w:rPr>
        <w:t>2.1.4保质保量认真落实采购人安排的其他工作。</w:t>
      </w:r>
    </w:p>
    <w:p w14:paraId="6711EF4B">
      <w:pPr>
        <w:adjustRightInd w:val="0"/>
        <w:snapToGrid w:val="0"/>
        <w:spacing w:line="360" w:lineRule="auto"/>
        <w:ind w:firstLine="480" w:firstLineChars="200"/>
        <w:rPr>
          <w:rFonts w:ascii="宋体" w:hAnsi="宋体" w:cs="宋体"/>
          <w:sz w:val="24"/>
        </w:rPr>
      </w:pPr>
      <w:r>
        <w:rPr>
          <w:rFonts w:ascii="宋体" w:hAnsi="宋体" w:cs="宋体"/>
          <w:sz w:val="24"/>
        </w:rPr>
        <w:t>2.2保洁主管职责要求</w:t>
      </w:r>
    </w:p>
    <w:p w14:paraId="16A1C37E">
      <w:pPr>
        <w:adjustRightInd w:val="0"/>
        <w:snapToGrid w:val="0"/>
        <w:spacing w:line="360" w:lineRule="auto"/>
        <w:ind w:firstLine="480" w:firstLineChars="200"/>
        <w:rPr>
          <w:rFonts w:ascii="宋体" w:hAnsi="宋体" w:cs="宋体"/>
          <w:sz w:val="24"/>
        </w:rPr>
      </w:pPr>
      <w:r>
        <w:rPr>
          <w:rFonts w:ascii="宋体" w:hAnsi="宋体" w:cs="宋体"/>
          <w:sz w:val="24"/>
        </w:rPr>
        <w:t>2.2.1配合项目经理代表</w:t>
      </w:r>
      <w:r>
        <w:rPr>
          <w:rFonts w:hint="eastAsia" w:ascii="宋体" w:hAnsi="宋体" w:cs="宋体"/>
          <w:sz w:val="24"/>
        </w:rPr>
        <w:t>投标人</w:t>
      </w:r>
      <w:r>
        <w:rPr>
          <w:rFonts w:ascii="宋体" w:hAnsi="宋体" w:cs="宋体"/>
          <w:sz w:val="24"/>
        </w:rPr>
        <w:t>与采购人就各相关部分进行沟通，确保服务合同约定的各服务方案按标准执行到位</w:t>
      </w:r>
      <w:r>
        <w:rPr>
          <w:rFonts w:hint="eastAsia" w:ascii="宋体" w:hAnsi="宋体" w:cs="宋体"/>
          <w:sz w:val="24"/>
        </w:rPr>
        <w:t>。</w:t>
      </w:r>
    </w:p>
    <w:p w14:paraId="2A21527E">
      <w:pPr>
        <w:adjustRightInd w:val="0"/>
        <w:snapToGrid w:val="0"/>
        <w:spacing w:line="360" w:lineRule="auto"/>
        <w:ind w:firstLine="480" w:firstLineChars="200"/>
        <w:rPr>
          <w:rFonts w:ascii="宋体" w:hAnsi="宋体" w:cs="宋体"/>
          <w:sz w:val="24"/>
        </w:rPr>
      </w:pPr>
      <w:r>
        <w:rPr>
          <w:rFonts w:ascii="宋体" w:hAnsi="宋体" w:cs="宋体"/>
          <w:sz w:val="24"/>
        </w:rPr>
        <w:t>2.2.2对绿化、保洁各岗位人员按计划进行培训、考核，认真落实采购人安排的其他工作。</w:t>
      </w:r>
    </w:p>
    <w:p w14:paraId="0267619D">
      <w:pPr>
        <w:adjustRightInd w:val="0"/>
        <w:snapToGrid w:val="0"/>
        <w:spacing w:line="360" w:lineRule="auto"/>
        <w:ind w:firstLine="480" w:firstLineChars="200"/>
        <w:rPr>
          <w:rFonts w:ascii="宋体" w:hAnsi="宋体" w:cs="宋体"/>
          <w:sz w:val="24"/>
        </w:rPr>
      </w:pPr>
      <w:r>
        <w:rPr>
          <w:rFonts w:ascii="宋体" w:hAnsi="宋体" w:cs="宋体"/>
          <w:sz w:val="24"/>
        </w:rPr>
        <w:t>2.3保洁员职责要求</w:t>
      </w:r>
    </w:p>
    <w:p w14:paraId="3576226B">
      <w:pPr>
        <w:adjustRightInd w:val="0"/>
        <w:snapToGrid w:val="0"/>
        <w:spacing w:line="360" w:lineRule="auto"/>
        <w:ind w:firstLine="480" w:firstLineChars="200"/>
        <w:rPr>
          <w:rFonts w:ascii="宋体" w:hAnsi="宋体" w:cs="宋体"/>
          <w:sz w:val="24"/>
        </w:rPr>
      </w:pPr>
      <w:r>
        <w:rPr>
          <w:rFonts w:ascii="宋体" w:hAnsi="宋体" w:cs="宋体"/>
          <w:sz w:val="24"/>
        </w:rPr>
        <w:t>2.3.1</w:t>
      </w:r>
      <w:r>
        <w:rPr>
          <w:rFonts w:hint="eastAsia" w:ascii="宋体" w:hAnsi="宋体" w:cs="宋体"/>
          <w:sz w:val="24"/>
        </w:rPr>
        <w:t>办公用房区域保洁</w:t>
      </w:r>
    </w:p>
    <w:p w14:paraId="38587974">
      <w:pPr>
        <w:adjustRightInd w:val="0"/>
        <w:snapToGrid w:val="0"/>
        <w:spacing w:line="360" w:lineRule="auto"/>
        <w:ind w:firstLine="480" w:firstLineChars="200"/>
        <w:rPr>
          <w:rFonts w:ascii="宋体" w:hAnsi="宋体" w:cs="宋体"/>
          <w:sz w:val="24"/>
        </w:rPr>
      </w:pPr>
      <w:r>
        <w:rPr>
          <w:rFonts w:hint="eastAsia" w:ascii="宋体" w:hAnsi="宋体" w:cs="宋体"/>
          <w:sz w:val="24"/>
        </w:rPr>
        <w:t>按照预定的时间表和清洁计划，进行各个区域的清洁工作，包括大厅楼内公共通道、玻璃、电梯、消防等设施设备、开水间、作业工具间等的清洁和维护。</w:t>
      </w:r>
    </w:p>
    <w:p w14:paraId="7148F723">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2</w:t>
      </w:r>
      <w:r>
        <w:rPr>
          <w:rFonts w:ascii="宋体" w:hAnsi="宋体" w:cs="宋体"/>
          <w:sz w:val="24"/>
        </w:rPr>
        <w:t>垃圾处理</w:t>
      </w:r>
    </w:p>
    <w:p w14:paraId="1B597BF7">
      <w:pPr>
        <w:adjustRightInd w:val="0"/>
        <w:snapToGrid w:val="0"/>
        <w:spacing w:line="360" w:lineRule="auto"/>
        <w:ind w:firstLine="480" w:firstLineChars="200"/>
        <w:rPr>
          <w:rFonts w:ascii="宋体" w:hAnsi="宋体" w:cs="宋体"/>
          <w:sz w:val="24"/>
        </w:rPr>
      </w:pPr>
      <w:r>
        <w:rPr>
          <w:rFonts w:hint="eastAsia" w:ascii="宋体" w:hAnsi="宋体" w:cs="宋体"/>
          <w:sz w:val="24"/>
        </w:rPr>
        <w:t>负责垃圾的收集和处理，做好垃圾分类，确保符合环保要求。</w:t>
      </w:r>
    </w:p>
    <w:p w14:paraId="2FCB5EC9">
      <w:pPr>
        <w:adjustRightInd w:val="0"/>
        <w:snapToGrid w:val="0"/>
        <w:spacing w:line="360" w:lineRule="auto"/>
        <w:ind w:left="479" w:leftChars="228"/>
        <w:rPr>
          <w:rFonts w:ascii="宋体" w:hAnsi="宋体" w:cs="宋体"/>
          <w:sz w:val="24"/>
        </w:rPr>
      </w:pPr>
      <w:r>
        <w:rPr>
          <w:rFonts w:ascii="宋体" w:hAnsi="宋体" w:cs="宋体"/>
          <w:sz w:val="24"/>
        </w:rPr>
        <w:t>2.3.</w:t>
      </w:r>
      <w:r>
        <w:rPr>
          <w:rFonts w:hint="eastAsia" w:ascii="宋体" w:hAnsi="宋体" w:cs="宋体"/>
          <w:sz w:val="24"/>
        </w:rPr>
        <w:t>3公共场地区域保洁</w:t>
      </w:r>
    </w:p>
    <w:p w14:paraId="000F3370">
      <w:pPr>
        <w:adjustRightInd w:val="0"/>
        <w:snapToGrid w:val="0"/>
        <w:spacing w:line="360" w:lineRule="auto"/>
        <w:ind w:firstLine="480" w:firstLineChars="200"/>
        <w:rPr>
          <w:rFonts w:ascii="宋体" w:hAnsi="宋体" w:cs="宋体"/>
          <w:sz w:val="24"/>
        </w:rPr>
      </w:pPr>
      <w:r>
        <w:rPr>
          <w:rFonts w:hint="eastAsia" w:ascii="宋体" w:hAnsi="宋体" w:cs="宋体"/>
          <w:sz w:val="24"/>
        </w:rPr>
        <w:t>负责道路地面、停车场、路标、宣传栏、室外照明设备等所有公共区域的清扫、擦拭和维护。</w:t>
      </w:r>
    </w:p>
    <w:p w14:paraId="64C01B57">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4</w:t>
      </w:r>
      <w:r>
        <w:rPr>
          <w:rFonts w:ascii="宋体" w:hAnsi="宋体" w:cs="宋体"/>
          <w:sz w:val="24"/>
        </w:rPr>
        <w:t>协助管理人员</w:t>
      </w:r>
    </w:p>
    <w:p w14:paraId="11F7EEC4">
      <w:pPr>
        <w:adjustRightInd w:val="0"/>
        <w:snapToGrid w:val="0"/>
        <w:spacing w:line="360" w:lineRule="auto"/>
        <w:ind w:firstLine="480" w:firstLineChars="200"/>
        <w:rPr>
          <w:rFonts w:ascii="宋体" w:hAnsi="宋体" w:cs="宋体"/>
          <w:sz w:val="24"/>
        </w:rPr>
      </w:pPr>
      <w:r>
        <w:rPr>
          <w:rFonts w:hint="eastAsia" w:ascii="宋体" w:hAnsi="宋体" w:cs="宋体"/>
          <w:sz w:val="24"/>
        </w:rPr>
        <w:t>配合采购人的工作，协助紧急清洁、突发事件处理等工作。</w:t>
      </w:r>
    </w:p>
    <w:p w14:paraId="5D6B145B">
      <w:pPr>
        <w:adjustRightInd w:val="0"/>
        <w:snapToGrid w:val="0"/>
        <w:spacing w:line="360" w:lineRule="auto"/>
        <w:ind w:firstLine="480" w:firstLineChars="200"/>
        <w:rPr>
          <w:rFonts w:ascii="宋体" w:hAnsi="宋体" w:cs="宋体"/>
          <w:sz w:val="24"/>
        </w:rPr>
      </w:pPr>
      <w:r>
        <w:rPr>
          <w:rFonts w:ascii="宋体" w:hAnsi="宋体" w:cs="宋体"/>
          <w:sz w:val="24"/>
        </w:rPr>
        <w:t>2.4绿化工职责要求</w:t>
      </w:r>
    </w:p>
    <w:p w14:paraId="2BB72859">
      <w:pPr>
        <w:adjustRightInd w:val="0"/>
        <w:snapToGrid w:val="0"/>
        <w:spacing w:line="360" w:lineRule="auto"/>
        <w:ind w:firstLine="480" w:firstLineChars="200"/>
        <w:rPr>
          <w:rFonts w:ascii="宋体" w:hAnsi="宋体" w:cs="宋体"/>
          <w:sz w:val="24"/>
        </w:rPr>
      </w:pPr>
      <w:r>
        <w:rPr>
          <w:rFonts w:ascii="宋体" w:hAnsi="宋体" w:cs="宋体"/>
          <w:sz w:val="24"/>
        </w:rPr>
        <w:t>2.4.1植物养护</w:t>
      </w:r>
    </w:p>
    <w:p w14:paraId="4827B528">
      <w:pPr>
        <w:adjustRightInd w:val="0"/>
        <w:snapToGrid w:val="0"/>
        <w:spacing w:line="360" w:lineRule="auto"/>
        <w:ind w:firstLine="480" w:firstLineChars="200"/>
        <w:rPr>
          <w:rFonts w:ascii="宋体" w:hAnsi="宋体" w:cs="宋体"/>
          <w:sz w:val="24"/>
        </w:rPr>
      </w:pPr>
      <w:r>
        <w:rPr>
          <w:rFonts w:hint="eastAsia" w:ascii="宋体" w:hAnsi="宋体" w:cs="宋体"/>
          <w:sz w:val="24"/>
        </w:rPr>
        <w:t>负责植物养护工作，包括浇水、修剪、施肥、病虫害防治等，确保植物生长健康且美观。</w:t>
      </w:r>
    </w:p>
    <w:p w14:paraId="7A987766">
      <w:pPr>
        <w:adjustRightInd w:val="0"/>
        <w:snapToGrid w:val="0"/>
        <w:spacing w:line="360" w:lineRule="auto"/>
        <w:ind w:firstLine="480" w:firstLineChars="200"/>
        <w:rPr>
          <w:rFonts w:ascii="宋体" w:hAnsi="宋体" w:cs="宋体"/>
          <w:sz w:val="24"/>
        </w:rPr>
      </w:pPr>
      <w:r>
        <w:rPr>
          <w:rFonts w:ascii="宋体" w:hAnsi="宋体" w:cs="宋体"/>
          <w:sz w:val="24"/>
        </w:rPr>
        <w:t>2.4.2绿地管理</w:t>
      </w:r>
    </w:p>
    <w:p w14:paraId="767C099B">
      <w:pPr>
        <w:adjustRightInd w:val="0"/>
        <w:snapToGrid w:val="0"/>
        <w:spacing w:line="360" w:lineRule="auto"/>
        <w:ind w:firstLine="480" w:firstLineChars="200"/>
        <w:rPr>
          <w:rFonts w:ascii="宋体" w:hAnsi="宋体" w:cs="宋体"/>
          <w:sz w:val="24"/>
        </w:rPr>
      </w:pPr>
      <w:r>
        <w:rPr>
          <w:rFonts w:hint="eastAsia" w:ascii="宋体" w:hAnsi="宋体" w:cs="宋体"/>
          <w:sz w:val="24"/>
        </w:rPr>
        <w:t>负责绿地管理工作，包括草坪修剪、除草、杂草清理、落叶清扫等，保持景观整洁有序。协助保洁人员进行清洁工作，包括落叶清扫、绿化垃圾收集等。要求：具备植物养护知识：熟悉各类常见植物的养护方法和特点，了解常见病虫害的防治方法。具备园艺技能：具备修剪、浇水、施肥等基本园艺技能，掌握相关工具和设备的使用方法。负责采购人提出的其他服务。</w:t>
      </w:r>
    </w:p>
    <w:p w14:paraId="1AF68EFC">
      <w:pPr>
        <w:adjustRightInd w:val="0"/>
        <w:snapToGrid w:val="0"/>
        <w:spacing w:line="360" w:lineRule="auto"/>
        <w:ind w:firstLine="480" w:firstLineChars="200"/>
        <w:rPr>
          <w:rFonts w:ascii="宋体" w:hAnsi="宋体" w:cs="宋体"/>
          <w:sz w:val="24"/>
        </w:rPr>
      </w:pPr>
      <w:r>
        <w:rPr>
          <w:rFonts w:ascii="宋体" w:hAnsi="宋体" w:cs="宋体"/>
          <w:sz w:val="24"/>
        </w:rPr>
        <w:t>2.5客服</w:t>
      </w:r>
      <w:r>
        <w:rPr>
          <w:rFonts w:hint="eastAsia" w:ascii="宋体" w:hAnsi="宋体" w:cs="宋体"/>
          <w:sz w:val="24"/>
        </w:rPr>
        <w:t>文员</w:t>
      </w:r>
      <w:r>
        <w:rPr>
          <w:rFonts w:ascii="宋体" w:hAnsi="宋体" w:cs="宋体"/>
          <w:sz w:val="24"/>
        </w:rPr>
        <w:t>职责要求</w:t>
      </w:r>
    </w:p>
    <w:p w14:paraId="75E2039A">
      <w:pPr>
        <w:adjustRightInd w:val="0"/>
        <w:snapToGrid w:val="0"/>
        <w:spacing w:line="360" w:lineRule="auto"/>
        <w:ind w:firstLine="480" w:firstLineChars="200"/>
        <w:rPr>
          <w:rFonts w:ascii="宋体" w:hAnsi="宋体" w:cs="宋体"/>
          <w:sz w:val="24"/>
        </w:rPr>
      </w:pPr>
      <w:r>
        <w:rPr>
          <w:rFonts w:hint="eastAsia" w:ascii="宋体" w:hAnsi="宋体" w:cs="宋体"/>
          <w:sz w:val="24"/>
        </w:rPr>
        <w:t>配合项目经理代表投标人与采购人就各相关部分进行沟通，确保服务合同约定的各服务方案按标准执行到位，认真落实采购人安排的其他工作。做好各类档案统计，日常工作记录，维修单统计等。</w:t>
      </w:r>
    </w:p>
    <w:p w14:paraId="582C9296">
      <w:pPr>
        <w:adjustRightInd w:val="0"/>
        <w:snapToGrid w:val="0"/>
        <w:spacing w:line="360" w:lineRule="auto"/>
        <w:ind w:firstLine="480" w:firstLineChars="200"/>
        <w:rPr>
          <w:rFonts w:ascii="宋体" w:hAnsi="宋体" w:cs="宋体"/>
          <w:sz w:val="24"/>
        </w:rPr>
      </w:pPr>
      <w:r>
        <w:rPr>
          <w:rFonts w:ascii="宋体" w:hAnsi="宋体" w:cs="宋体"/>
          <w:sz w:val="24"/>
        </w:rPr>
        <w:t>2.6工程主管职责要求</w:t>
      </w:r>
    </w:p>
    <w:p w14:paraId="798B92D5">
      <w:pPr>
        <w:adjustRightInd w:val="0"/>
        <w:snapToGrid w:val="0"/>
        <w:spacing w:line="360" w:lineRule="auto"/>
        <w:ind w:firstLine="480" w:firstLineChars="200"/>
        <w:rPr>
          <w:rFonts w:ascii="宋体" w:hAnsi="宋体" w:cs="宋体"/>
          <w:sz w:val="24"/>
        </w:rPr>
      </w:pPr>
      <w:r>
        <w:rPr>
          <w:rFonts w:hint="eastAsia" w:ascii="宋体" w:hAnsi="宋体" w:cs="宋体"/>
          <w:sz w:val="24"/>
        </w:rPr>
        <w:t>配合项目经理代表投标人与采购人就各相关部分进行沟通，确保服务合同约定的各服务方案按标准执行到位；对维修人员按计划进行培训、考核，认真落实采购人安排的其他工作。</w:t>
      </w:r>
    </w:p>
    <w:p w14:paraId="386A9BD0">
      <w:pPr>
        <w:adjustRightInd w:val="0"/>
        <w:snapToGrid w:val="0"/>
        <w:spacing w:line="360" w:lineRule="auto"/>
        <w:ind w:firstLine="480" w:firstLineChars="200"/>
        <w:rPr>
          <w:rFonts w:ascii="宋体" w:hAnsi="宋体" w:cs="宋体"/>
          <w:sz w:val="24"/>
        </w:rPr>
      </w:pPr>
      <w:r>
        <w:rPr>
          <w:rFonts w:ascii="宋体" w:hAnsi="宋体" w:cs="宋体"/>
          <w:sz w:val="24"/>
        </w:rPr>
        <w:t>2.7工程人员职责要求</w:t>
      </w:r>
    </w:p>
    <w:p w14:paraId="2749AE96">
      <w:pPr>
        <w:adjustRightInd w:val="0"/>
        <w:snapToGrid w:val="0"/>
        <w:spacing w:line="360" w:lineRule="auto"/>
        <w:ind w:firstLine="480" w:firstLineChars="200"/>
        <w:rPr>
          <w:rFonts w:ascii="宋体" w:hAnsi="宋体" w:cs="宋体"/>
          <w:sz w:val="24"/>
        </w:rPr>
      </w:pPr>
      <w:r>
        <w:rPr>
          <w:rFonts w:ascii="宋体" w:hAnsi="宋体" w:cs="宋体"/>
          <w:sz w:val="24"/>
        </w:rPr>
        <w:t>2.7.1熟悉高、低压供、配电设备的控制区域。掌握高、低压电气设备的原理、运行特性，参与排除设备的疑难故障，负责有关的技术问题。</w:t>
      </w:r>
    </w:p>
    <w:p w14:paraId="3B1450EE">
      <w:pPr>
        <w:adjustRightInd w:val="0"/>
        <w:snapToGrid w:val="0"/>
        <w:spacing w:line="360" w:lineRule="auto"/>
        <w:ind w:firstLine="480" w:firstLineChars="200"/>
        <w:rPr>
          <w:rFonts w:ascii="宋体" w:hAnsi="宋体" w:cs="宋体"/>
          <w:sz w:val="24"/>
        </w:rPr>
      </w:pPr>
      <w:r>
        <w:rPr>
          <w:rFonts w:ascii="宋体" w:hAnsi="宋体" w:cs="宋体"/>
          <w:sz w:val="24"/>
        </w:rPr>
        <w:t>2.7.2严格执行各项安全、技术规范，保证人身及设备安全。</w:t>
      </w:r>
    </w:p>
    <w:p w14:paraId="61AD9BF0">
      <w:pPr>
        <w:adjustRightInd w:val="0"/>
        <w:snapToGrid w:val="0"/>
        <w:spacing w:line="360" w:lineRule="auto"/>
        <w:ind w:firstLine="480" w:firstLineChars="200"/>
        <w:rPr>
          <w:rFonts w:ascii="宋体" w:hAnsi="宋体" w:cs="宋体"/>
          <w:sz w:val="24"/>
        </w:rPr>
      </w:pPr>
      <w:r>
        <w:rPr>
          <w:rFonts w:ascii="宋体" w:hAnsi="宋体" w:cs="宋体"/>
          <w:sz w:val="24"/>
        </w:rPr>
        <w:t>2.7.3组织处理设备突发事件的应急处理工作。</w:t>
      </w:r>
    </w:p>
    <w:p w14:paraId="12E097A4">
      <w:pPr>
        <w:adjustRightInd w:val="0"/>
        <w:snapToGrid w:val="0"/>
        <w:spacing w:line="360" w:lineRule="auto"/>
        <w:ind w:firstLine="480" w:firstLineChars="200"/>
        <w:rPr>
          <w:rFonts w:ascii="宋体" w:hAnsi="宋体" w:cs="宋体"/>
          <w:sz w:val="24"/>
        </w:rPr>
      </w:pPr>
      <w:r>
        <w:rPr>
          <w:rFonts w:ascii="宋体" w:hAnsi="宋体" w:cs="宋体"/>
          <w:sz w:val="24"/>
        </w:rPr>
        <w:t>2.7.4在“安全、可靠、经济、合理”的原则下，提出节能措施，并组织实施。</w:t>
      </w:r>
    </w:p>
    <w:p w14:paraId="44D72EF3">
      <w:pPr>
        <w:adjustRightInd w:val="0"/>
        <w:snapToGrid w:val="0"/>
        <w:spacing w:line="360" w:lineRule="auto"/>
        <w:ind w:firstLine="480" w:firstLineChars="200"/>
        <w:rPr>
          <w:rFonts w:ascii="宋体" w:hAnsi="宋体" w:cs="宋体"/>
          <w:sz w:val="24"/>
        </w:rPr>
      </w:pPr>
      <w:r>
        <w:rPr>
          <w:rFonts w:ascii="宋体" w:hAnsi="宋体" w:cs="宋体"/>
          <w:sz w:val="24"/>
        </w:rPr>
        <w:t>2.7.5及时妥善处理</w:t>
      </w:r>
      <w:r>
        <w:rPr>
          <w:rFonts w:hint="eastAsia" w:ascii="宋体" w:hAnsi="宋体" w:cs="宋体"/>
          <w:sz w:val="24"/>
        </w:rPr>
        <w:t>职责范围内发生的</w:t>
      </w:r>
      <w:r>
        <w:rPr>
          <w:rFonts w:ascii="宋体" w:hAnsi="宋体" w:cs="宋体"/>
          <w:sz w:val="24"/>
        </w:rPr>
        <w:t>人员、设备等问题。</w:t>
      </w:r>
    </w:p>
    <w:p w14:paraId="3DE3D4D6">
      <w:pPr>
        <w:keepNext/>
        <w:keepLines/>
        <w:snapToGrid w:val="0"/>
        <w:spacing w:line="360" w:lineRule="auto"/>
        <w:ind w:firstLine="482" w:firstLineChars="200"/>
        <w:outlineLvl w:val="1"/>
        <w:rPr>
          <w:rFonts w:eastAsia="楷体"/>
          <w:b/>
          <w:sz w:val="24"/>
        </w:rPr>
      </w:pPr>
      <w:bookmarkStart w:id="44" w:name="_Toc192776029"/>
      <w:bookmarkStart w:id="45" w:name="_Toc172215561"/>
      <w:r>
        <w:rPr>
          <w:rFonts w:hint="eastAsia" w:eastAsia="楷体"/>
          <w:b/>
          <w:sz w:val="24"/>
        </w:rPr>
        <w:t>（二）人员稳定性</w:t>
      </w:r>
      <w:bookmarkEnd w:id="44"/>
      <w:bookmarkEnd w:id="45"/>
    </w:p>
    <w:p w14:paraId="20C7AFA6">
      <w:pPr>
        <w:adjustRightInd w:val="0"/>
        <w:snapToGrid w:val="0"/>
        <w:spacing w:line="360" w:lineRule="auto"/>
        <w:ind w:firstLine="480" w:firstLineChars="200"/>
        <w:rPr>
          <w:rFonts w:ascii="宋体" w:hAnsi="宋体" w:cs="宋体"/>
          <w:sz w:val="24"/>
        </w:rPr>
      </w:pPr>
      <w:r>
        <w:rPr>
          <w:rFonts w:ascii="宋体" w:hAnsi="宋体" w:cs="宋体"/>
          <w:sz w:val="24"/>
        </w:rPr>
        <w:t>1.人员招收、招聘来源情况及人员稳定性保障措施。</w:t>
      </w:r>
    </w:p>
    <w:p w14:paraId="3B77B680">
      <w:pPr>
        <w:adjustRightInd w:val="0"/>
        <w:snapToGrid w:val="0"/>
        <w:spacing w:line="360" w:lineRule="auto"/>
        <w:ind w:firstLine="480" w:firstLineChars="200"/>
        <w:rPr>
          <w:rFonts w:ascii="宋体" w:hAnsi="宋体" w:cs="宋体"/>
          <w:sz w:val="24"/>
        </w:rPr>
      </w:pPr>
      <w:r>
        <w:rPr>
          <w:rFonts w:ascii="宋体" w:hAnsi="宋体" w:cs="宋体"/>
          <w:sz w:val="24"/>
        </w:rPr>
        <w:t>2.保证拟派人员专职为本项目提供服务。</w:t>
      </w:r>
    </w:p>
    <w:p w14:paraId="4E8F832F">
      <w:pPr>
        <w:keepNext/>
        <w:keepLines/>
        <w:snapToGrid w:val="0"/>
        <w:spacing w:line="360" w:lineRule="auto"/>
        <w:ind w:firstLine="482" w:firstLineChars="200"/>
        <w:outlineLvl w:val="1"/>
        <w:rPr>
          <w:rFonts w:eastAsia="楷体"/>
          <w:b/>
          <w:sz w:val="24"/>
        </w:rPr>
      </w:pPr>
      <w:bookmarkStart w:id="46" w:name="_Toc192776030"/>
      <w:r>
        <w:rPr>
          <w:rFonts w:hint="eastAsia" w:eastAsia="楷体"/>
          <w:b/>
          <w:sz w:val="24"/>
        </w:rPr>
        <w:t>（三）人员配备情况</w:t>
      </w:r>
      <w:bookmarkEnd w:id="46"/>
    </w:p>
    <w:p w14:paraId="3C6D1F6F">
      <w:pPr>
        <w:spacing w:line="360" w:lineRule="auto"/>
        <w:rPr>
          <w:rFonts w:ascii="宋体" w:hAnsi="宋体"/>
          <w:sz w:val="24"/>
        </w:rPr>
      </w:pPr>
      <w:r>
        <w:rPr>
          <w:rFonts w:hint="eastAsia" w:ascii="宋体" w:hAnsi="宋体"/>
          <w:sz w:val="24"/>
        </w:rPr>
        <w:t>1、岗位目录及要求</w:t>
      </w:r>
    </w:p>
    <w:tbl>
      <w:tblPr>
        <w:tblStyle w:val="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59"/>
        <w:gridCol w:w="5443"/>
      </w:tblGrid>
      <w:tr w14:paraId="7D19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2F071737">
            <w:pPr>
              <w:spacing w:line="360" w:lineRule="auto"/>
              <w:jc w:val="center"/>
              <w:rPr>
                <w:rFonts w:ascii="宋体" w:hAnsi="宋体"/>
                <w:sz w:val="24"/>
              </w:rPr>
            </w:pPr>
            <w:r>
              <w:rPr>
                <w:rFonts w:hint="eastAsia" w:ascii="宋体" w:hAnsi="宋体"/>
                <w:sz w:val="24"/>
              </w:rPr>
              <w:t>序号</w:t>
            </w:r>
          </w:p>
        </w:tc>
        <w:tc>
          <w:tcPr>
            <w:tcW w:w="1559" w:type="dxa"/>
            <w:noWrap w:val="0"/>
            <w:vAlign w:val="top"/>
          </w:tcPr>
          <w:p w14:paraId="590D7D41">
            <w:pPr>
              <w:spacing w:line="360" w:lineRule="auto"/>
              <w:jc w:val="center"/>
              <w:rPr>
                <w:rFonts w:ascii="宋体" w:hAnsi="宋体"/>
                <w:sz w:val="24"/>
              </w:rPr>
            </w:pPr>
            <w:r>
              <w:rPr>
                <w:rFonts w:hint="eastAsia" w:ascii="宋体" w:hAnsi="宋体"/>
                <w:sz w:val="24"/>
              </w:rPr>
              <w:t>岗位</w:t>
            </w:r>
          </w:p>
        </w:tc>
        <w:tc>
          <w:tcPr>
            <w:tcW w:w="5443" w:type="dxa"/>
            <w:noWrap w:val="0"/>
            <w:vAlign w:val="top"/>
          </w:tcPr>
          <w:p w14:paraId="01471AF7">
            <w:pPr>
              <w:spacing w:line="360" w:lineRule="auto"/>
              <w:jc w:val="center"/>
              <w:rPr>
                <w:rFonts w:ascii="宋体" w:hAnsi="宋体"/>
                <w:sz w:val="24"/>
              </w:rPr>
            </w:pPr>
            <w:r>
              <w:rPr>
                <w:rFonts w:hint="eastAsia" w:ascii="宋体" w:hAnsi="宋体"/>
                <w:sz w:val="24"/>
              </w:rPr>
              <w:t>要求</w:t>
            </w:r>
          </w:p>
        </w:tc>
      </w:tr>
      <w:tr w14:paraId="2E28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03A81331">
            <w:pPr>
              <w:spacing w:line="360" w:lineRule="auto"/>
              <w:jc w:val="center"/>
              <w:rPr>
                <w:rFonts w:ascii="宋体" w:hAnsi="宋体"/>
                <w:sz w:val="24"/>
              </w:rPr>
            </w:pPr>
            <w:r>
              <w:rPr>
                <w:rFonts w:ascii="宋体" w:hAnsi="宋体"/>
                <w:sz w:val="24"/>
              </w:rPr>
              <w:t>1</w:t>
            </w:r>
          </w:p>
        </w:tc>
        <w:tc>
          <w:tcPr>
            <w:tcW w:w="1559" w:type="dxa"/>
            <w:noWrap w:val="0"/>
            <w:vAlign w:val="top"/>
          </w:tcPr>
          <w:p w14:paraId="21BB210B">
            <w:pPr>
              <w:spacing w:line="360" w:lineRule="auto"/>
              <w:jc w:val="center"/>
              <w:rPr>
                <w:rFonts w:ascii="宋体" w:hAnsi="宋体"/>
                <w:sz w:val="24"/>
              </w:rPr>
            </w:pPr>
            <w:r>
              <w:rPr>
                <w:rFonts w:hint="eastAsia" w:ascii="宋体" w:hAnsi="宋体"/>
                <w:sz w:val="24"/>
              </w:rPr>
              <w:t>项目负责人</w:t>
            </w:r>
          </w:p>
        </w:tc>
        <w:tc>
          <w:tcPr>
            <w:tcW w:w="5443" w:type="dxa"/>
            <w:noWrap w:val="0"/>
            <w:vAlign w:val="top"/>
          </w:tcPr>
          <w:p w14:paraId="1C9D152F">
            <w:pPr>
              <w:spacing w:line="360" w:lineRule="auto"/>
              <w:jc w:val="left"/>
              <w:rPr>
                <w:rFonts w:ascii="宋体" w:hAnsi="宋体"/>
                <w:sz w:val="24"/>
              </w:rPr>
            </w:pPr>
            <w:r>
              <w:rPr>
                <w:rFonts w:hint="eastAsia" w:ascii="宋体" w:hAnsi="宋体"/>
                <w:sz w:val="24"/>
              </w:rPr>
              <w:t>具有专科及以上学历，具有中级及以上职称，具有3年及以上物业项目管理经验</w:t>
            </w:r>
          </w:p>
        </w:tc>
      </w:tr>
      <w:tr w14:paraId="6D04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noWrap w:val="0"/>
            <w:vAlign w:val="top"/>
          </w:tcPr>
          <w:p w14:paraId="6A63FA58">
            <w:pPr>
              <w:spacing w:line="360" w:lineRule="auto"/>
              <w:jc w:val="center"/>
              <w:rPr>
                <w:rFonts w:ascii="宋体" w:hAnsi="宋体"/>
                <w:sz w:val="24"/>
              </w:rPr>
            </w:pPr>
            <w:r>
              <w:rPr>
                <w:rFonts w:hint="eastAsia" w:ascii="宋体" w:hAnsi="宋体"/>
                <w:sz w:val="24"/>
              </w:rPr>
              <w:t>2</w:t>
            </w:r>
          </w:p>
        </w:tc>
        <w:tc>
          <w:tcPr>
            <w:tcW w:w="1559" w:type="dxa"/>
            <w:noWrap w:val="0"/>
            <w:vAlign w:val="top"/>
          </w:tcPr>
          <w:p w14:paraId="0E537742">
            <w:pPr>
              <w:spacing w:line="360" w:lineRule="auto"/>
              <w:jc w:val="center"/>
              <w:rPr>
                <w:rFonts w:ascii="宋体" w:hAnsi="宋体"/>
                <w:sz w:val="24"/>
              </w:rPr>
            </w:pPr>
            <w:r>
              <w:rPr>
                <w:rFonts w:hint="eastAsia" w:ascii="宋体" w:hAnsi="宋体"/>
                <w:sz w:val="24"/>
              </w:rPr>
              <w:t>综合主管</w:t>
            </w:r>
          </w:p>
        </w:tc>
        <w:tc>
          <w:tcPr>
            <w:tcW w:w="5443" w:type="dxa"/>
            <w:noWrap w:val="0"/>
            <w:vAlign w:val="top"/>
          </w:tcPr>
          <w:p w14:paraId="5931619D">
            <w:pPr>
              <w:spacing w:line="360" w:lineRule="auto"/>
              <w:jc w:val="left"/>
              <w:rPr>
                <w:rFonts w:ascii="宋体" w:hAnsi="宋体"/>
                <w:sz w:val="24"/>
              </w:rPr>
            </w:pPr>
            <w:r>
              <w:rPr>
                <w:rFonts w:hint="eastAsia" w:ascii="宋体" w:hAnsi="宋体"/>
                <w:sz w:val="24"/>
              </w:rPr>
              <w:t>具有专科及以上学历，具有3年及以上物业主管岗位经验</w:t>
            </w:r>
          </w:p>
        </w:tc>
      </w:tr>
      <w:tr w14:paraId="5FDB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08F3B932">
            <w:pPr>
              <w:spacing w:line="360" w:lineRule="auto"/>
              <w:jc w:val="center"/>
              <w:rPr>
                <w:rFonts w:ascii="宋体" w:hAnsi="宋体"/>
                <w:sz w:val="24"/>
              </w:rPr>
            </w:pPr>
            <w:r>
              <w:rPr>
                <w:rFonts w:hint="eastAsia" w:ascii="宋体" w:hAnsi="宋体"/>
                <w:sz w:val="24"/>
              </w:rPr>
              <w:t>3</w:t>
            </w:r>
          </w:p>
        </w:tc>
        <w:tc>
          <w:tcPr>
            <w:tcW w:w="1559" w:type="dxa"/>
            <w:noWrap w:val="0"/>
            <w:vAlign w:val="top"/>
          </w:tcPr>
          <w:p w14:paraId="470A7212">
            <w:pPr>
              <w:spacing w:line="360" w:lineRule="auto"/>
              <w:jc w:val="center"/>
              <w:rPr>
                <w:rFonts w:ascii="宋体" w:hAnsi="宋体"/>
                <w:sz w:val="24"/>
              </w:rPr>
            </w:pPr>
            <w:r>
              <w:rPr>
                <w:rFonts w:hint="eastAsia" w:ascii="宋体" w:hAnsi="宋体"/>
                <w:sz w:val="24"/>
              </w:rPr>
              <w:t>工程主管</w:t>
            </w:r>
          </w:p>
        </w:tc>
        <w:tc>
          <w:tcPr>
            <w:tcW w:w="5443" w:type="dxa"/>
            <w:noWrap w:val="0"/>
            <w:vAlign w:val="top"/>
          </w:tcPr>
          <w:p w14:paraId="0AB8797A">
            <w:pPr>
              <w:spacing w:line="360" w:lineRule="auto"/>
              <w:jc w:val="left"/>
              <w:rPr>
                <w:rFonts w:ascii="宋体" w:hAnsi="宋体"/>
                <w:sz w:val="24"/>
              </w:rPr>
            </w:pPr>
            <w:r>
              <w:rPr>
                <w:rFonts w:hint="eastAsia" w:ascii="宋体" w:hAnsi="宋体"/>
                <w:sz w:val="24"/>
              </w:rPr>
              <w:t>具有专科及以上学历，具有3年及以上物业工程主管岗位经验</w:t>
            </w:r>
          </w:p>
        </w:tc>
      </w:tr>
      <w:tr w14:paraId="5FE8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38AF1EC9">
            <w:pPr>
              <w:spacing w:line="360" w:lineRule="auto"/>
              <w:jc w:val="center"/>
              <w:rPr>
                <w:rFonts w:ascii="宋体" w:hAnsi="宋体"/>
                <w:sz w:val="24"/>
              </w:rPr>
            </w:pPr>
            <w:r>
              <w:rPr>
                <w:rFonts w:hint="eastAsia" w:ascii="宋体" w:hAnsi="宋体"/>
                <w:sz w:val="24"/>
              </w:rPr>
              <w:t>4</w:t>
            </w:r>
          </w:p>
        </w:tc>
        <w:tc>
          <w:tcPr>
            <w:tcW w:w="1559" w:type="dxa"/>
            <w:noWrap w:val="0"/>
            <w:vAlign w:val="top"/>
          </w:tcPr>
          <w:p w14:paraId="3586B010">
            <w:pPr>
              <w:spacing w:line="360" w:lineRule="auto"/>
              <w:jc w:val="center"/>
              <w:rPr>
                <w:rFonts w:ascii="宋体" w:hAnsi="宋体"/>
                <w:sz w:val="24"/>
              </w:rPr>
            </w:pPr>
            <w:r>
              <w:rPr>
                <w:rFonts w:hint="eastAsia" w:ascii="宋体" w:hAnsi="宋体"/>
                <w:sz w:val="24"/>
              </w:rPr>
              <w:t>客服文员</w:t>
            </w:r>
          </w:p>
        </w:tc>
        <w:tc>
          <w:tcPr>
            <w:tcW w:w="5443" w:type="dxa"/>
            <w:noWrap w:val="0"/>
            <w:vAlign w:val="top"/>
          </w:tcPr>
          <w:p w14:paraId="23CF284A">
            <w:pPr>
              <w:spacing w:line="360" w:lineRule="auto"/>
              <w:jc w:val="left"/>
              <w:rPr>
                <w:rFonts w:ascii="宋体" w:hAnsi="宋体"/>
                <w:sz w:val="24"/>
              </w:rPr>
            </w:pPr>
            <w:r>
              <w:rPr>
                <w:rFonts w:hint="eastAsia" w:ascii="宋体" w:hAnsi="宋体"/>
                <w:sz w:val="24"/>
              </w:rPr>
              <w:t>具有专科及以上学历，熟练运用各类办公软件，具有1年及以上类似岗位工作经验</w:t>
            </w:r>
          </w:p>
        </w:tc>
      </w:tr>
      <w:tr w14:paraId="658A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76B4DA87">
            <w:pPr>
              <w:spacing w:line="360" w:lineRule="auto"/>
              <w:jc w:val="center"/>
              <w:rPr>
                <w:rFonts w:ascii="宋体" w:hAnsi="宋体"/>
                <w:sz w:val="24"/>
              </w:rPr>
            </w:pPr>
            <w:r>
              <w:rPr>
                <w:rFonts w:hint="eastAsia" w:ascii="宋体" w:hAnsi="宋体"/>
                <w:sz w:val="24"/>
              </w:rPr>
              <w:t>5</w:t>
            </w:r>
          </w:p>
        </w:tc>
        <w:tc>
          <w:tcPr>
            <w:tcW w:w="1559" w:type="dxa"/>
            <w:noWrap w:val="0"/>
            <w:vAlign w:val="top"/>
          </w:tcPr>
          <w:p w14:paraId="3E9B9589">
            <w:pPr>
              <w:spacing w:line="360" w:lineRule="auto"/>
              <w:jc w:val="center"/>
              <w:rPr>
                <w:rFonts w:ascii="宋体" w:hAnsi="宋体"/>
                <w:sz w:val="24"/>
              </w:rPr>
            </w:pPr>
            <w:r>
              <w:rPr>
                <w:rFonts w:hint="eastAsia" w:ascii="宋体" w:hAnsi="宋体"/>
                <w:sz w:val="24"/>
              </w:rPr>
              <w:t>综合维修</w:t>
            </w:r>
          </w:p>
        </w:tc>
        <w:tc>
          <w:tcPr>
            <w:tcW w:w="5443" w:type="dxa"/>
            <w:noWrap w:val="0"/>
            <w:vAlign w:val="top"/>
          </w:tcPr>
          <w:p w14:paraId="706CF186">
            <w:pPr>
              <w:spacing w:line="360" w:lineRule="auto"/>
              <w:jc w:val="left"/>
              <w:rPr>
                <w:rFonts w:ascii="宋体" w:hAnsi="宋体"/>
                <w:sz w:val="24"/>
              </w:rPr>
            </w:pPr>
            <w:r>
              <w:rPr>
                <w:rFonts w:hint="eastAsia" w:ascii="宋体" w:hAnsi="宋体"/>
                <w:sz w:val="24"/>
              </w:rPr>
              <w:t>年龄1</w:t>
            </w:r>
            <w:r>
              <w:rPr>
                <w:rFonts w:ascii="宋体" w:hAnsi="宋体"/>
                <w:sz w:val="24"/>
              </w:rPr>
              <w:t>8</w:t>
            </w:r>
            <w:r>
              <w:rPr>
                <w:rFonts w:hint="eastAsia" w:ascii="宋体" w:hAnsi="宋体"/>
                <w:sz w:val="24"/>
              </w:rPr>
              <w:t>（包含）</w:t>
            </w:r>
            <w:r>
              <w:rPr>
                <w:rFonts w:ascii="宋体" w:hAnsi="宋体"/>
                <w:sz w:val="24"/>
              </w:rPr>
              <w:t>-55</w:t>
            </w:r>
            <w:r>
              <w:rPr>
                <w:rFonts w:hint="eastAsia" w:ascii="宋体" w:hAnsi="宋体"/>
                <w:sz w:val="24"/>
              </w:rPr>
              <w:t>周岁（包含），具有1年及以上类似工作经验</w:t>
            </w:r>
          </w:p>
        </w:tc>
      </w:tr>
      <w:tr w14:paraId="4CC5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119095A0">
            <w:pPr>
              <w:spacing w:line="360" w:lineRule="auto"/>
              <w:jc w:val="center"/>
              <w:rPr>
                <w:rFonts w:ascii="宋体" w:hAnsi="宋体"/>
                <w:sz w:val="24"/>
              </w:rPr>
            </w:pPr>
            <w:r>
              <w:rPr>
                <w:rFonts w:hint="eastAsia" w:ascii="宋体" w:hAnsi="宋体"/>
                <w:sz w:val="24"/>
              </w:rPr>
              <w:t>6</w:t>
            </w:r>
          </w:p>
        </w:tc>
        <w:tc>
          <w:tcPr>
            <w:tcW w:w="1559" w:type="dxa"/>
            <w:noWrap w:val="0"/>
            <w:vAlign w:val="top"/>
          </w:tcPr>
          <w:p w14:paraId="660DBC26">
            <w:pPr>
              <w:spacing w:line="360" w:lineRule="auto"/>
              <w:jc w:val="center"/>
              <w:rPr>
                <w:rFonts w:ascii="宋体" w:hAnsi="宋体"/>
                <w:sz w:val="24"/>
              </w:rPr>
            </w:pPr>
            <w:r>
              <w:rPr>
                <w:rFonts w:hint="eastAsia" w:ascii="宋体" w:hAnsi="宋体"/>
                <w:sz w:val="24"/>
              </w:rPr>
              <w:t>高压电工</w:t>
            </w:r>
          </w:p>
        </w:tc>
        <w:tc>
          <w:tcPr>
            <w:tcW w:w="5443" w:type="dxa"/>
            <w:noWrap w:val="0"/>
            <w:vAlign w:val="top"/>
          </w:tcPr>
          <w:p w14:paraId="032363AD">
            <w:pPr>
              <w:spacing w:line="360" w:lineRule="auto"/>
              <w:jc w:val="left"/>
              <w:rPr>
                <w:rFonts w:ascii="宋体" w:hAnsi="宋体"/>
                <w:sz w:val="24"/>
              </w:rPr>
            </w:pPr>
            <w:r>
              <w:rPr>
                <w:rFonts w:hint="eastAsia" w:ascii="宋体" w:hAnsi="宋体"/>
                <w:sz w:val="24"/>
              </w:rPr>
              <w:t>年龄1</w:t>
            </w:r>
            <w:r>
              <w:rPr>
                <w:rFonts w:ascii="宋体" w:hAnsi="宋体"/>
                <w:sz w:val="24"/>
              </w:rPr>
              <w:t>8</w:t>
            </w:r>
            <w:r>
              <w:rPr>
                <w:rFonts w:hint="eastAsia" w:ascii="宋体" w:hAnsi="宋体"/>
                <w:sz w:val="24"/>
              </w:rPr>
              <w:t>（包含）</w:t>
            </w:r>
            <w:r>
              <w:rPr>
                <w:rFonts w:ascii="宋体" w:hAnsi="宋体"/>
                <w:sz w:val="24"/>
              </w:rPr>
              <w:t>-55</w:t>
            </w:r>
            <w:r>
              <w:rPr>
                <w:rFonts w:hint="eastAsia" w:ascii="宋体" w:hAnsi="宋体"/>
                <w:sz w:val="24"/>
              </w:rPr>
              <w:t>周岁（包含），持有《高压电工作业证》，具有3年及以上类似工作经验</w:t>
            </w:r>
          </w:p>
        </w:tc>
      </w:tr>
      <w:tr w14:paraId="6F10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4120FF1C">
            <w:pPr>
              <w:spacing w:line="360" w:lineRule="auto"/>
              <w:jc w:val="center"/>
              <w:rPr>
                <w:rFonts w:ascii="宋体" w:hAnsi="宋体"/>
                <w:sz w:val="24"/>
              </w:rPr>
            </w:pPr>
            <w:r>
              <w:rPr>
                <w:rFonts w:hint="eastAsia" w:ascii="宋体" w:hAnsi="宋体"/>
                <w:sz w:val="24"/>
              </w:rPr>
              <w:t>7</w:t>
            </w:r>
          </w:p>
        </w:tc>
        <w:tc>
          <w:tcPr>
            <w:tcW w:w="1559" w:type="dxa"/>
            <w:noWrap w:val="0"/>
            <w:vAlign w:val="top"/>
          </w:tcPr>
          <w:p w14:paraId="0ECAA918">
            <w:pPr>
              <w:spacing w:line="360" w:lineRule="auto"/>
              <w:jc w:val="center"/>
              <w:rPr>
                <w:rFonts w:ascii="宋体" w:hAnsi="宋体"/>
                <w:sz w:val="24"/>
              </w:rPr>
            </w:pPr>
            <w:r>
              <w:rPr>
                <w:rFonts w:hint="eastAsia" w:ascii="宋体" w:hAnsi="宋体"/>
                <w:sz w:val="24"/>
              </w:rPr>
              <w:t>低压电工</w:t>
            </w:r>
          </w:p>
        </w:tc>
        <w:tc>
          <w:tcPr>
            <w:tcW w:w="5443" w:type="dxa"/>
            <w:noWrap w:val="0"/>
            <w:vAlign w:val="top"/>
          </w:tcPr>
          <w:p w14:paraId="78A56367">
            <w:pPr>
              <w:spacing w:line="360" w:lineRule="auto"/>
              <w:jc w:val="left"/>
              <w:rPr>
                <w:rFonts w:ascii="宋体" w:hAnsi="宋体"/>
                <w:sz w:val="24"/>
              </w:rPr>
            </w:pPr>
            <w:r>
              <w:rPr>
                <w:rFonts w:hint="eastAsia" w:ascii="宋体" w:hAnsi="宋体"/>
                <w:sz w:val="24"/>
              </w:rPr>
              <w:t>年龄1</w:t>
            </w:r>
            <w:r>
              <w:rPr>
                <w:rFonts w:ascii="宋体" w:hAnsi="宋体"/>
                <w:sz w:val="24"/>
              </w:rPr>
              <w:t>8</w:t>
            </w:r>
            <w:r>
              <w:rPr>
                <w:rFonts w:hint="eastAsia" w:ascii="宋体" w:hAnsi="宋体"/>
                <w:sz w:val="24"/>
              </w:rPr>
              <w:t>（包含）</w:t>
            </w:r>
            <w:r>
              <w:rPr>
                <w:rFonts w:ascii="宋体" w:hAnsi="宋体"/>
                <w:sz w:val="24"/>
              </w:rPr>
              <w:t>-</w:t>
            </w:r>
            <w:r>
              <w:rPr>
                <w:rFonts w:hint="eastAsia" w:ascii="宋体" w:hAnsi="宋体"/>
                <w:sz w:val="24"/>
              </w:rPr>
              <w:t>5</w:t>
            </w:r>
            <w:r>
              <w:rPr>
                <w:rFonts w:ascii="宋体" w:hAnsi="宋体"/>
                <w:sz w:val="24"/>
              </w:rPr>
              <w:t>5</w:t>
            </w:r>
            <w:r>
              <w:rPr>
                <w:rFonts w:hint="eastAsia" w:ascii="宋体" w:hAnsi="宋体"/>
                <w:sz w:val="24"/>
              </w:rPr>
              <w:t>周岁（包含），持有《低压电工作业证》，具有1年及以上类似工作经验</w:t>
            </w:r>
          </w:p>
        </w:tc>
      </w:tr>
      <w:tr w14:paraId="5A89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2D98C9CE">
            <w:pPr>
              <w:spacing w:line="360" w:lineRule="auto"/>
              <w:jc w:val="center"/>
              <w:rPr>
                <w:rFonts w:ascii="宋体" w:hAnsi="宋体"/>
                <w:sz w:val="24"/>
              </w:rPr>
            </w:pPr>
            <w:r>
              <w:rPr>
                <w:rFonts w:hint="eastAsia" w:ascii="宋体" w:hAnsi="宋体"/>
                <w:sz w:val="24"/>
              </w:rPr>
              <w:t>8</w:t>
            </w:r>
          </w:p>
        </w:tc>
        <w:tc>
          <w:tcPr>
            <w:tcW w:w="1559" w:type="dxa"/>
            <w:noWrap w:val="0"/>
            <w:vAlign w:val="top"/>
          </w:tcPr>
          <w:p w14:paraId="2488596B">
            <w:pPr>
              <w:spacing w:line="360" w:lineRule="auto"/>
              <w:jc w:val="center"/>
              <w:rPr>
                <w:rFonts w:ascii="宋体" w:hAnsi="宋体"/>
                <w:sz w:val="24"/>
              </w:rPr>
            </w:pPr>
            <w:r>
              <w:rPr>
                <w:rFonts w:hint="eastAsia" w:ascii="宋体" w:hAnsi="宋体"/>
                <w:sz w:val="24"/>
              </w:rPr>
              <w:t>保洁</w:t>
            </w:r>
          </w:p>
        </w:tc>
        <w:tc>
          <w:tcPr>
            <w:tcW w:w="5443" w:type="dxa"/>
            <w:noWrap w:val="0"/>
            <w:vAlign w:val="top"/>
          </w:tcPr>
          <w:p w14:paraId="482985B3">
            <w:pPr>
              <w:spacing w:line="360" w:lineRule="auto"/>
              <w:jc w:val="left"/>
              <w:rPr>
                <w:rFonts w:ascii="宋体" w:hAnsi="宋体"/>
                <w:sz w:val="24"/>
              </w:rPr>
            </w:pPr>
            <w:r>
              <w:rPr>
                <w:rFonts w:hint="eastAsia" w:ascii="宋体" w:hAnsi="宋体"/>
                <w:sz w:val="24"/>
              </w:rPr>
              <w:t>年龄1</w:t>
            </w:r>
            <w:r>
              <w:rPr>
                <w:rFonts w:ascii="宋体" w:hAnsi="宋体"/>
                <w:sz w:val="24"/>
              </w:rPr>
              <w:t>8</w:t>
            </w:r>
            <w:r>
              <w:rPr>
                <w:rFonts w:hint="eastAsia" w:ascii="宋体" w:hAnsi="宋体"/>
                <w:sz w:val="24"/>
              </w:rPr>
              <w:t>（包含）</w:t>
            </w:r>
            <w:r>
              <w:rPr>
                <w:rFonts w:ascii="宋体" w:hAnsi="宋体"/>
                <w:sz w:val="24"/>
              </w:rPr>
              <w:t>-55</w:t>
            </w:r>
            <w:r>
              <w:rPr>
                <w:rFonts w:hint="eastAsia" w:ascii="宋体" w:hAnsi="宋体"/>
                <w:sz w:val="24"/>
              </w:rPr>
              <w:t>周岁（包含）</w:t>
            </w:r>
            <w:r>
              <w:rPr>
                <w:rFonts w:ascii="宋体" w:hAnsi="宋体"/>
                <w:sz w:val="24"/>
              </w:rPr>
              <w:t xml:space="preserve"> </w:t>
            </w:r>
          </w:p>
        </w:tc>
      </w:tr>
      <w:tr w14:paraId="486F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35EFA6A9">
            <w:pPr>
              <w:spacing w:line="360" w:lineRule="auto"/>
              <w:jc w:val="center"/>
              <w:rPr>
                <w:rFonts w:ascii="宋体" w:hAnsi="宋体"/>
                <w:sz w:val="24"/>
              </w:rPr>
            </w:pPr>
            <w:r>
              <w:rPr>
                <w:rFonts w:hint="eastAsia" w:ascii="宋体" w:hAnsi="宋体"/>
                <w:sz w:val="24"/>
              </w:rPr>
              <w:t>9</w:t>
            </w:r>
          </w:p>
        </w:tc>
        <w:tc>
          <w:tcPr>
            <w:tcW w:w="1559" w:type="dxa"/>
            <w:noWrap w:val="0"/>
            <w:vAlign w:val="top"/>
          </w:tcPr>
          <w:p w14:paraId="4BB24FD1">
            <w:pPr>
              <w:spacing w:line="360" w:lineRule="auto"/>
              <w:jc w:val="center"/>
              <w:rPr>
                <w:rFonts w:ascii="宋体" w:hAnsi="宋体"/>
                <w:sz w:val="24"/>
              </w:rPr>
            </w:pPr>
            <w:r>
              <w:rPr>
                <w:rFonts w:hint="eastAsia" w:ascii="宋体" w:hAnsi="宋体"/>
                <w:sz w:val="24"/>
              </w:rPr>
              <w:t>绿化</w:t>
            </w:r>
          </w:p>
        </w:tc>
        <w:tc>
          <w:tcPr>
            <w:tcW w:w="5443" w:type="dxa"/>
            <w:noWrap w:val="0"/>
            <w:vAlign w:val="top"/>
          </w:tcPr>
          <w:p w14:paraId="6C74B6F6">
            <w:pPr>
              <w:spacing w:line="360" w:lineRule="auto"/>
              <w:jc w:val="left"/>
              <w:rPr>
                <w:rFonts w:ascii="宋体" w:hAnsi="宋体"/>
                <w:sz w:val="24"/>
              </w:rPr>
            </w:pPr>
            <w:r>
              <w:rPr>
                <w:rFonts w:hint="eastAsia" w:ascii="宋体" w:hAnsi="宋体"/>
                <w:sz w:val="24"/>
              </w:rPr>
              <w:t>年龄1</w:t>
            </w:r>
            <w:r>
              <w:rPr>
                <w:rFonts w:ascii="宋体" w:hAnsi="宋体"/>
                <w:sz w:val="24"/>
              </w:rPr>
              <w:t>8</w:t>
            </w:r>
            <w:r>
              <w:rPr>
                <w:rFonts w:hint="eastAsia" w:ascii="宋体" w:hAnsi="宋体"/>
                <w:sz w:val="24"/>
              </w:rPr>
              <w:t>（包含）</w:t>
            </w:r>
            <w:r>
              <w:rPr>
                <w:rFonts w:ascii="宋体" w:hAnsi="宋体"/>
                <w:sz w:val="24"/>
              </w:rPr>
              <w:t>-55</w:t>
            </w:r>
            <w:r>
              <w:rPr>
                <w:rFonts w:hint="eastAsia" w:ascii="宋体" w:hAnsi="宋体"/>
                <w:sz w:val="24"/>
              </w:rPr>
              <w:t>周岁（包含），具有</w:t>
            </w:r>
            <w:r>
              <w:rPr>
                <w:rFonts w:ascii="宋体" w:hAnsi="宋体"/>
                <w:sz w:val="24"/>
              </w:rPr>
              <w:t>1</w:t>
            </w:r>
            <w:r>
              <w:rPr>
                <w:rFonts w:hint="eastAsia" w:ascii="宋体" w:hAnsi="宋体"/>
                <w:sz w:val="24"/>
              </w:rPr>
              <w:t>年及以上类似工作经验</w:t>
            </w:r>
          </w:p>
        </w:tc>
      </w:tr>
    </w:tbl>
    <w:p w14:paraId="3D90E64D">
      <w:pPr>
        <w:spacing w:line="360" w:lineRule="auto"/>
        <w:rPr>
          <w:rFonts w:ascii="宋体" w:hAnsi="宋体"/>
          <w:sz w:val="24"/>
        </w:rPr>
      </w:pPr>
      <w:r>
        <w:rPr>
          <w:rFonts w:ascii="宋体" w:hAnsi="宋体"/>
          <w:sz w:val="24"/>
        </w:rPr>
        <w:t>2、</w:t>
      </w:r>
      <w:r>
        <w:rPr>
          <w:rFonts w:hint="eastAsia" w:ascii="宋体" w:hAnsi="宋体"/>
          <w:sz w:val="24"/>
        </w:rPr>
        <w:t>具体岗位配置</w:t>
      </w:r>
    </w:p>
    <w:p w14:paraId="2F589182">
      <w:pPr>
        <w:spacing w:line="360" w:lineRule="auto"/>
        <w:rPr>
          <w:rFonts w:ascii="宋体" w:hAnsi="宋体"/>
          <w:sz w:val="24"/>
        </w:rPr>
      </w:pPr>
      <w:r>
        <w:rPr>
          <w:rFonts w:hint="eastAsia" w:ascii="宋体" w:hAnsi="宋体"/>
          <w:sz w:val="24"/>
        </w:rPr>
        <w:t>1、项目负责人员1岗</w:t>
      </w:r>
    </w:p>
    <w:p w14:paraId="6E09908A">
      <w:pPr>
        <w:spacing w:line="360" w:lineRule="auto"/>
        <w:rPr>
          <w:rFonts w:ascii="宋体" w:hAnsi="宋体"/>
          <w:sz w:val="24"/>
        </w:rPr>
      </w:pPr>
      <w:r>
        <w:rPr>
          <w:rFonts w:hint="eastAsia" w:ascii="宋体" w:hAnsi="宋体"/>
          <w:sz w:val="24"/>
        </w:rPr>
        <w:t>2、综合主管人员1,岗</w:t>
      </w:r>
    </w:p>
    <w:p w14:paraId="41F98D3E">
      <w:pPr>
        <w:spacing w:line="360" w:lineRule="auto"/>
        <w:rPr>
          <w:rFonts w:ascii="宋体" w:hAnsi="宋体"/>
          <w:sz w:val="24"/>
        </w:rPr>
      </w:pPr>
      <w:r>
        <w:rPr>
          <w:rFonts w:hint="eastAsia" w:ascii="宋体" w:hAnsi="宋体"/>
          <w:sz w:val="24"/>
        </w:rPr>
        <w:t>3、客服文员1岗</w:t>
      </w:r>
    </w:p>
    <w:p w14:paraId="7853714B">
      <w:pPr>
        <w:spacing w:line="360" w:lineRule="auto"/>
        <w:rPr>
          <w:rFonts w:ascii="宋体" w:hAnsi="宋体"/>
          <w:sz w:val="24"/>
        </w:rPr>
      </w:pPr>
      <w:r>
        <w:rPr>
          <w:rFonts w:hint="eastAsia" w:ascii="宋体" w:hAnsi="宋体"/>
          <w:sz w:val="24"/>
        </w:rPr>
        <w:t>4、绿化人员2岗</w:t>
      </w:r>
    </w:p>
    <w:p w14:paraId="692F963F">
      <w:pPr>
        <w:spacing w:line="360" w:lineRule="auto"/>
        <w:rPr>
          <w:rFonts w:ascii="宋体" w:hAnsi="宋体"/>
          <w:sz w:val="24"/>
        </w:rPr>
      </w:pPr>
      <w:r>
        <w:rPr>
          <w:rFonts w:ascii="宋体" w:hAnsi="宋体"/>
          <w:sz w:val="24"/>
        </w:rPr>
        <w:t>5、</w:t>
      </w:r>
      <w:r>
        <w:rPr>
          <w:rFonts w:hint="eastAsia" w:ascii="宋体" w:hAnsi="宋体"/>
          <w:sz w:val="24"/>
        </w:rPr>
        <w:t>维修岗位为7</w:t>
      </w:r>
      <w:r>
        <w:rPr>
          <w:rFonts w:ascii="宋体" w:hAnsi="宋体"/>
          <w:sz w:val="24"/>
        </w:rPr>
        <w:t>*24</w:t>
      </w:r>
      <w:r>
        <w:rPr>
          <w:rFonts w:hint="eastAsia" w:ascii="宋体" w:hAnsi="宋体"/>
          <w:sz w:val="24"/>
        </w:rPr>
        <w:t>小时岗，白班在岗人数不低于</w:t>
      </w:r>
      <w:r>
        <w:rPr>
          <w:rFonts w:ascii="宋体" w:hAnsi="宋体"/>
          <w:sz w:val="24"/>
        </w:rPr>
        <w:t>8</w:t>
      </w:r>
      <w:r>
        <w:rPr>
          <w:rFonts w:hint="eastAsia" w:ascii="宋体" w:hAnsi="宋体"/>
          <w:sz w:val="24"/>
        </w:rPr>
        <w:t>人（1名维修管理人员、2名以上电工、5名以上综合维修），夜班在岗人数不低于2人（一名电工、一名综合维修）。共计1</w:t>
      </w:r>
      <w:r>
        <w:rPr>
          <w:rFonts w:ascii="宋体" w:hAnsi="宋体"/>
          <w:sz w:val="24"/>
        </w:rPr>
        <w:t>0</w:t>
      </w:r>
      <w:r>
        <w:rPr>
          <w:rFonts w:hint="eastAsia" w:ascii="宋体" w:hAnsi="宋体"/>
          <w:sz w:val="24"/>
        </w:rPr>
        <w:t>个岗位。</w:t>
      </w:r>
    </w:p>
    <w:p w14:paraId="36AC39FB">
      <w:pPr>
        <w:spacing w:line="360" w:lineRule="auto"/>
        <w:rPr>
          <w:rFonts w:ascii="宋体" w:hAnsi="宋体"/>
          <w:sz w:val="24"/>
        </w:rPr>
      </w:pPr>
      <w:r>
        <w:rPr>
          <w:rFonts w:ascii="宋体" w:hAnsi="宋体"/>
          <w:sz w:val="24"/>
        </w:rPr>
        <w:t>6、</w:t>
      </w:r>
      <w:r>
        <w:rPr>
          <w:rFonts w:hint="eastAsia" w:ascii="宋体" w:hAnsi="宋体"/>
          <w:sz w:val="24"/>
        </w:rPr>
        <w:t>保洁岗位工作时间:</w:t>
      </w:r>
      <w:r>
        <w:rPr>
          <w:rFonts w:ascii="宋体" w:hAnsi="宋体"/>
          <w:sz w:val="24"/>
        </w:rPr>
        <w:t>6:30-22:00(</w:t>
      </w:r>
      <w:r>
        <w:rPr>
          <w:rFonts w:hint="eastAsia" w:ascii="宋体" w:hAnsi="宋体"/>
          <w:sz w:val="24"/>
        </w:rPr>
        <w:t>每岗</w:t>
      </w:r>
      <w:r>
        <w:rPr>
          <w:rFonts w:ascii="宋体" w:hAnsi="宋体"/>
          <w:sz w:val="24"/>
        </w:rPr>
        <w:t>8</w:t>
      </w:r>
      <w:r>
        <w:rPr>
          <w:rFonts w:hint="eastAsia" w:ascii="宋体" w:hAnsi="宋体"/>
          <w:sz w:val="24"/>
        </w:rPr>
        <w:t>小时，具体工作时间因工作区域有所不同</w:t>
      </w:r>
      <w:r>
        <w:rPr>
          <w:rFonts w:ascii="宋体" w:hAnsi="宋体"/>
          <w:sz w:val="24"/>
        </w:rPr>
        <w:t>)，</w:t>
      </w:r>
      <w:r>
        <w:rPr>
          <w:rFonts w:hint="eastAsia" w:ascii="宋体" w:hAnsi="宋体"/>
          <w:sz w:val="24"/>
        </w:rPr>
        <w:t>共计3</w:t>
      </w:r>
      <w:r>
        <w:rPr>
          <w:rFonts w:ascii="宋体" w:hAnsi="宋体"/>
          <w:sz w:val="24"/>
        </w:rPr>
        <w:t>4</w:t>
      </w:r>
      <w:r>
        <w:rPr>
          <w:rFonts w:hint="eastAsia" w:ascii="宋体" w:hAnsi="宋体"/>
          <w:sz w:val="24"/>
        </w:rPr>
        <w:t>个岗位</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2409"/>
        <w:gridCol w:w="3317"/>
      </w:tblGrid>
      <w:tr w14:paraId="6AA5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A366B27">
            <w:pPr>
              <w:spacing w:line="360" w:lineRule="auto"/>
              <w:rPr>
                <w:rFonts w:ascii="宋体" w:hAnsi="宋体"/>
                <w:sz w:val="24"/>
              </w:rPr>
            </w:pPr>
            <w:r>
              <w:rPr>
                <w:rFonts w:hint="eastAsia" w:ascii="宋体" w:hAnsi="宋体"/>
                <w:sz w:val="24"/>
              </w:rPr>
              <w:t>序号</w:t>
            </w:r>
          </w:p>
        </w:tc>
        <w:tc>
          <w:tcPr>
            <w:tcW w:w="1985" w:type="dxa"/>
            <w:vMerge w:val="restart"/>
            <w:noWrap w:val="0"/>
            <w:vAlign w:val="top"/>
          </w:tcPr>
          <w:p w14:paraId="0102F329">
            <w:pPr>
              <w:spacing w:line="360" w:lineRule="auto"/>
              <w:rPr>
                <w:rFonts w:ascii="宋体" w:hAnsi="宋体"/>
                <w:sz w:val="24"/>
              </w:rPr>
            </w:pPr>
            <w:r>
              <w:rPr>
                <w:rFonts w:ascii="宋体" w:hAnsi="宋体"/>
                <w:sz w:val="24"/>
              </w:rPr>
              <w:br w:type="textWrapping"/>
            </w:r>
            <w:r>
              <w:rPr>
                <w:rFonts w:ascii="宋体" w:hAnsi="宋体"/>
                <w:sz w:val="24"/>
              </w:rPr>
              <w:br w:type="textWrapping"/>
            </w:r>
            <w:r>
              <w:rPr>
                <w:rFonts w:ascii="宋体" w:hAnsi="宋体"/>
                <w:sz w:val="24"/>
              </w:rPr>
              <w:br w:type="textWrapping"/>
            </w:r>
            <w:r>
              <w:rPr>
                <w:rFonts w:ascii="宋体" w:hAnsi="宋体"/>
                <w:sz w:val="24"/>
              </w:rPr>
              <w:br w:type="textWrapping"/>
            </w:r>
            <w:r>
              <w:rPr>
                <w:rFonts w:ascii="宋体" w:hAnsi="宋体"/>
                <w:sz w:val="24"/>
              </w:rPr>
              <w:br w:type="textWrapping"/>
            </w:r>
            <w:r>
              <w:rPr>
                <w:rFonts w:ascii="宋体" w:hAnsi="宋体"/>
                <w:sz w:val="24"/>
              </w:rPr>
              <w:br w:type="textWrapping"/>
            </w:r>
            <w:r>
              <w:rPr>
                <w:rFonts w:hint="eastAsia" w:ascii="宋体" w:hAnsi="宋体"/>
                <w:sz w:val="24"/>
              </w:rPr>
              <w:t>室内区域</w:t>
            </w:r>
          </w:p>
        </w:tc>
        <w:tc>
          <w:tcPr>
            <w:tcW w:w="2409" w:type="dxa"/>
            <w:noWrap w:val="0"/>
            <w:vAlign w:val="top"/>
          </w:tcPr>
          <w:p w14:paraId="06FE4882">
            <w:pPr>
              <w:spacing w:line="360" w:lineRule="auto"/>
              <w:rPr>
                <w:rFonts w:ascii="宋体" w:hAnsi="宋体"/>
                <w:sz w:val="24"/>
              </w:rPr>
            </w:pPr>
            <w:r>
              <w:rPr>
                <w:rFonts w:hint="eastAsia" w:ascii="宋体" w:hAnsi="宋体"/>
                <w:sz w:val="24"/>
              </w:rPr>
              <w:t>岗位区域</w:t>
            </w:r>
          </w:p>
        </w:tc>
        <w:tc>
          <w:tcPr>
            <w:tcW w:w="3317" w:type="dxa"/>
            <w:noWrap w:val="0"/>
            <w:vAlign w:val="top"/>
          </w:tcPr>
          <w:p w14:paraId="01A69EAD">
            <w:pPr>
              <w:spacing w:line="360" w:lineRule="auto"/>
              <w:rPr>
                <w:rFonts w:ascii="宋体" w:hAnsi="宋体"/>
                <w:sz w:val="24"/>
              </w:rPr>
            </w:pPr>
            <w:r>
              <w:rPr>
                <w:rFonts w:hint="eastAsia" w:ascii="宋体" w:hAnsi="宋体"/>
                <w:sz w:val="24"/>
              </w:rPr>
              <w:t>岗位数量</w:t>
            </w:r>
          </w:p>
        </w:tc>
      </w:tr>
      <w:tr w14:paraId="617E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5009F39">
            <w:pPr>
              <w:spacing w:line="360" w:lineRule="auto"/>
              <w:rPr>
                <w:rFonts w:ascii="宋体" w:hAnsi="宋体"/>
                <w:sz w:val="24"/>
              </w:rPr>
            </w:pPr>
            <w:r>
              <w:rPr>
                <w:rFonts w:hint="eastAsia" w:ascii="宋体" w:hAnsi="宋体"/>
                <w:sz w:val="24"/>
              </w:rPr>
              <w:t>1</w:t>
            </w:r>
          </w:p>
        </w:tc>
        <w:tc>
          <w:tcPr>
            <w:tcW w:w="1985" w:type="dxa"/>
            <w:vMerge w:val="continue"/>
            <w:noWrap w:val="0"/>
            <w:vAlign w:val="top"/>
          </w:tcPr>
          <w:p w14:paraId="26CC9F9A">
            <w:pPr>
              <w:spacing w:line="360" w:lineRule="auto"/>
              <w:rPr>
                <w:rFonts w:ascii="宋体" w:hAnsi="宋体"/>
                <w:sz w:val="24"/>
              </w:rPr>
            </w:pPr>
          </w:p>
        </w:tc>
        <w:tc>
          <w:tcPr>
            <w:tcW w:w="2409" w:type="dxa"/>
            <w:noWrap w:val="0"/>
            <w:vAlign w:val="top"/>
          </w:tcPr>
          <w:p w14:paraId="351748E3">
            <w:pPr>
              <w:spacing w:line="360" w:lineRule="auto"/>
              <w:rPr>
                <w:rFonts w:ascii="宋体" w:hAnsi="宋体"/>
                <w:sz w:val="24"/>
              </w:rPr>
            </w:pPr>
            <w:r>
              <w:rPr>
                <w:rFonts w:hint="eastAsia" w:ascii="宋体" w:hAnsi="宋体"/>
                <w:sz w:val="24"/>
              </w:rPr>
              <w:t>S</w:t>
            </w:r>
            <w:r>
              <w:rPr>
                <w:rFonts w:ascii="宋体" w:hAnsi="宋体"/>
                <w:sz w:val="24"/>
              </w:rPr>
              <w:t>1</w:t>
            </w:r>
            <w:r>
              <w:rPr>
                <w:rFonts w:hint="eastAsia" w:ascii="宋体" w:hAnsi="宋体"/>
                <w:sz w:val="24"/>
              </w:rPr>
              <w:t>楼</w:t>
            </w:r>
          </w:p>
        </w:tc>
        <w:tc>
          <w:tcPr>
            <w:tcW w:w="3317" w:type="dxa"/>
            <w:noWrap w:val="0"/>
            <w:vAlign w:val="top"/>
          </w:tcPr>
          <w:p w14:paraId="40FA48A8">
            <w:pPr>
              <w:spacing w:line="360" w:lineRule="auto"/>
              <w:rPr>
                <w:rFonts w:ascii="宋体" w:hAnsi="宋体"/>
                <w:sz w:val="24"/>
              </w:rPr>
            </w:pPr>
            <w:r>
              <w:rPr>
                <w:rFonts w:hint="eastAsia" w:ascii="宋体" w:hAnsi="宋体"/>
                <w:sz w:val="24"/>
              </w:rPr>
              <w:t>4岗</w:t>
            </w:r>
          </w:p>
        </w:tc>
      </w:tr>
      <w:tr w14:paraId="4416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97DC08E">
            <w:pPr>
              <w:spacing w:line="360" w:lineRule="auto"/>
              <w:rPr>
                <w:rFonts w:ascii="宋体" w:hAnsi="宋体"/>
                <w:sz w:val="24"/>
              </w:rPr>
            </w:pPr>
            <w:r>
              <w:rPr>
                <w:rFonts w:hint="eastAsia" w:ascii="宋体" w:hAnsi="宋体"/>
                <w:sz w:val="24"/>
              </w:rPr>
              <w:t>2</w:t>
            </w:r>
          </w:p>
        </w:tc>
        <w:tc>
          <w:tcPr>
            <w:tcW w:w="1985" w:type="dxa"/>
            <w:vMerge w:val="continue"/>
            <w:noWrap w:val="0"/>
            <w:vAlign w:val="top"/>
          </w:tcPr>
          <w:p w14:paraId="1A1E6EDE">
            <w:pPr>
              <w:spacing w:line="360" w:lineRule="auto"/>
              <w:rPr>
                <w:rFonts w:ascii="宋体" w:hAnsi="宋体"/>
                <w:sz w:val="24"/>
              </w:rPr>
            </w:pPr>
          </w:p>
        </w:tc>
        <w:tc>
          <w:tcPr>
            <w:tcW w:w="2409" w:type="dxa"/>
            <w:noWrap w:val="0"/>
            <w:vAlign w:val="top"/>
          </w:tcPr>
          <w:p w14:paraId="5844DF6E">
            <w:pPr>
              <w:spacing w:line="360" w:lineRule="auto"/>
              <w:rPr>
                <w:rFonts w:ascii="宋体" w:hAnsi="宋体"/>
                <w:sz w:val="24"/>
              </w:rPr>
            </w:pPr>
            <w:r>
              <w:rPr>
                <w:rFonts w:hint="eastAsia" w:ascii="宋体" w:hAnsi="宋体"/>
                <w:sz w:val="24"/>
              </w:rPr>
              <w:t>S</w:t>
            </w:r>
            <w:r>
              <w:rPr>
                <w:rFonts w:ascii="宋体" w:hAnsi="宋体"/>
                <w:sz w:val="24"/>
              </w:rPr>
              <w:t>2</w:t>
            </w:r>
            <w:r>
              <w:rPr>
                <w:rFonts w:hint="eastAsia" w:ascii="宋体" w:hAnsi="宋体"/>
                <w:sz w:val="24"/>
              </w:rPr>
              <w:t>楼</w:t>
            </w:r>
          </w:p>
        </w:tc>
        <w:tc>
          <w:tcPr>
            <w:tcW w:w="3317" w:type="dxa"/>
            <w:noWrap w:val="0"/>
            <w:vAlign w:val="top"/>
          </w:tcPr>
          <w:p w14:paraId="09F8FEC2">
            <w:pPr>
              <w:spacing w:line="360" w:lineRule="auto"/>
              <w:rPr>
                <w:rFonts w:ascii="宋体" w:hAnsi="宋体"/>
                <w:sz w:val="24"/>
              </w:rPr>
            </w:pPr>
            <w:r>
              <w:rPr>
                <w:rFonts w:hint="eastAsia" w:ascii="宋体" w:hAnsi="宋体"/>
                <w:sz w:val="24"/>
              </w:rPr>
              <w:t>3岗</w:t>
            </w:r>
          </w:p>
        </w:tc>
      </w:tr>
      <w:tr w14:paraId="28A3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030BA675">
            <w:pPr>
              <w:spacing w:line="360" w:lineRule="auto"/>
              <w:rPr>
                <w:rFonts w:ascii="宋体" w:hAnsi="宋体"/>
                <w:sz w:val="24"/>
              </w:rPr>
            </w:pPr>
            <w:r>
              <w:rPr>
                <w:rFonts w:hint="eastAsia" w:ascii="宋体" w:hAnsi="宋体"/>
                <w:sz w:val="24"/>
              </w:rPr>
              <w:t>3</w:t>
            </w:r>
          </w:p>
        </w:tc>
        <w:tc>
          <w:tcPr>
            <w:tcW w:w="1985" w:type="dxa"/>
            <w:vMerge w:val="continue"/>
            <w:noWrap w:val="0"/>
            <w:vAlign w:val="top"/>
          </w:tcPr>
          <w:p w14:paraId="3DD51A20">
            <w:pPr>
              <w:spacing w:line="360" w:lineRule="auto"/>
              <w:rPr>
                <w:rFonts w:ascii="宋体" w:hAnsi="宋体"/>
                <w:sz w:val="24"/>
              </w:rPr>
            </w:pPr>
          </w:p>
        </w:tc>
        <w:tc>
          <w:tcPr>
            <w:tcW w:w="2409" w:type="dxa"/>
            <w:noWrap w:val="0"/>
            <w:vAlign w:val="top"/>
          </w:tcPr>
          <w:p w14:paraId="385032AA">
            <w:pPr>
              <w:spacing w:line="360" w:lineRule="auto"/>
              <w:rPr>
                <w:rFonts w:ascii="宋体" w:hAnsi="宋体"/>
                <w:sz w:val="24"/>
              </w:rPr>
            </w:pPr>
            <w:r>
              <w:rPr>
                <w:rFonts w:hint="eastAsia" w:ascii="宋体" w:hAnsi="宋体"/>
                <w:sz w:val="24"/>
              </w:rPr>
              <w:t>S</w:t>
            </w:r>
            <w:r>
              <w:rPr>
                <w:rFonts w:ascii="宋体" w:hAnsi="宋体"/>
                <w:sz w:val="24"/>
              </w:rPr>
              <w:t>4</w:t>
            </w:r>
            <w:r>
              <w:rPr>
                <w:rFonts w:hint="eastAsia" w:ascii="宋体" w:hAnsi="宋体"/>
                <w:sz w:val="24"/>
              </w:rPr>
              <w:t>楼</w:t>
            </w:r>
          </w:p>
        </w:tc>
        <w:tc>
          <w:tcPr>
            <w:tcW w:w="3317" w:type="dxa"/>
            <w:noWrap w:val="0"/>
            <w:vAlign w:val="top"/>
          </w:tcPr>
          <w:p w14:paraId="3FD4C1A1">
            <w:pPr>
              <w:spacing w:line="360" w:lineRule="auto"/>
              <w:rPr>
                <w:rFonts w:ascii="宋体" w:hAnsi="宋体"/>
                <w:sz w:val="24"/>
              </w:rPr>
            </w:pPr>
            <w:r>
              <w:rPr>
                <w:rFonts w:ascii="宋体" w:hAnsi="宋体"/>
                <w:sz w:val="24"/>
              </w:rPr>
              <w:t>3</w:t>
            </w:r>
            <w:r>
              <w:rPr>
                <w:rFonts w:hint="eastAsia" w:ascii="宋体" w:hAnsi="宋体"/>
                <w:sz w:val="24"/>
              </w:rPr>
              <w:t>岗</w:t>
            </w:r>
          </w:p>
        </w:tc>
      </w:tr>
      <w:tr w14:paraId="23FF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3725128">
            <w:pPr>
              <w:spacing w:line="360" w:lineRule="auto"/>
              <w:rPr>
                <w:rFonts w:ascii="宋体" w:hAnsi="宋体"/>
                <w:sz w:val="24"/>
              </w:rPr>
            </w:pPr>
            <w:r>
              <w:rPr>
                <w:rFonts w:hint="eastAsia" w:ascii="宋体" w:hAnsi="宋体"/>
                <w:sz w:val="24"/>
              </w:rPr>
              <w:t>4</w:t>
            </w:r>
          </w:p>
        </w:tc>
        <w:tc>
          <w:tcPr>
            <w:tcW w:w="1985" w:type="dxa"/>
            <w:vMerge w:val="continue"/>
            <w:noWrap w:val="0"/>
            <w:vAlign w:val="top"/>
          </w:tcPr>
          <w:p w14:paraId="7859CD72">
            <w:pPr>
              <w:spacing w:line="360" w:lineRule="auto"/>
              <w:rPr>
                <w:rFonts w:ascii="宋体" w:hAnsi="宋体"/>
                <w:sz w:val="24"/>
              </w:rPr>
            </w:pPr>
          </w:p>
        </w:tc>
        <w:tc>
          <w:tcPr>
            <w:tcW w:w="2409" w:type="dxa"/>
            <w:noWrap w:val="0"/>
            <w:vAlign w:val="top"/>
          </w:tcPr>
          <w:p w14:paraId="2AFD0B47">
            <w:pPr>
              <w:spacing w:line="360" w:lineRule="auto"/>
              <w:rPr>
                <w:rFonts w:ascii="宋体" w:hAnsi="宋体"/>
                <w:sz w:val="24"/>
              </w:rPr>
            </w:pPr>
            <w:r>
              <w:rPr>
                <w:rFonts w:hint="eastAsia" w:ascii="宋体" w:hAnsi="宋体"/>
                <w:sz w:val="24"/>
              </w:rPr>
              <w:t>S</w:t>
            </w:r>
            <w:r>
              <w:rPr>
                <w:rFonts w:ascii="宋体" w:hAnsi="宋体"/>
                <w:sz w:val="24"/>
              </w:rPr>
              <w:t>6</w:t>
            </w:r>
            <w:r>
              <w:rPr>
                <w:rFonts w:hint="eastAsia" w:ascii="宋体" w:hAnsi="宋体"/>
                <w:sz w:val="24"/>
              </w:rPr>
              <w:t>楼</w:t>
            </w:r>
          </w:p>
        </w:tc>
        <w:tc>
          <w:tcPr>
            <w:tcW w:w="3317" w:type="dxa"/>
            <w:noWrap w:val="0"/>
            <w:vAlign w:val="top"/>
          </w:tcPr>
          <w:p w14:paraId="068CA4E6">
            <w:pPr>
              <w:spacing w:line="360" w:lineRule="auto"/>
              <w:rPr>
                <w:rFonts w:ascii="宋体" w:hAnsi="宋体"/>
                <w:sz w:val="24"/>
              </w:rPr>
            </w:pPr>
            <w:r>
              <w:rPr>
                <w:rFonts w:hint="eastAsia" w:ascii="宋体" w:hAnsi="宋体"/>
                <w:sz w:val="24"/>
              </w:rPr>
              <w:t>1岗</w:t>
            </w:r>
          </w:p>
        </w:tc>
      </w:tr>
      <w:tr w14:paraId="0458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3812D61D">
            <w:pPr>
              <w:spacing w:line="360" w:lineRule="auto"/>
              <w:rPr>
                <w:rFonts w:ascii="宋体" w:hAnsi="宋体"/>
                <w:sz w:val="24"/>
              </w:rPr>
            </w:pPr>
            <w:r>
              <w:rPr>
                <w:rFonts w:hint="eastAsia" w:ascii="宋体" w:hAnsi="宋体"/>
                <w:sz w:val="24"/>
              </w:rPr>
              <w:t>5</w:t>
            </w:r>
          </w:p>
        </w:tc>
        <w:tc>
          <w:tcPr>
            <w:tcW w:w="1985" w:type="dxa"/>
            <w:vMerge w:val="continue"/>
            <w:noWrap w:val="0"/>
            <w:vAlign w:val="top"/>
          </w:tcPr>
          <w:p w14:paraId="3690A844">
            <w:pPr>
              <w:spacing w:line="360" w:lineRule="auto"/>
              <w:rPr>
                <w:rFonts w:ascii="宋体" w:hAnsi="宋体"/>
                <w:sz w:val="24"/>
              </w:rPr>
            </w:pPr>
          </w:p>
        </w:tc>
        <w:tc>
          <w:tcPr>
            <w:tcW w:w="2409" w:type="dxa"/>
            <w:noWrap w:val="0"/>
            <w:vAlign w:val="top"/>
          </w:tcPr>
          <w:p w14:paraId="41903A48">
            <w:pPr>
              <w:spacing w:line="360" w:lineRule="auto"/>
              <w:rPr>
                <w:rFonts w:ascii="宋体" w:hAnsi="宋体"/>
                <w:sz w:val="24"/>
              </w:rPr>
            </w:pPr>
            <w:r>
              <w:rPr>
                <w:rFonts w:ascii="宋体" w:hAnsi="宋体"/>
                <w:sz w:val="24"/>
              </w:rPr>
              <w:t>S10</w:t>
            </w:r>
            <w:r>
              <w:rPr>
                <w:rFonts w:hint="eastAsia" w:ascii="宋体" w:hAnsi="宋体"/>
                <w:sz w:val="24"/>
              </w:rPr>
              <w:t>楼</w:t>
            </w:r>
          </w:p>
        </w:tc>
        <w:tc>
          <w:tcPr>
            <w:tcW w:w="3317" w:type="dxa"/>
            <w:noWrap w:val="0"/>
            <w:vAlign w:val="top"/>
          </w:tcPr>
          <w:p w14:paraId="4D9376C1">
            <w:pPr>
              <w:spacing w:line="360" w:lineRule="auto"/>
              <w:rPr>
                <w:rFonts w:ascii="宋体" w:hAnsi="宋体"/>
                <w:sz w:val="24"/>
              </w:rPr>
            </w:pPr>
            <w:r>
              <w:rPr>
                <w:rFonts w:hint="eastAsia" w:ascii="宋体" w:hAnsi="宋体"/>
                <w:sz w:val="24"/>
              </w:rPr>
              <w:t>1岗</w:t>
            </w:r>
          </w:p>
        </w:tc>
      </w:tr>
      <w:tr w14:paraId="4F17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C7DC489">
            <w:pPr>
              <w:spacing w:line="360" w:lineRule="auto"/>
              <w:rPr>
                <w:rFonts w:ascii="宋体" w:hAnsi="宋体"/>
                <w:sz w:val="24"/>
              </w:rPr>
            </w:pPr>
            <w:r>
              <w:rPr>
                <w:rFonts w:hint="eastAsia" w:ascii="宋体" w:hAnsi="宋体"/>
                <w:sz w:val="24"/>
              </w:rPr>
              <w:t>6</w:t>
            </w:r>
          </w:p>
        </w:tc>
        <w:tc>
          <w:tcPr>
            <w:tcW w:w="1985" w:type="dxa"/>
            <w:vMerge w:val="continue"/>
            <w:noWrap w:val="0"/>
            <w:vAlign w:val="top"/>
          </w:tcPr>
          <w:p w14:paraId="5C144A6F">
            <w:pPr>
              <w:spacing w:line="360" w:lineRule="auto"/>
              <w:rPr>
                <w:rFonts w:ascii="宋体" w:hAnsi="宋体"/>
                <w:sz w:val="24"/>
              </w:rPr>
            </w:pPr>
          </w:p>
        </w:tc>
        <w:tc>
          <w:tcPr>
            <w:tcW w:w="2409" w:type="dxa"/>
            <w:noWrap w:val="0"/>
            <w:vAlign w:val="top"/>
          </w:tcPr>
          <w:p w14:paraId="1CAE8CEF">
            <w:pPr>
              <w:spacing w:line="360" w:lineRule="auto"/>
              <w:rPr>
                <w:rFonts w:ascii="宋体" w:hAnsi="宋体"/>
                <w:sz w:val="24"/>
              </w:rPr>
            </w:pPr>
            <w:r>
              <w:rPr>
                <w:rFonts w:hint="eastAsia" w:ascii="宋体" w:hAnsi="宋体"/>
                <w:sz w:val="24"/>
              </w:rPr>
              <w:t>S</w:t>
            </w:r>
            <w:r>
              <w:rPr>
                <w:rFonts w:ascii="宋体" w:hAnsi="宋体"/>
                <w:sz w:val="24"/>
              </w:rPr>
              <w:t>7、</w:t>
            </w:r>
            <w:r>
              <w:rPr>
                <w:rFonts w:hint="eastAsia" w:ascii="宋体" w:hAnsi="宋体"/>
                <w:sz w:val="24"/>
              </w:rPr>
              <w:t>S</w:t>
            </w:r>
            <w:r>
              <w:rPr>
                <w:rFonts w:ascii="宋体" w:hAnsi="宋体"/>
                <w:sz w:val="24"/>
              </w:rPr>
              <w:t>12、</w:t>
            </w:r>
            <w:r>
              <w:rPr>
                <w:rFonts w:hint="eastAsia" w:ascii="宋体" w:hAnsi="宋体"/>
                <w:sz w:val="24"/>
              </w:rPr>
              <w:t>S</w:t>
            </w:r>
            <w:r>
              <w:rPr>
                <w:rFonts w:ascii="宋体" w:hAnsi="宋体"/>
                <w:sz w:val="24"/>
              </w:rPr>
              <w:t>13</w:t>
            </w:r>
            <w:r>
              <w:rPr>
                <w:rFonts w:hint="eastAsia" w:ascii="宋体" w:hAnsi="宋体"/>
                <w:sz w:val="24"/>
              </w:rPr>
              <w:t>楼</w:t>
            </w:r>
          </w:p>
        </w:tc>
        <w:tc>
          <w:tcPr>
            <w:tcW w:w="3317" w:type="dxa"/>
            <w:noWrap w:val="0"/>
            <w:vAlign w:val="top"/>
          </w:tcPr>
          <w:p w14:paraId="07D74233">
            <w:pPr>
              <w:spacing w:line="360" w:lineRule="auto"/>
              <w:rPr>
                <w:rFonts w:ascii="宋体" w:hAnsi="宋体"/>
                <w:sz w:val="24"/>
              </w:rPr>
            </w:pPr>
            <w:r>
              <w:rPr>
                <w:rFonts w:hint="eastAsia" w:ascii="宋体" w:hAnsi="宋体"/>
                <w:sz w:val="24"/>
              </w:rPr>
              <w:t>1岗</w:t>
            </w:r>
          </w:p>
        </w:tc>
      </w:tr>
      <w:tr w14:paraId="75A5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3466FFD">
            <w:pPr>
              <w:spacing w:line="360" w:lineRule="auto"/>
              <w:rPr>
                <w:rFonts w:ascii="宋体" w:hAnsi="宋体"/>
                <w:sz w:val="24"/>
              </w:rPr>
            </w:pPr>
            <w:r>
              <w:rPr>
                <w:rFonts w:hint="eastAsia" w:ascii="宋体" w:hAnsi="宋体"/>
                <w:sz w:val="24"/>
              </w:rPr>
              <w:t>7</w:t>
            </w:r>
          </w:p>
        </w:tc>
        <w:tc>
          <w:tcPr>
            <w:tcW w:w="1985" w:type="dxa"/>
            <w:vMerge w:val="continue"/>
            <w:noWrap w:val="0"/>
            <w:vAlign w:val="top"/>
          </w:tcPr>
          <w:p w14:paraId="03171069">
            <w:pPr>
              <w:spacing w:line="360" w:lineRule="auto"/>
              <w:rPr>
                <w:rFonts w:ascii="宋体" w:hAnsi="宋体"/>
                <w:sz w:val="24"/>
              </w:rPr>
            </w:pPr>
          </w:p>
        </w:tc>
        <w:tc>
          <w:tcPr>
            <w:tcW w:w="2409" w:type="dxa"/>
            <w:noWrap w:val="0"/>
            <w:vAlign w:val="top"/>
          </w:tcPr>
          <w:p w14:paraId="5CF3B4C1">
            <w:pPr>
              <w:spacing w:line="360" w:lineRule="auto"/>
              <w:rPr>
                <w:rFonts w:ascii="宋体" w:hAnsi="宋体"/>
                <w:sz w:val="24"/>
              </w:rPr>
            </w:pPr>
            <w:r>
              <w:rPr>
                <w:rFonts w:hint="eastAsia" w:ascii="宋体" w:hAnsi="宋体"/>
                <w:sz w:val="24"/>
              </w:rPr>
              <w:t>S</w:t>
            </w:r>
            <w:r>
              <w:rPr>
                <w:rFonts w:ascii="宋体" w:hAnsi="宋体"/>
                <w:sz w:val="24"/>
              </w:rPr>
              <w:t>14</w:t>
            </w:r>
            <w:r>
              <w:rPr>
                <w:rFonts w:hint="eastAsia" w:ascii="宋体" w:hAnsi="宋体"/>
                <w:sz w:val="24"/>
              </w:rPr>
              <w:t>楼</w:t>
            </w:r>
          </w:p>
        </w:tc>
        <w:tc>
          <w:tcPr>
            <w:tcW w:w="3317" w:type="dxa"/>
            <w:noWrap w:val="0"/>
            <w:vAlign w:val="top"/>
          </w:tcPr>
          <w:p w14:paraId="01DA62E4">
            <w:pPr>
              <w:spacing w:line="360" w:lineRule="auto"/>
              <w:rPr>
                <w:rFonts w:ascii="宋体" w:hAnsi="宋体"/>
                <w:sz w:val="24"/>
              </w:rPr>
            </w:pPr>
            <w:r>
              <w:rPr>
                <w:rFonts w:hint="eastAsia" w:ascii="宋体" w:hAnsi="宋体"/>
                <w:sz w:val="24"/>
              </w:rPr>
              <w:t>3岗</w:t>
            </w:r>
          </w:p>
        </w:tc>
      </w:tr>
      <w:tr w14:paraId="448B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4131E2A0">
            <w:pPr>
              <w:spacing w:line="360" w:lineRule="auto"/>
              <w:rPr>
                <w:rFonts w:ascii="宋体" w:hAnsi="宋体"/>
                <w:sz w:val="24"/>
              </w:rPr>
            </w:pPr>
            <w:r>
              <w:rPr>
                <w:rFonts w:hint="eastAsia" w:ascii="宋体" w:hAnsi="宋体"/>
                <w:sz w:val="24"/>
              </w:rPr>
              <w:t>8</w:t>
            </w:r>
          </w:p>
        </w:tc>
        <w:tc>
          <w:tcPr>
            <w:tcW w:w="1985" w:type="dxa"/>
            <w:vMerge w:val="continue"/>
            <w:noWrap w:val="0"/>
            <w:vAlign w:val="top"/>
          </w:tcPr>
          <w:p w14:paraId="31591B54">
            <w:pPr>
              <w:spacing w:line="360" w:lineRule="auto"/>
              <w:rPr>
                <w:rFonts w:ascii="宋体" w:hAnsi="宋体"/>
                <w:sz w:val="24"/>
              </w:rPr>
            </w:pPr>
          </w:p>
        </w:tc>
        <w:tc>
          <w:tcPr>
            <w:tcW w:w="2409" w:type="dxa"/>
            <w:noWrap w:val="0"/>
            <w:vAlign w:val="top"/>
          </w:tcPr>
          <w:p w14:paraId="0153B1DE">
            <w:pPr>
              <w:spacing w:line="360" w:lineRule="auto"/>
              <w:rPr>
                <w:rFonts w:ascii="宋体" w:hAnsi="宋体"/>
                <w:sz w:val="24"/>
              </w:rPr>
            </w:pPr>
            <w:r>
              <w:rPr>
                <w:rFonts w:hint="eastAsia" w:ascii="宋体" w:hAnsi="宋体"/>
                <w:sz w:val="24"/>
              </w:rPr>
              <w:t>公寓楼A、公寓楼B</w:t>
            </w:r>
          </w:p>
        </w:tc>
        <w:tc>
          <w:tcPr>
            <w:tcW w:w="3317" w:type="dxa"/>
            <w:noWrap w:val="0"/>
            <w:vAlign w:val="top"/>
          </w:tcPr>
          <w:p w14:paraId="6E518280">
            <w:pPr>
              <w:spacing w:line="360" w:lineRule="auto"/>
              <w:rPr>
                <w:rFonts w:ascii="宋体" w:hAnsi="宋体"/>
                <w:sz w:val="24"/>
              </w:rPr>
            </w:pPr>
            <w:r>
              <w:rPr>
                <w:rFonts w:hint="eastAsia" w:ascii="宋体" w:hAnsi="宋体"/>
                <w:sz w:val="24"/>
              </w:rPr>
              <w:t>1岗</w:t>
            </w:r>
          </w:p>
        </w:tc>
      </w:tr>
      <w:tr w14:paraId="5F8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BF81EC7">
            <w:pPr>
              <w:spacing w:line="360" w:lineRule="auto"/>
              <w:rPr>
                <w:rFonts w:ascii="宋体" w:hAnsi="宋体"/>
                <w:sz w:val="24"/>
              </w:rPr>
            </w:pPr>
            <w:r>
              <w:rPr>
                <w:rFonts w:hint="eastAsia" w:ascii="宋体" w:hAnsi="宋体"/>
                <w:sz w:val="24"/>
              </w:rPr>
              <w:t>9</w:t>
            </w:r>
          </w:p>
        </w:tc>
        <w:tc>
          <w:tcPr>
            <w:tcW w:w="1985" w:type="dxa"/>
            <w:vMerge w:val="continue"/>
            <w:noWrap w:val="0"/>
            <w:vAlign w:val="top"/>
          </w:tcPr>
          <w:p w14:paraId="3360A6D1">
            <w:pPr>
              <w:spacing w:line="360" w:lineRule="auto"/>
              <w:rPr>
                <w:rFonts w:ascii="宋体" w:hAnsi="宋体"/>
                <w:sz w:val="24"/>
              </w:rPr>
            </w:pPr>
          </w:p>
        </w:tc>
        <w:tc>
          <w:tcPr>
            <w:tcW w:w="2409" w:type="dxa"/>
            <w:noWrap w:val="0"/>
            <w:vAlign w:val="top"/>
          </w:tcPr>
          <w:p w14:paraId="373FDBEC">
            <w:pPr>
              <w:spacing w:line="360" w:lineRule="auto"/>
              <w:rPr>
                <w:rFonts w:ascii="宋体" w:hAnsi="宋体"/>
                <w:sz w:val="24"/>
              </w:rPr>
            </w:pPr>
            <w:r>
              <w:rPr>
                <w:rFonts w:hint="eastAsia" w:ascii="宋体" w:hAnsi="宋体"/>
                <w:sz w:val="24"/>
              </w:rPr>
              <w:t>N</w:t>
            </w:r>
            <w:r>
              <w:rPr>
                <w:rFonts w:ascii="宋体" w:hAnsi="宋体"/>
                <w:sz w:val="24"/>
              </w:rPr>
              <w:t>1</w:t>
            </w:r>
            <w:r>
              <w:rPr>
                <w:rFonts w:hint="eastAsia" w:ascii="宋体" w:hAnsi="宋体"/>
                <w:sz w:val="24"/>
              </w:rPr>
              <w:t>楼</w:t>
            </w:r>
          </w:p>
        </w:tc>
        <w:tc>
          <w:tcPr>
            <w:tcW w:w="3317" w:type="dxa"/>
            <w:noWrap w:val="0"/>
            <w:vAlign w:val="top"/>
          </w:tcPr>
          <w:p w14:paraId="1ED45ADD">
            <w:pPr>
              <w:spacing w:line="360" w:lineRule="auto"/>
              <w:rPr>
                <w:rFonts w:ascii="宋体" w:hAnsi="宋体"/>
                <w:sz w:val="24"/>
              </w:rPr>
            </w:pPr>
            <w:r>
              <w:rPr>
                <w:rFonts w:hint="eastAsia" w:ascii="宋体" w:hAnsi="宋体"/>
                <w:sz w:val="24"/>
              </w:rPr>
              <w:t>3岗</w:t>
            </w:r>
          </w:p>
        </w:tc>
      </w:tr>
      <w:tr w14:paraId="65EC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03C5641C">
            <w:pPr>
              <w:spacing w:line="360" w:lineRule="auto"/>
              <w:rPr>
                <w:rFonts w:ascii="宋体" w:hAnsi="宋体"/>
                <w:sz w:val="24"/>
              </w:rPr>
            </w:pPr>
            <w:r>
              <w:rPr>
                <w:rFonts w:hint="eastAsia" w:ascii="宋体" w:hAnsi="宋体"/>
                <w:sz w:val="24"/>
              </w:rPr>
              <w:t>1</w:t>
            </w:r>
            <w:r>
              <w:rPr>
                <w:rFonts w:ascii="宋体" w:hAnsi="宋体"/>
                <w:sz w:val="24"/>
              </w:rPr>
              <w:t>0</w:t>
            </w:r>
          </w:p>
        </w:tc>
        <w:tc>
          <w:tcPr>
            <w:tcW w:w="1985" w:type="dxa"/>
            <w:vMerge w:val="continue"/>
            <w:noWrap w:val="0"/>
            <w:vAlign w:val="top"/>
          </w:tcPr>
          <w:p w14:paraId="30E14189">
            <w:pPr>
              <w:spacing w:line="360" w:lineRule="auto"/>
              <w:rPr>
                <w:rFonts w:ascii="宋体" w:hAnsi="宋体"/>
                <w:sz w:val="24"/>
              </w:rPr>
            </w:pPr>
          </w:p>
        </w:tc>
        <w:tc>
          <w:tcPr>
            <w:tcW w:w="2409" w:type="dxa"/>
            <w:noWrap w:val="0"/>
            <w:vAlign w:val="top"/>
          </w:tcPr>
          <w:p w14:paraId="4F78E1B8">
            <w:pPr>
              <w:spacing w:line="360" w:lineRule="auto"/>
              <w:rPr>
                <w:rFonts w:ascii="宋体" w:hAnsi="宋体"/>
                <w:sz w:val="24"/>
              </w:rPr>
            </w:pPr>
            <w:r>
              <w:rPr>
                <w:rFonts w:hint="eastAsia" w:ascii="宋体" w:hAnsi="宋体"/>
                <w:sz w:val="24"/>
              </w:rPr>
              <w:t>N</w:t>
            </w:r>
            <w:r>
              <w:rPr>
                <w:rFonts w:ascii="宋体" w:hAnsi="宋体"/>
                <w:sz w:val="24"/>
              </w:rPr>
              <w:t>2</w:t>
            </w:r>
            <w:r>
              <w:rPr>
                <w:rFonts w:hint="eastAsia" w:ascii="宋体" w:hAnsi="宋体"/>
                <w:sz w:val="24"/>
              </w:rPr>
              <w:t>楼</w:t>
            </w:r>
          </w:p>
        </w:tc>
        <w:tc>
          <w:tcPr>
            <w:tcW w:w="3317" w:type="dxa"/>
            <w:noWrap w:val="0"/>
            <w:vAlign w:val="top"/>
          </w:tcPr>
          <w:p w14:paraId="4C08B37A">
            <w:pPr>
              <w:spacing w:line="360" w:lineRule="auto"/>
              <w:rPr>
                <w:rFonts w:ascii="宋体" w:hAnsi="宋体"/>
                <w:sz w:val="24"/>
              </w:rPr>
            </w:pPr>
            <w:r>
              <w:rPr>
                <w:rFonts w:hint="eastAsia" w:ascii="宋体" w:hAnsi="宋体"/>
                <w:sz w:val="24"/>
              </w:rPr>
              <w:t>1岗</w:t>
            </w:r>
          </w:p>
        </w:tc>
      </w:tr>
      <w:tr w14:paraId="659A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06A8F76">
            <w:pPr>
              <w:spacing w:line="360" w:lineRule="auto"/>
              <w:rPr>
                <w:rFonts w:ascii="宋体" w:hAnsi="宋体"/>
                <w:sz w:val="24"/>
              </w:rPr>
            </w:pPr>
            <w:r>
              <w:rPr>
                <w:rFonts w:hint="eastAsia" w:ascii="宋体" w:hAnsi="宋体"/>
                <w:sz w:val="24"/>
              </w:rPr>
              <w:t>1</w:t>
            </w:r>
            <w:r>
              <w:rPr>
                <w:rFonts w:ascii="宋体" w:hAnsi="宋体"/>
                <w:sz w:val="24"/>
              </w:rPr>
              <w:t>1</w:t>
            </w:r>
          </w:p>
        </w:tc>
        <w:tc>
          <w:tcPr>
            <w:tcW w:w="1985" w:type="dxa"/>
            <w:vMerge w:val="continue"/>
            <w:noWrap w:val="0"/>
            <w:vAlign w:val="top"/>
          </w:tcPr>
          <w:p w14:paraId="4C51F8EB">
            <w:pPr>
              <w:spacing w:line="360" w:lineRule="auto"/>
              <w:rPr>
                <w:rFonts w:ascii="宋体" w:hAnsi="宋体"/>
                <w:sz w:val="24"/>
              </w:rPr>
            </w:pPr>
          </w:p>
        </w:tc>
        <w:tc>
          <w:tcPr>
            <w:tcW w:w="2409" w:type="dxa"/>
            <w:noWrap w:val="0"/>
            <w:vAlign w:val="top"/>
          </w:tcPr>
          <w:p w14:paraId="6F0C380F">
            <w:pPr>
              <w:spacing w:line="360" w:lineRule="auto"/>
              <w:rPr>
                <w:rFonts w:ascii="宋体" w:hAnsi="宋体"/>
                <w:sz w:val="24"/>
              </w:rPr>
            </w:pPr>
            <w:r>
              <w:rPr>
                <w:rFonts w:hint="eastAsia" w:ascii="宋体" w:hAnsi="宋体"/>
                <w:sz w:val="24"/>
              </w:rPr>
              <w:t>N</w:t>
            </w:r>
            <w:r>
              <w:rPr>
                <w:rFonts w:ascii="宋体" w:hAnsi="宋体"/>
                <w:sz w:val="24"/>
              </w:rPr>
              <w:t>3、N4、N5</w:t>
            </w:r>
            <w:r>
              <w:rPr>
                <w:rFonts w:hint="eastAsia" w:ascii="宋体" w:hAnsi="宋体"/>
                <w:sz w:val="24"/>
              </w:rPr>
              <w:t>楼</w:t>
            </w:r>
          </w:p>
        </w:tc>
        <w:tc>
          <w:tcPr>
            <w:tcW w:w="3317" w:type="dxa"/>
            <w:noWrap w:val="0"/>
            <w:vAlign w:val="top"/>
          </w:tcPr>
          <w:p w14:paraId="6CDE9A69">
            <w:pPr>
              <w:spacing w:line="360" w:lineRule="auto"/>
              <w:rPr>
                <w:rFonts w:ascii="宋体" w:hAnsi="宋体"/>
                <w:sz w:val="24"/>
              </w:rPr>
            </w:pPr>
            <w:r>
              <w:rPr>
                <w:rFonts w:hint="eastAsia" w:ascii="宋体" w:hAnsi="宋体"/>
                <w:sz w:val="24"/>
              </w:rPr>
              <w:t>1岗</w:t>
            </w:r>
          </w:p>
        </w:tc>
      </w:tr>
      <w:tr w14:paraId="124D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732184F">
            <w:pPr>
              <w:spacing w:line="360" w:lineRule="auto"/>
              <w:rPr>
                <w:rFonts w:ascii="宋体" w:hAnsi="宋体"/>
                <w:sz w:val="24"/>
              </w:rPr>
            </w:pPr>
            <w:r>
              <w:rPr>
                <w:rFonts w:hint="eastAsia" w:ascii="宋体" w:hAnsi="宋体"/>
                <w:sz w:val="24"/>
              </w:rPr>
              <w:t>1</w:t>
            </w:r>
            <w:r>
              <w:rPr>
                <w:rFonts w:ascii="宋体" w:hAnsi="宋体"/>
                <w:sz w:val="24"/>
              </w:rPr>
              <w:t>2</w:t>
            </w:r>
          </w:p>
        </w:tc>
        <w:tc>
          <w:tcPr>
            <w:tcW w:w="1985" w:type="dxa"/>
            <w:vMerge w:val="continue"/>
            <w:noWrap w:val="0"/>
            <w:vAlign w:val="top"/>
          </w:tcPr>
          <w:p w14:paraId="6BEE4185">
            <w:pPr>
              <w:spacing w:line="360" w:lineRule="auto"/>
              <w:rPr>
                <w:rFonts w:ascii="宋体" w:hAnsi="宋体"/>
                <w:sz w:val="24"/>
              </w:rPr>
            </w:pPr>
          </w:p>
        </w:tc>
        <w:tc>
          <w:tcPr>
            <w:tcW w:w="2409" w:type="dxa"/>
            <w:noWrap w:val="0"/>
            <w:vAlign w:val="top"/>
          </w:tcPr>
          <w:p w14:paraId="198509EF">
            <w:pPr>
              <w:spacing w:line="360" w:lineRule="auto"/>
              <w:rPr>
                <w:rFonts w:ascii="宋体" w:hAnsi="宋体"/>
                <w:sz w:val="24"/>
              </w:rPr>
            </w:pPr>
            <w:r>
              <w:rPr>
                <w:rFonts w:hint="eastAsia" w:ascii="宋体" w:hAnsi="宋体"/>
                <w:sz w:val="24"/>
              </w:rPr>
              <w:t>N</w:t>
            </w:r>
            <w:r>
              <w:rPr>
                <w:rFonts w:ascii="宋体" w:hAnsi="宋体"/>
                <w:sz w:val="24"/>
              </w:rPr>
              <w:t>6、</w:t>
            </w:r>
            <w:r>
              <w:rPr>
                <w:rFonts w:hint="eastAsia" w:ascii="宋体" w:hAnsi="宋体"/>
                <w:sz w:val="24"/>
              </w:rPr>
              <w:t>N</w:t>
            </w:r>
            <w:r>
              <w:rPr>
                <w:rFonts w:ascii="宋体" w:hAnsi="宋体"/>
                <w:sz w:val="24"/>
              </w:rPr>
              <w:t>7</w:t>
            </w:r>
            <w:r>
              <w:rPr>
                <w:rFonts w:hint="eastAsia" w:ascii="宋体" w:hAnsi="宋体"/>
                <w:sz w:val="24"/>
              </w:rPr>
              <w:t>楼</w:t>
            </w:r>
          </w:p>
        </w:tc>
        <w:tc>
          <w:tcPr>
            <w:tcW w:w="3317" w:type="dxa"/>
            <w:noWrap w:val="0"/>
            <w:vAlign w:val="top"/>
          </w:tcPr>
          <w:p w14:paraId="5E445CA5">
            <w:pPr>
              <w:spacing w:line="360" w:lineRule="auto"/>
              <w:rPr>
                <w:rFonts w:ascii="宋体" w:hAnsi="宋体"/>
                <w:sz w:val="24"/>
              </w:rPr>
            </w:pPr>
            <w:r>
              <w:rPr>
                <w:rFonts w:hint="eastAsia" w:ascii="宋体" w:hAnsi="宋体"/>
                <w:sz w:val="24"/>
              </w:rPr>
              <w:t>1岗</w:t>
            </w:r>
          </w:p>
        </w:tc>
      </w:tr>
      <w:tr w14:paraId="3FFF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EBD6D29">
            <w:pPr>
              <w:spacing w:line="360" w:lineRule="auto"/>
              <w:rPr>
                <w:rFonts w:ascii="宋体" w:hAnsi="宋体"/>
                <w:sz w:val="24"/>
              </w:rPr>
            </w:pPr>
            <w:r>
              <w:rPr>
                <w:rFonts w:hint="eastAsia" w:ascii="宋体" w:hAnsi="宋体"/>
                <w:sz w:val="24"/>
              </w:rPr>
              <w:t>1</w:t>
            </w:r>
            <w:r>
              <w:rPr>
                <w:rFonts w:ascii="宋体" w:hAnsi="宋体"/>
                <w:sz w:val="24"/>
              </w:rPr>
              <w:t>3</w:t>
            </w:r>
          </w:p>
        </w:tc>
        <w:tc>
          <w:tcPr>
            <w:tcW w:w="1985" w:type="dxa"/>
            <w:vMerge w:val="continue"/>
            <w:noWrap w:val="0"/>
            <w:vAlign w:val="top"/>
          </w:tcPr>
          <w:p w14:paraId="6B954278">
            <w:pPr>
              <w:spacing w:line="360" w:lineRule="auto"/>
              <w:rPr>
                <w:rFonts w:ascii="宋体" w:hAnsi="宋体"/>
                <w:sz w:val="24"/>
              </w:rPr>
            </w:pPr>
          </w:p>
        </w:tc>
        <w:tc>
          <w:tcPr>
            <w:tcW w:w="2409" w:type="dxa"/>
            <w:noWrap w:val="0"/>
            <w:vAlign w:val="top"/>
          </w:tcPr>
          <w:p w14:paraId="1E26FCD8">
            <w:pPr>
              <w:spacing w:line="360" w:lineRule="auto"/>
              <w:rPr>
                <w:rFonts w:ascii="宋体" w:hAnsi="宋体"/>
                <w:sz w:val="24"/>
              </w:rPr>
            </w:pPr>
            <w:r>
              <w:rPr>
                <w:rFonts w:hint="eastAsia" w:ascii="宋体" w:hAnsi="宋体"/>
                <w:sz w:val="24"/>
              </w:rPr>
              <w:t>N</w:t>
            </w:r>
            <w:r>
              <w:rPr>
                <w:rFonts w:ascii="宋体" w:hAnsi="宋体"/>
                <w:sz w:val="24"/>
              </w:rPr>
              <w:t>8</w:t>
            </w:r>
            <w:r>
              <w:rPr>
                <w:rFonts w:hint="eastAsia" w:ascii="宋体" w:hAnsi="宋体"/>
                <w:sz w:val="24"/>
              </w:rPr>
              <w:t>楼</w:t>
            </w:r>
          </w:p>
        </w:tc>
        <w:tc>
          <w:tcPr>
            <w:tcW w:w="3317" w:type="dxa"/>
            <w:noWrap w:val="0"/>
            <w:vAlign w:val="top"/>
          </w:tcPr>
          <w:p w14:paraId="60D3B71D">
            <w:pPr>
              <w:spacing w:line="360" w:lineRule="auto"/>
              <w:rPr>
                <w:rFonts w:ascii="宋体" w:hAnsi="宋体"/>
                <w:sz w:val="24"/>
              </w:rPr>
            </w:pPr>
            <w:r>
              <w:rPr>
                <w:rFonts w:hint="eastAsia" w:ascii="宋体" w:hAnsi="宋体"/>
                <w:sz w:val="24"/>
              </w:rPr>
              <w:t>3岗</w:t>
            </w:r>
          </w:p>
        </w:tc>
      </w:tr>
      <w:tr w14:paraId="1566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C15BEB2">
            <w:pPr>
              <w:spacing w:line="360" w:lineRule="auto"/>
              <w:rPr>
                <w:rFonts w:ascii="宋体" w:hAnsi="宋体"/>
                <w:sz w:val="24"/>
              </w:rPr>
            </w:pPr>
            <w:r>
              <w:rPr>
                <w:rFonts w:hint="eastAsia" w:ascii="宋体" w:hAnsi="宋体"/>
                <w:sz w:val="24"/>
              </w:rPr>
              <w:t>1</w:t>
            </w:r>
            <w:r>
              <w:rPr>
                <w:rFonts w:ascii="宋体" w:hAnsi="宋体"/>
                <w:sz w:val="24"/>
              </w:rPr>
              <w:t>4</w:t>
            </w:r>
          </w:p>
        </w:tc>
        <w:tc>
          <w:tcPr>
            <w:tcW w:w="1985" w:type="dxa"/>
            <w:vMerge w:val="continue"/>
            <w:noWrap w:val="0"/>
            <w:vAlign w:val="top"/>
          </w:tcPr>
          <w:p w14:paraId="3E9935CB">
            <w:pPr>
              <w:spacing w:line="360" w:lineRule="auto"/>
              <w:rPr>
                <w:rFonts w:ascii="宋体" w:hAnsi="宋体"/>
                <w:sz w:val="24"/>
              </w:rPr>
            </w:pPr>
          </w:p>
        </w:tc>
        <w:tc>
          <w:tcPr>
            <w:tcW w:w="2409" w:type="dxa"/>
            <w:noWrap w:val="0"/>
            <w:vAlign w:val="top"/>
          </w:tcPr>
          <w:p w14:paraId="15C53E40">
            <w:pPr>
              <w:spacing w:line="360" w:lineRule="auto"/>
              <w:rPr>
                <w:rFonts w:ascii="宋体" w:hAnsi="宋体"/>
                <w:sz w:val="24"/>
              </w:rPr>
            </w:pPr>
            <w:r>
              <w:rPr>
                <w:rFonts w:hint="eastAsia" w:ascii="宋体" w:hAnsi="宋体"/>
                <w:sz w:val="24"/>
              </w:rPr>
              <w:t>羽毛球馆</w:t>
            </w:r>
          </w:p>
        </w:tc>
        <w:tc>
          <w:tcPr>
            <w:tcW w:w="3317" w:type="dxa"/>
            <w:noWrap w:val="0"/>
            <w:vAlign w:val="top"/>
          </w:tcPr>
          <w:p w14:paraId="5B6A4859">
            <w:pPr>
              <w:spacing w:line="360" w:lineRule="auto"/>
              <w:rPr>
                <w:rFonts w:ascii="宋体" w:hAnsi="宋体"/>
                <w:sz w:val="24"/>
              </w:rPr>
            </w:pPr>
            <w:r>
              <w:rPr>
                <w:rFonts w:hint="eastAsia" w:ascii="宋体" w:hAnsi="宋体"/>
                <w:sz w:val="24"/>
              </w:rPr>
              <w:t>1岗</w:t>
            </w:r>
          </w:p>
        </w:tc>
      </w:tr>
      <w:tr w14:paraId="7437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76F1886">
            <w:pPr>
              <w:spacing w:line="360" w:lineRule="auto"/>
              <w:rPr>
                <w:rFonts w:ascii="宋体" w:hAnsi="宋体"/>
                <w:sz w:val="24"/>
              </w:rPr>
            </w:pPr>
            <w:r>
              <w:rPr>
                <w:rFonts w:ascii="宋体" w:hAnsi="宋体"/>
                <w:sz w:val="24"/>
              </w:rPr>
              <w:t>15</w:t>
            </w:r>
          </w:p>
        </w:tc>
        <w:tc>
          <w:tcPr>
            <w:tcW w:w="1985" w:type="dxa"/>
            <w:vMerge w:val="restart"/>
            <w:noWrap w:val="0"/>
            <w:vAlign w:val="top"/>
          </w:tcPr>
          <w:p w14:paraId="7D5B482F">
            <w:pPr>
              <w:spacing w:line="360" w:lineRule="auto"/>
              <w:rPr>
                <w:rFonts w:ascii="宋体" w:hAnsi="宋体"/>
                <w:sz w:val="24"/>
              </w:rPr>
            </w:pPr>
            <w:r>
              <w:rPr>
                <w:rFonts w:ascii="宋体" w:hAnsi="宋体"/>
                <w:sz w:val="24"/>
              </w:rPr>
              <w:br w:type="textWrapping"/>
            </w:r>
            <w:r>
              <w:rPr>
                <w:rFonts w:ascii="宋体" w:hAnsi="宋体"/>
                <w:sz w:val="24"/>
              </w:rPr>
              <w:br w:type="textWrapping"/>
            </w:r>
            <w:r>
              <w:rPr>
                <w:rFonts w:hint="eastAsia" w:ascii="宋体" w:hAnsi="宋体"/>
                <w:sz w:val="24"/>
              </w:rPr>
              <w:t>室外区域</w:t>
            </w:r>
          </w:p>
        </w:tc>
        <w:tc>
          <w:tcPr>
            <w:tcW w:w="2409" w:type="dxa"/>
            <w:noWrap w:val="0"/>
            <w:vAlign w:val="top"/>
          </w:tcPr>
          <w:p w14:paraId="6D92D02D">
            <w:pPr>
              <w:spacing w:line="360" w:lineRule="auto"/>
              <w:rPr>
                <w:rFonts w:ascii="宋体" w:hAnsi="宋体"/>
                <w:sz w:val="24"/>
              </w:rPr>
            </w:pPr>
            <w:r>
              <w:rPr>
                <w:rFonts w:hint="eastAsia" w:ascii="宋体" w:hAnsi="宋体"/>
                <w:sz w:val="24"/>
              </w:rPr>
              <w:t>南一区</w:t>
            </w:r>
          </w:p>
        </w:tc>
        <w:tc>
          <w:tcPr>
            <w:tcW w:w="3317" w:type="dxa"/>
            <w:noWrap w:val="0"/>
            <w:vAlign w:val="top"/>
          </w:tcPr>
          <w:p w14:paraId="1EC31C9C">
            <w:pPr>
              <w:spacing w:line="360" w:lineRule="auto"/>
              <w:rPr>
                <w:rFonts w:ascii="宋体" w:hAnsi="宋体"/>
                <w:sz w:val="24"/>
              </w:rPr>
            </w:pPr>
            <w:r>
              <w:rPr>
                <w:rFonts w:hint="eastAsia" w:ascii="宋体" w:hAnsi="宋体"/>
                <w:sz w:val="24"/>
              </w:rPr>
              <w:t>1岗</w:t>
            </w:r>
          </w:p>
        </w:tc>
      </w:tr>
      <w:tr w14:paraId="2612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1B025D54">
            <w:pPr>
              <w:spacing w:line="360" w:lineRule="auto"/>
              <w:rPr>
                <w:rFonts w:ascii="宋体" w:hAnsi="宋体"/>
                <w:sz w:val="24"/>
              </w:rPr>
            </w:pPr>
            <w:r>
              <w:rPr>
                <w:rFonts w:hint="eastAsia" w:ascii="宋体" w:hAnsi="宋体"/>
                <w:sz w:val="24"/>
              </w:rPr>
              <w:t>1</w:t>
            </w:r>
            <w:r>
              <w:rPr>
                <w:rFonts w:ascii="宋体" w:hAnsi="宋体"/>
                <w:sz w:val="24"/>
              </w:rPr>
              <w:t>6</w:t>
            </w:r>
          </w:p>
        </w:tc>
        <w:tc>
          <w:tcPr>
            <w:tcW w:w="1985" w:type="dxa"/>
            <w:vMerge w:val="continue"/>
            <w:noWrap w:val="0"/>
            <w:vAlign w:val="top"/>
          </w:tcPr>
          <w:p w14:paraId="4A8830F6">
            <w:pPr>
              <w:spacing w:line="360" w:lineRule="auto"/>
              <w:rPr>
                <w:rFonts w:ascii="宋体" w:hAnsi="宋体"/>
                <w:sz w:val="24"/>
              </w:rPr>
            </w:pPr>
          </w:p>
        </w:tc>
        <w:tc>
          <w:tcPr>
            <w:tcW w:w="2409" w:type="dxa"/>
            <w:noWrap w:val="0"/>
            <w:vAlign w:val="top"/>
          </w:tcPr>
          <w:p w14:paraId="4BAE1FBE">
            <w:pPr>
              <w:spacing w:line="360" w:lineRule="auto"/>
              <w:rPr>
                <w:rFonts w:ascii="宋体" w:hAnsi="宋体"/>
                <w:sz w:val="24"/>
              </w:rPr>
            </w:pPr>
            <w:r>
              <w:rPr>
                <w:rFonts w:hint="eastAsia" w:ascii="宋体" w:hAnsi="宋体"/>
                <w:sz w:val="24"/>
              </w:rPr>
              <w:t>南三区</w:t>
            </w:r>
          </w:p>
        </w:tc>
        <w:tc>
          <w:tcPr>
            <w:tcW w:w="3317" w:type="dxa"/>
            <w:noWrap w:val="0"/>
            <w:vAlign w:val="top"/>
          </w:tcPr>
          <w:p w14:paraId="7983F221">
            <w:pPr>
              <w:spacing w:line="360" w:lineRule="auto"/>
              <w:rPr>
                <w:rFonts w:ascii="宋体" w:hAnsi="宋体"/>
                <w:sz w:val="24"/>
              </w:rPr>
            </w:pPr>
            <w:r>
              <w:rPr>
                <w:rFonts w:hint="eastAsia" w:ascii="宋体" w:hAnsi="宋体"/>
                <w:sz w:val="24"/>
              </w:rPr>
              <w:t>1岗</w:t>
            </w:r>
          </w:p>
        </w:tc>
      </w:tr>
      <w:tr w14:paraId="671B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0CC4397B">
            <w:pPr>
              <w:spacing w:line="360" w:lineRule="auto"/>
              <w:rPr>
                <w:rFonts w:ascii="宋体" w:hAnsi="宋体"/>
                <w:sz w:val="24"/>
              </w:rPr>
            </w:pPr>
            <w:r>
              <w:rPr>
                <w:rFonts w:hint="eastAsia" w:ascii="宋体" w:hAnsi="宋体"/>
                <w:sz w:val="24"/>
              </w:rPr>
              <w:t>1</w:t>
            </w:r>
            <w:r>
              <w:rPr>
                <w:rFonts w:ascii="宋体" w:hAnsi="宋体"/>
                <w:sz w:val="24"/>
              </w:rPr>
              <w:t>7</w:t>
            </w:r>
          </w:p>
        </w:tc>
        <w:tc>
          <w:tcPr>
            <w:tcW w:w="1985" w:type="dxa"/>
            <w:vMerge w:val="continue"/>
            <w:noWrap w:val="0"/>
            <w:vAlign w:val="top"/>
          </w:tcPr>
          <w:p w14:paraId="2CCBC3EA">
            <w:pPr>
              <w:spacing w:line="360" w:lineRule="auto"/>
              <w:rPr>
                <w:rFonts w:ascii="宋体" w:hAnsi="宋体"/>
                <w:sz w:val="24"/>
              </w:rPr>
            </w:pPr>
          </w:p>
        </w:tc>
        <w:tc>
          <w:tcPr>
            <w:tcW w:w="2409" w:type="dxa"/>
            <w:noWrap w:val="0"/>
            <w:vAlign w:val="top"/>
          </w:tcPr>
          <w:p w14:paraId="4CF48459">
            <w:pPr>
              <w:spacing w:line="360" w:lineRule="auto"/>
              <w:rPr>
                <w:rFonts w:ascii="宋体" w:hAnsi="宋体"/>
                <w:sz w:val="24"/>
              </w:rPr>
            </w:pPr>
            <w:r>
              <w:rPr>
                <w:rFonts w:hint="eastAsia" w:ascii="宋体" w:hAnsi="宋体"/>
                <w:sz w:val="24"/>
              </w:rPr>
              <w:t>北校区</w:t>
            </w:r>
          </w:p>
        </w:tc>
        <w:tc>
          <w:tcPr>
            <w:tcW w:w="3317" w:type="dxa"/>
            <w:noWrap w:val="0"/>
            <w:vAlign w:val="top"/>
          </w:tcPr>
          <w:p w14:paraId="491482FF">
            <w:pPr>
              <w:spacing w:line="360" w:lineRule="auto"/>
              <w:rPr>
                <w:rFonts w:ascii="宋体" w:hAnsi="宋体"/>
                <w:sz w:val="24"/>
              </w:rPr>
            </w:pPr>
            <w:r>
              <w:rPr>
                <w:rFonts w:hint="eastAsia" w:ascii="宋体" w:hAnsi="宋体"/>
                <w:sz w:val="24"/>
              </w:rPr>
              <w:t>1岗</w:t>
            </w:r>
          </w:p>
        </w:tc>
      </w:tr>
      <w:tr w14:paraId="7FB7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F085E92">
            <w:pPr>
              <w:spacing w:line="360" w:lineRule="auto"/>
              <w:rPr>
                <w:rFonts w:ascii="宋体" w:hAnsi="宋体"/>
                <w:sz w:val="24"/>
              </w:rPr>
            </w:pPr>
            <w:r>
              <w:rPr>
                <w:rFonts w:hint="eastAsia" w:ascii="宋体" w:hAnsi="宋体"/>
                <w:sz w:val="24"/>
              </w:rPr>
              <w:t>1</w:t>
            </w:r>
            <w:r>
              <w:rPr>
                <w:rFonts w:ascii="宋体" w:hAnsi="宋体"/>
                <w:sz w:val="24"/>
              </w:rPr>
              <w:t>8</w:t>
            </w:r>
          </w:p>
        </w:tc>
        <w:tc>
          <w:tcPr>
            <w:tcW w:w="1985" w:type="dxa"/>
            <w:vMerge w:val="continue"/>
            <w:noWrap w:val="0"/>
            <w:vAlign w:val="top"/>
          </w:tcPr>
          <w:p w14:paraId="0587D1CA">
            <w:pPr>
              <w:spacing w:line="360" w:lineRule="auto"/>
              <w:rPr>
                <w:rFonts w:ascii="宋体" w:hAnsi="宋体"/>
                <w:sz w:val="24"/>
              </w:rPr>
            </w:pPr>
          </w:p>
        </w:tc>
        <w:tc>
          <w:tcPr>
            <w:tcW w:w="2409" w:type="dxa"/>
            <w:noWrap w:val="0"/>
            <w:vAlign w:val="top"/>
          </w:tcPr>
          <w:p w14:paraId="72496525">
            <w:pPr>
              <w:spacing w:line="360" w:lineRule="auto"/>
              <w:rPr>
                <w:rFonts w:ascii="宋体" w:hAnsi="宋体"/>
                <w:sz w:val="24"/>
              </w:rPr>
            </w:pPr>
            <w:r>
              <w:rPr>
                <w:rFonts w:hint="eastAsia" w:ascii="宋体" w:hAnsi="宋体"/>
                <w:sz w:val="24"/>
              </w:rPr>
              <w:t>南校操场</w:t>
            </w:r>
          </w:p>
        </w:tc>
        <w:tc>
          <w:tcPr>
            <w:tcW w:w="3317" w:type="dxa"/>
            <w:noWrap w:val="0"/>
            <w:vAlign w:val="top"/>
          </w:tcPr>
          <w:p w14:paraId="1D3DA1A3">
            <w:pPr>
              <w:spacing w:line="360" w:lineRule="auto"/>
              <w:rPr>
                <w:rFonts w:ascii="宋体" w:hAnsi="宋体"/>
                <w:sz w:val="24"/>
              </w:rPr>
            </w:pPr>
            <w:r>
              <w:rPr>
                <w:rFonts w:hint="eastAsia" w:ascii="宋体" w:hAnsi="宋体"/>
                <w:sz w:val="24"/>
              </w:rPr>
              <w:t>1岗</w:t>
            </w:r>
          </w:p>
        </w:tc>
      </w:tr>
      <w:tr w14:paraId="302D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4DCB729E">
            <w:pPr>
              <w:spacing w:line="360" w:lineRule="auto"/>
              <w:rPr>
                <w:rFonts w:ascii="宋体" w:hAnsi="宋体"/>
                <w:sz w:val="24"/>
              </w:rPr>
            </w:pPr>
            <w:r>
              <w:rPr>
                <w:rFonts w:hint="eastAsia" w:ascii="宋体" w:hAnsi="宋体"/>
                <w:sz w:val="24"/>
              </w:rPr>
              <w:t>1</w:t>
            </w:r>
            <w:r>
              <w:rPr>
                <w:rFonts w:ascii="宋体" w:hAnsi="宋体"/>
                <w:sz w:val="24"/>
              </w:rPr>
              <w:t>9</w:t>
            </w:r>
          </w:p>
        </w:tc>
        <w:tc>
          <w:tcPr>
            <w:tcW w:w="1985" w:type="dxa"/>
            <w:vMerge w:val="continue"/>
            <w:noWrap w:val="0"/>
            <w:vAlign w:val="top"/>
          </w:tcPr>
          <w:p w14:paraId="165A46C0">
            <w:pPr>
              <w:spacing w:line="360" w:lineRule="auto"/>
              <w:rPr>
                <w:rFonts w:ascii="宋体" w:hAnsi="宋体"/>
                <w:sz w:val="24"/>
              </w:rPr>
            </w:pPr>
          </w:p>
        </w:tc>
        <w:tc>
          <w:tcPr>
            <w:tcW w:w="2409" w:type="dxa"/>
            <w:noWrap w:val="0"/>
            <w:vAlign w:val="top"/>
          </w:tcPr>
          <w:p w14:paraId="48A989E3">
            <w:pPr>
              <w:spacing w:line="360" w:lineRule="auto"/>
              <w:rPr>
                <w:rFonts w:ascii="宋体" w:hAnsi="宋体"/>
                <w:sz w:val="24"/>
              </w:rPr>
            </w:pPr>
            <w:r>
              <w:rPr>
                <w:rFonts w:hint="eastAsia" w:ascii="宋体" w:hAnsi="宋体"/>
                <w:sz w:val="24"/>
              </w:rPr>
              <w:t>垃圾清运</w:t>
            </w:r>
          </w:p>
        </w:tc>
        <w:tc>
          <w:tcPr>
            <w:tcW w:w="3317" w:type="dxa"/>
            <w:noWrap w:val="0"/>
            <w:vAlign w:val="top"/>
          </w:tcPr>
          <w:p w14:paraId="5C5B5942">
            <w:pPr>
              <w:spacing w:line="360" w:lineRule="auto"/>
              <w:rPr>
                <w:rFonts w:ascii="宋体" w:hAnsi="宋体"/>
                <w:sz w:val="24"/>
              </w:rPr>
            </w:pPr>
            <w:r>
              <w:rPr>
                <w:rFonts w:hint="eastAsia" w:ascii="宋体" w:hAnsi="宋体"/>
                <w:sz w:val="24"/>
              </w:rPr>
              <w:t>1岗</w:t>
            </w:r>
          </w:p>
        </w:tc>
      </w:tr>
      <w:tr w14:paraId="3B1E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722C6F4">
            <w:pPr>
              <w:spacing w:line="360" w:lineRule="auto"/>
              <w:rPr>
                <w:rFonts w:ascii="宋体" w:hAnsi="宋体"/>
                <w:sz w:val="24"/>
              </w:rPr>
            </w:pPr>
            <w:r>
              <w:rPr>
                <w:rFonts w:ascii="宋体" w:hAnsi="宋体"/>
                <w:sz w:val="24"/>
              </w:rPr>
              <w:t>20</w:t>
            </w:r>
          </w:p>
        </w:tc>
        <w:tc>
          <w:tcPr>
            <w:tcW w:w="1985" w:type="dxa"/>
            <w:vMerge w:val="restart"/>
            <w:noWrap w:val="0"/>
            <w:vAlign w:val="top"/>
          </w:tcPr>
          <w:p w14:paraId="61FB0011">
            <w:pPr>
              <w:spacing w:line="360" w:lineRule="auto"/>
              <w:rPr>
                <w:rFonts w:ascii="宋体" w:hAnsi="宋体"/>
                <w:sz w:val="24"/>
              </w:rPr>
            </w:pPr>
            <w:r>
              <w:rPr>
                <w:rFonts w:hint="eastAsia" w:ascii="宋体" w:hAnsi="宋体"/>
                <w:sz w:val="24"/>
              </w:rPr>
              <w:t>公共浴室</w:t>
            </w:r>
          </w:p>
        </w:tc>
        <w:tc>
          <w:tcPr>
            <w:tcW w:w="2409" w:type="dxa"/>
            <w:noWrap w:val="0"/>
            <w:vAlign w:val="top"/>
          </w:tcPr>
          <w:p w14:paraId="4386EFD6">
            <w:pPr>
              <w:spacing w:line="360" w:lineRule="auto"/>
              <w:rPr>
                <w:rFonts w:ascii="宋体" w:hAnsi="宋体"/>
                <w:sz w:val="24"/>
              </w:rPr>
            </w:pPr>
            <w:r>
              <w:rPr>
                <w:rFonts w:hint="eastAsia" w:ascii="宋体" w:hAnsi="宋体"/>
                <w:sz w:val="24"/>
              </w:rPr>
              <w:t>南校浴室</w:t>
            </w:r>
          </w:p>
        </w:tc>
        <w:tc>
          <w:tcPr>
            <w:tcW w:w="3317" w:type="dxa"/>
            <w:noWrap w:val="0"/>
            <w:vAlign w:val="top"/>
          </w:tcPr>
          <w:p w14:paraId="74AAE313">
            <w:pPr>
              <w:spacing w:line="360" w:lineRule="auto"/>
              <w:rPr>
                <w:rFonts w:ascii="宋体" w:hAnsi="宋体"/>
                <w:sz w:val="24"/>
              </w:rPr>
            </w:pPr>
            <w:r>
              <w:rPr>
                <w:rFonts w:hint="eastAsia" w:ascii="宋体" w:hAnsi="宋体"/>
                <w:sz w:val="24"/>
              </w:rPr>
              <w:t>1岗</w:t>
            </w:r>
          </w:p>
        </w:tc>
      </w:tr>
      <w:tr w14:paraId="2A4C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0EE12A58">
            <w:pPr>
              <w:spacing w:line="360" w:lineRule="auto"/>
              <w:rPr>
                <w:rFonts w:ascii="宋体" w:hAnsi="宋体"/>
                <w:sz w:val="24"/>
              </w:rPr>
            </w:pPr>
            <w:r>
              <w:rPr>
                <w:rFonts w:ascii="宋体" w:hAnsi="宋体"/>
                <w:sz w:val="24"/>
              </w:rPr>
              <w:t>21</w:t>
            </w:r>
          </w:p>
        </w:tc>
        <w:tc>
          <w:tcPr>
            <w:tcW w:w="1985" w:type="dxa"/>
            <w:vMerge w:val="continue"/>
            <w:noWrap w:val="0"/>
            <w:vAlign w:val="top"/>
          </w:tcPr>
          <w:p w14:paraId="60313C51">
            <w:pPr>
              <w:spacing w:line="360" w:lineRule="auto"/>
              <w:rPr>
                <w:rFonts w:ascii="宋体" w:hAnsi="宋体"/>
                <w:sz w:val="24"/>
              </w:rPr>
            </w:pPr>
          </w:p>
        </w:tc>
        <w:tc>
          <w:tcPr>
            <w:tcW w:w="2409" w:type="dxa"/>
            <w:noWrap w:val="0"/>
            <w:vAlign w:val="top"/>
          </w:tcPr>
          <w:p w14:paraId="04F40F14">
            <w:pPr>
              <w:spacing w:line="360" w:lineRule="auto"/>
              <w:rPr>
                <w:rFonts w:ascii="宋体" w:hAnsi="宋体"/>
                <w:sz w:val="24"/>
              </w:rPr>
            </w:pPr>
            <w:r>
              <w:rPr>
                <w:rFonts w:hint="eastAsia" w:ascii="宋体" w:hAnsi="宋体"/>
                <w:sz w:val="24"/>
              </w:rPr>
              <w:t>北校浴室</w:t>
            </w:r>
          </w:p>
        </w:tc>
        <w:tc>
          <w:tcPr>
            <w:tcW w:w="3317" w:type="dxa"/>
            <w:noWrap w:val="0"/>
            <w:vAlign w:val="top"/>
          </w:tcPr>
          <w:p w14:paraId="63F0EC47">
            <w:pPr>
              <w:spacing w:line="360" w:lineRule="auto"/>
              <w:rPr>
                <w:rFonts w:ascii="宋体" w:hAnsi="宋体"/>
                <w:sz w:val="24"/>
              </w:rPr>
            </w:pPr>
            <w:r>
              <w:rPr>
                <w:rFonts w:hint="eastAsia" w:ascii="宋体" w:hAnsi="宋体"/>
                <w:sz w:val="24"/>
              </w:rPr>
              <w:t>1岗</w:t>
            </w:r>
          </w:p>
        </w:tc>
      </w:tr>
    </w:tbl>
    <w:p w14:paraId="202EEBEA">
      <w:pPr>
        <w:rPr>
          <w:rFonts w:ascii="宋体" w:hAnsi="宋体"/>
        </w:rPr>
        <w:sectPr>
          <w:headerReference r:id="rId3" w:type="default"/>
          <w:footerReference r:id="rId4" w:type="default"/>
          <w:pgSz w:w="11910" w:h="16840"/>
          <w:pgMar w:top="1418" w:right="1701" w:bottom="1418" w:left="1701" w:header="720" w:footer="720" w:gutter="0"/>
          <w:cols w:space="720" w:num="1"/>
        </w:sectPr>
      </w:pPr>
    </w:p>
    <w:p w14:paraId="22CCC725">
      <w:pPr>
        <w:keepNext/>
        <w:keepLines/>
        <w:spacing w:before="10" w:after="10" w:line="360" w:lineRule="auto"/>
        <w:outlineLvl w:val="0"/>
        <w:rPr>
          <w:rFonts w:eastAsia="黑体"/>
          <w:b/>
          <w:kern w:val="44"/>
          <w:sz w:val="24"/>
        </w:rPr>
      </w:pPr>
      <w:bookmarkStart w:id="47" w:name="_Toc172186418"/>
      <w:bookmarkEnd w:id="47"/>
      <w:bookmarkStart w:id="48" w:name="_Toc172186356"/>
      <w:bookmarkEnd w:id="48"/>
      <w:bookmarkStart w:id="49" w:name="_Toc172186355"/>
      <w:bookmarkEnd w:id="49"/>
      <w:bookmarkStart w:id="50" w:name="_Toc172186297"/>
      <w:bookmarkEnd w:id="50"/>
      <w:bookmarkStart w:id="51" w:name="_Toc172186248"/>
      <w:bookmarkEnd w:id="51"/>
      <w:bookmarkStart w:id="52" w:name="_Toc172186295"/>
      <w:bookmarkEnd w:id="52"/>
      <w:bookmarkStart w:id="53" w:name="_Toc172186479"/>
      <w:bookmarkEnd w:id="53"/>
      <w:bookmarkStart w:id="54" w:name="_Toc172186419"/>
      <w:bookmarkEnd w:id="54"/>
      <w:bookmarkStart w:id="55" w:name="_Toc172186247"/>
      <w:bookmarkEnd w:id="55"/>
      <w:bookmarkStart w:id="56" w:name="_Toc172186478"/>
      <w:bookmarkEnd w:id="56"/>
      <w:bookmarkStart w:id="57" w:name="_Toc172186357"/>
      <w:bookmarkEnd w:id="57"/>
      <w:bookmarkStart w:id="58" w:name="_Toc172186480"/>
      <w:bookmarkEnd w:id="58"/>
      <w:bookmarkStart w:id="59" w:name="_Toc172186249"/>
      <w:bookmarkEnd w:id="59"/>
      <w:bookmarkStart w:id="60" w:name="_Toc172186420"/>
      <w:bookmarkEnd w:id="60"/>
      <w:bookmarkStart w:id="61" w:name="_Toc172186296"/>
      <w:bookmarkEnd w:id="61"/>
      <w:bookmarkStart w:id="62" w:name="_Toc172215563"/>
      <w:bookmarkStart w:id="63" w:name="_Toc192776031"/>
      <w:r>
        <w:rPr>
          <w:rFonts w:hint="eastAsia" w:eastAsia="黑体"/>
          <w:b/>
          <w:kern w:val="44"/>
          <w:sz w:val="24"/>
        </w:rPr>
        <w:t>七、商务要求</w:t>
      </w:r>
      <w:bookmarkEnd w:id="62"/>
      <w:bookmarkEnd w:id="63"/>
    </w:p>
    <w:p w14:paraId="06996561">
      <w:pPr>
        <w:keepNext/>
        <w:keepLines/>
        <w:snapToGrid w:val="0"/>
        <w:spacing w:line="360" w:lineRule="auto"/>
        <w:outlineLvl w:val="1"/>
        <w:rPr>
          <w:rFonts w:eastAsia="楷体"/>
          <w:b/>
          <w:sz w:val="24"/>
        </w:rPr>
      </w:pPr>
      <w:bookmarkStart w:id="64" w:name="_Toc192776035"/>
      <w:bookmarkStart w:id="65" w:name="_Toc172215566"/>
      <w:r>
        <w:rPr>
          <w:rFonts w:hint="eastAsia" w:eastAsia="楷体"/>
          <w:b/>
          <w:sz w:val="24"/>
        </w:rPr>
        <w:t>其他</w:t>
      </w:r>
      <w:r>
        <w:rPr>
          <w:rFonts w:eastAsia="楷体"/>
          <w:b/>
          <w:sz w:val="24"/>
        </w:rPr>
        <w:t>有关</w:t>
      </w:r>
      <w:r>
        <w:rPr>
          <w:rFonts w:hint="eastAsia" w:eastAsia="楷体"/>
          <w:b/>
          <w:sz w:val="24"/>
        </w:rPr>
        <w:t>合同</w:t>
      </w:r>
      <w:r>
        <w:rPr>
          <w:rFonts w:eastAsia="楷体"/>
          <w:b/>
          <w:sz w:val="24"/>
        </w:rPr>
        <w:t>要求</w:t>
      </w:r>
      <w:bookmarkEnd w:id="64"/>
    </w:p>
    <w:p w14:paraId="2969A88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北京市物业管理条例》第六十五条：物业服务人应当按照物业服务合同的约定提供物业服务，并且遵守下列规定：提供物业服务符合国家和本市规定的标准、规范；及时向业主、物业使用人告知安全、合理使用物业的注意事项；定期听取业主的意见和建议，接受业主监督，改进和完善服务；对违法建设、违规出租房屋、私拉电线、占用消防通道等行为进行劝阻、制止，劝阻、制止无效的，及时报告行政执法机关；发现有安全风险隐患的，及时设置警示标志，采取措施排除隐患或者向有关专业机构报告；对物业使用人违反临时管理规约、管理规约的行为进行劝阻、制止，并及时报告业主；不得泄露在物业服务活动中获取的业主信息；履行生活垃圾分类管理责任人责任，指导、监督业主和物业使用人进行生活垃圾分类；配合街道办事处、乡镇人民政府、行政执法机关和居民委员会、村民委员会做好物业管理相关工作。</w:t>
      </w:r>
    </w:p>
    <w:p w14:paraId="0A9301B7">
      <w:pPr>
        <w:adjustRightInd w:val="0"/>
        <w:snapToGrid w:val="0"/>
        <w:sectPr>
          <w:pgSz w:w="11910" w:h="16840"/>
          <w:pgMar w:top="1418" w:right="1701" w:bottom="1418" w:left="1701" w:header="720" w:footer="720" w:gutter="0"/>
          <w:cols w:space="720" w:num="1"/>
        </w:sectPr>
      </w:pPr>
    </w:p>
    <w:bookmarkEnd w:id="65"/>
    <w:p w14:paraId="1622E377">
      <w:bookmarkStart w:id="66" w:name="_GoBack"/>
      <w:bookmarkEnd w:id="6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DFD7">
    <w:pPr>
      <w:tabs>
        <w:tab w:val="center" w:pos="4153"/>
        <w:tab w:val="right" w:pos="8306"/>
      </w:tabs>
      <w:spacing w:line="240" w:lineRule="atLeast"/>
      <w:jc w:val="center"/>
      <w:rPr>
        <w:rFonts w:eastAsia="仿宋"/>
        <w:sz w:val="18"/>
      </w:rPr>
    </w:pPr>
    <w:r>
      <w:rPr>
        <w:rFonts w:eastAsia="仿宋"/>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DF8B63">
                          <w:pPr>
                            <w:tabs>
                              <w:tab w:val="center" w:pos="4153"/>
                              <w:tab w:val="right" w:pos="8306"/>
                            </w:tabs>
                            <w:spacing w:line="240" w:lineRule="atLeast"/>
                            <w:jc w:val="center"/>
                            <w:rPr>
                              <w:rFonts w:eastAsia="仿宋"/>
                              <w:sz w:val="18"/>
                            </w:rPr>
                          </w:pPr>
                          <w:r>
                            <w:rPr>
                              <w:rFonts w:eastAsia="仿宋"/>
                              <w:sz w:val="18"/>
                            </w:rPr>
                            <w:fldChar w:fldCharType="begin"/>
                          </w:r>
                          <w:r>
                            <w:rPr>
                              <w:rFonts w:eastAsia="仿宋"/>
                              <w:sz w:val="18"/>
                            </w:rPr>
                            <w:instrText xml:space="preserve">PAGE   \* MERGEFORMAT</w:instrText>
                          </w:r>
                          <w:r>
                            <w:rPr>
                              <w:rFonts w:eastAsia="仿宋"/>
                              <w:sz w:val="18"/>
                            </w:rPr>
                            <w:fldChar w:fldCharType="separate"/>
                          </w:r>
                          <w:r>
                            <w:rPr>
                              <w:rFonts w:eastAsia="仿宋"/>
                              <w:sz w:val="18"/>
                              <w:lang w:val="zh-CN"/>
                            </w:rPr>
                            <w:t>29</w:t>
                          </w:r>
                          <w:r>
                            <w:rPr>
                              <w:rFonts w:eastAsia="仿宋"/>
                              <w:sz w:val="18"/>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14:paraId="52DF8B63">
                    <w:pPr>
                      <w:tabs>
                        <w:tab w:val="center" w:pos="4153"/>
                        <w:tab w:val="right" w:pos="8306"/>
                      </w:tabs>
                      <w:spacing w:line="240" w:lineRule="atLeast"/>
                      <w:jc w:val="center"/>
                      <w:rPr>
                        <w:rFonts w:eastAsia="仿宋"/>
                        <w:sz w:val="18"/>
                      </w:rPr>
                    </w:pPr>
                    <w:r>
                      <w:rPr>
                        <w:rFonts w:eastAsia="仿宋"/>
                        <w:sz w:val="18"/>
                      </w:rPr>
                      <w:fldChar w:fldCharType="begin"/>
                    </w:r>
                    <w:r>
                      <w:rPr>
                        <w:rFonts w:eastAsia="仿宋"/>
                        <w:sz w:val="18"/>
                      </w:rPr>
                      <w:instrText xml:space="preserve">PAGE   \* MERGEFORMAT</w:instrText>
                    </w:r>
                    <w:r>
                      <w:rPr>
                        <w:rFonts w:eastAsia="仿宋"/>
                        <w:sz w:val="18"/>
                      </w:rPr>
                      <w:fldChar w:fldCharType="separate"/>
                    </w:r>
                    <w:r>
                      <w:rPr>
                        <w:rFonts w:eastAsia="仿宋"/>
                        <w:sz w:val="18"/>
                        <w:lang w:val="zh-CN"/>
                      </w:rPr>
                      <w:t>29</w:t>
                    </w:r>
                    <w:r>
                      <w:rPr>
                        <w:rFonts w:eastAsia="仿宋"/>
                        <w:sz w:val="18"/>
                        <w:lang w:val="zh-CN"/>
                      </w:rPr>
                      <w:fldChar w:fldCharType="end"/>
                    </w:r>
                  </w:p>
                </w:txbxContent>
              </v:textbox>
            </v:shape>
          </w:pict>
        </mc:Fallback>
      </mc:AlternateContent>
    </w:r>
  </w:p>
  <w:p w14:paraId="35E3838A">
    <w:pPr>
      <w:tabs>
        <w:tab w:val="center" w:pos="4153"/>
        <w:tab w:val="right" w:pos="8306"/>
      </w:tabs>
      <w:spacing w:line="240" w:lineRule="atLeast"/>
      <w:rPr>
        <w:rFonts w:eastAsia="仿宋"/>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680B0">
    <w:pPr>
      <w:pBdr>
        <w:bottom w:val="single" w:color="auto" w:sz="6" w:space="1"/>
      </w:pBdr>
      <w:tabs>
        <w:tab w:val="center" w:pos="4153"/>
        <w:tab w:val="right" w:pos="8306"/>
      </w:tabs>
      <w:snapToGrid w:val="0"/>
      <w:jc w:val="center"/>
      <w:rPr>
        <w:rFonts w:eastAsia="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E6AEF"/>
    <w:multiLevelType w:val="multilevel"/>
    <w:tmpl w:val="1E8E6AEF"/>
    <w:lvl w:ilvl="0" w:tentative="0">
      <w:start w:val="5"/>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70D22E4"/>
    <w:multiLevelType w:val="multilevel"/>
    <w:tmpl w:val="670D22E4"/>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667E8A7"/>
    <w:multiLevelType w:val="singleLevel"/>
    <w:tmpl w:val="7667E8A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1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2025-04-28T03:12:37Z</dcterms:created>
  <dc:creator>zhhx</dc:creator>
  <cp:lastModifiedBy>Gjl</cp:lastModifiedBy>
  <dcterms:modified xsi:type="dcterms:W3CDTF">2025-04-28T03:13:11Z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eyJoZGlkIjoiOTEwNzllZDM2ZTdkZjM5ZWQ4N2U5NWIyN2UyZWUyZGYifQ==</vt:lpwstr>
  </property>
  <property fmtid="{D5CDD505-2E9C-101B-9397-08002B2CF9AE}" pid="4" name="ICV">
    <vt:lpwstr>F822A3B9990647829476151C8BEBBC1A_12</vt:lpwstr>
  </property>
</Properties>
</file>