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 xml:space="preserve"> 采购需求</w:t>
      </w:r>
    </w:p>
    <w:p>
      <w:pPr>
        <w:jc w:val="center"/>
        <w:rPr>
          <w:rFonts w:hint="eastAsia" w:ascii="黑体" w:hAnsi="宋体" w:eastAsia="黑体" w:cs="宋体"/>
          <w:kern w:val="0"/>
          <w:sz w:val="32"/>
          <w:szCs w:val="32"/>
        </w:rPr>
      </w:pPr>
    </w:p>
    <w:p>
      <w:pPr>
        <w:spacing w:line="360" w:lineRule="auto"/>
        <w:contextualSpacing/>
        <w:rPr>
          <w:rFonts w:hint="eastAsia"/>
          <w:sz w:val="24"/>
        </w:rPr>
      </w:pPr>
    </w:p>
    <w:p>
      <w:pPr>
        <w:spacing w:line="360" w:lineRule="auto"/>
        <w:contextualSpacing/>
        <w:jc w:val="center"/>
        <w:rPr>
          <w:rFonts w:hint="eastAsia"/>
          <w:sz w:val="24"/>
        </w:rPr>
      </w:pPr>
      <w:r>
        <w:rPr>
          <w:rFonts w:hint="eastAsia"/>
          <w:bCs/>
          <w:sz w:val="24"/>
        </w:rPr>
        <w:t>北京互联网法院2025年度政务云平台基础资源租用服务采购项目</w:t>
      </w:r>
    </w:p>
    <w:p>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pPr>
        <w:spacing w:line="360" w:lineRule="auto"/>
        <w:contextualSpacing/>
        <w:rPr>
          <w:bCs/>
          <w:sz w:val="24"/>
        </w:rPr>
      </w:pPr>
      <w:r>
        <w:rPr>
          <w:bCs/>
          <w:sz w:val="24"/>
        </w:rPr>
        <w:t>1. 采购标的（货物需求一览表或简要服务内容及数量）</w:t>
      </w:r>
    </w:p>
    <w:p>
      <w:pPr>
        <w:spacing w:line="360" w:lineRule="auto"/>
        <w:contextualSpacing/>
        <w:rPr>
          <w:bCs/>
          <w:strike/>
          <w:sz w:val="24"/>
          <w:highlight w:val="yellow"/>
        </w:rPr>
      </w:pPr>
    </w:p>
    <w:tbl>
      <w:tblPr>
        <w:tblStyle w:val="4"/>
        <w:tblW w:w="89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275"/>
        <w:gridCol w:w="4395"/>
        <w:gridCol w:w="85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bookmarkStart w:id="0" w:name="_Hlk163373377"/>
            <w:r>
              <w:rPr>
                <w:rFonts w:hint="eastAsia"/>
              </w:rPr>
              <w:t>序号</w:t>
            </w:r>
            <w:bookmarkEnd w:id="0"/>
          </w:p>
        </w:tc>
        <w:tc>
          <w:tcPr>
            <w:tcW w:w="6670" w:type="dxa"/>
            <w:gridSpan w:val="2"/>
            <w:noWrap w:val="0"/>
            <w:vAlign w:val="center"/>
          </w:tcPr>
          <w:p>
            <w:pPr>
              <w:rPr>
                <w:rFonts w:hint="eastAsia"/>
              </w:rPr>
            </w:pPr>
            <w:r>
              <w:rPr>
                <w:rFonts w:hint="eastAsia"/>
              </w:rPr>
              <w:t>货物或服务名称</w:t>
            </w:r>
          </w:p>
        </w:tc>
        <w:tc>
          <w:tcPr>
            <w:tcW w:w="850" w:type="dxa"/>
            <w:noWrap w:val="0"/>
            <w:vAlign w:val="center"/>
          </w:tcPr>
          <w:p>
            <w:pPr>
              <w:rPr>
                <w:rFonts w:hint="eastAsia"/>
              </w:rPr>
            </w:pPr>
            <w:r>
              <w:rPr>
                <w:rFonts w:hint="eastAsia"/>
              </w:rPr>
              <w:t>数量</w:t>
            </w:r>
          </w:p>
        </w:tc>
        <w:tc>
          <w:tcPr>
            <w:tcW w:w="872" w:type="dxa"/>
            <w:noWrap w:val="0"/>
            <w:vAlign w:val="center"/>
          </w:tcPr>
          <w:p>
            <w:pPr>
              <w:rPr>
                <w:rFonts w:hint="eastAsia"/>
              </w:rPr>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restart"/>
            <w:noWrap w:val="0"/>
            <w:vAlign w:val="center"/>
          </w:tcPr>
          <w:p>
            <w:pPr>
              <w:rPr>
                <w:rFonts w:hint="eastAsia"/>
              </w:rPr>
            </w:pPr>
            <w:r>
              <w:rPr>
                <w:rFonts w:hint="eastAsia"/>
              </w:rPr>
              <w:t>1</w:t>
            </w:r>
          </w:p>
        </w:tc>
        <w:tc>
          <w:tcPr>
            <w:tcW w:w="2275" w:type="dxa"/>
            <w:vMerge w:val="restart"/>
            <w:noWrap w:val="0"/>
            <w:vAlign w:val="center"/>
          </w:tcPr>
          <w:p>
            <w:pPr>
              <w:rPr>
                <w:rFonts w:hint="eastAsia"/>
              </w:rPr>
            </w:pPr>
            <w:r>
              <w:rPr>
                <w:rFonts w:hint="eastAsia"/>
              </w:rPr>
              <w:t>云主机</w:t>
            </w:r>
          </w:p>
        </w:tc>
        <w:tc>
          <w:tcPr>
            <w:tcW w:w="4395" w:type="dxa"/>
            <w:noWrap w:val="0"/>
            <w:vAlign w:val="center"/>
          </w:tcPr>
          <w:p>
            <w:pPr>
              <w:rPr>
                <w:rFonts w:hint="eastAsia"/>
              </w:rPr>
            </w:pPr>
            <w:r>
              <w:rPr>
                <w:color w:val="000000"/>
                <w:sz w:val="18"/>
                <w:szCs w:val="18"/>
              </w:rPr>
              <w:t>2C4G</w:t>
            </w:r>
          </w:p>
        </w:tc>
        <w:tc>
          <w:tcPr>
            <w:tcW w:w="850" w:type="dxa"/>
            <w:noWrap w:val="0"/>
            <w:vAlign w:val="center"/>
          </w:tcPr>
          <w:p>
            <w:pPr>
              <w:rPr>
                <w:rFonts w:hint="eastAsia"/>
              </w:rPr>
            </w:pPr>
            <w:r>
              <w:rPr>
                <w:rFonts w:hint="eastAsia"/>
                <w:color w:val="000000"/>
                <w:sz w:val="18"/>
                <w:szCs w:val="18"/>
              </w:rPr>
              <w:t>5</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2C8G</w:t>
            </w:r>
          </w:p>
        </w:tc>
        <w:tc>
          <w:tcPr>
            <w:tcW w:w="850" w:type="dxa"/>
            <w:noWrap w:val="0"/>
            <w:vAlign w:val="center"/>
          </w:tcPr>
          <w:p>
            <w:pPr>
              <w:rPr>
                <w:rFonts w:hint="eastAsia"/>
              </w:rPr>
            </w:pPr>
            <w:r>
              <w:rPr>
                <w:rFonts w:hint="eastAsia"/>
                <w:color w:val="000000"/>
                <w:sz w:val="18"/>
                <w:szCs w:val="18"/>
              </w:rPr>
              <w:t>1</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4C8G</w:t>
            </w:r>
          </w:p>
        </w:tc>
        <w:tc>
          <w:tcPr>
            <w:tcW w:w="850" w:type="dxa"/>
            <w:noWrap w:val="0"/>
            <w:vAlign w:val="center"/>
          </w:tcPr>
          <w:p>
            <w:pPr>
              <w:rPr>
                <w:rFonts w:hint="eastAsia"/>
              </w:rPr>
            </w:pPr>
            <w:r>
              <w:rPr>
                <w:rFonts w:hint="eastAsia"/>
                <w:color w:val="000000"/>
                <w:sz w:val="18"/>
                <w:szCs w:val="18"/>
              </w:rPr>
              <w:t>136</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4C16G</w:t>
            </w:r>
          </w:p>
        </w:tc>
        <w:tc>
          <w:tcPr>
            <w:tcW w:w="850" w:type="dxa"/>
            <w:noWrap w:val="0"/>
            <w:vAlign w:val="center"/>
          </w:tcPr>
          <w:p>
            <w:pPr>
              <w:rPr>
                <w:rFonts w:hint="eastAsia"/>
              </w:rPr>
            </w:pPr>
            <w:r>
              <w:rPr>
                <w:rFonts w:hint="eastAsia"/>
                <w:color w:val="000000"/>
                <w:sz w:val="18"/>
                <w:szCs w:val="18"/>
              </w:rPr>
              <w:t>8</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8C16G</w:t>
            </w:r>
          </w:p>
        </w:tc>
        <w:tc>
          <w:tcPr>
            <w:tcW w:w="850" w:type="dxa"/>
            <w:noWrap w:val="0"/>
            <w:vAlign w:val="center"/>
          </w:tcPr>
          <w:p>
            <w:pPr>
              <w:rPr>
                <w:rFonts w:hint="eastAsia"/>
              </w:rPr>
            </w:pPr>
            <w:r>
              <w:rPr>
                <w:rFonts w:hint="eastAsia"/>
                <w:color w:val="000000"/>
                <w:sz w:val="18"/>
                <w:szCs w:val="18"/>
              </w:rPr>
              <w:t>56</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8C32G</w:t>
            </w:r>
          </w:p>
        </w:tc>
        <w:tc>
          <w:tcPr>
            <w:tcW w:w="850" w:type="dxa"/>
            <w:noWrap w:val="0"/>
            <w:vAlign w:val="center"/>
          </w:tcPr>
          <w:p>
            <w:pPr>
              <w:rPr>
                <w:rFonts w:hint="eastAsia"/>
              </w:rPr>
            </w:pPr>
            <w:r>
              <w:rPr>
                <w:rFonts w:hint="eastAsia"/>
                <w:color w:val="000000"/>
                <w:sz w:val="18"/>
                <w:szCs w:val="18"/>
              </w:rPr>
              <w:t>4</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8C64G</w:t>
            </w:r>
          </w:p>
        </w:tc>
        <w:tc>
          <w:tcPr>
            <w:tcW w:w="850" w:type="dxa"/>
            <w:noWrap w:val="0"/>
            <w:vAlign w:val="center"/>
          </w:tcPr>
          <w:p>
            <w:pPr>
              <w:rPr>
                <w:rFonts w:hint="eastAsia"/>
              </w:rPr>
            </w:pPr>
            <w:r>
              <w:rPr>
                <w:rFonts w:hint="eastAsia"/>
                <w:color w:val="000000"/>
                <w:sz w:val="18"/>
                <w:szCs w:val="18"/>
              </w:rPr>
              <w:t>1</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16C32G</w:t>
            </w:r>
          </w:p>
        </w:tc>
        <w:tc>
          <w:tcPr>
            <w:tcW w:w="850" w:type="dxa"/>
            <w:noWrap w:val="0"/>
            <w:vAlign w:val="center"/>
          </w:tcPr>
          <w:p>
            <w:pPr>
              <w:rPr>
                <w:rFonts w:hint="eastAsia"/>
              </w:rPr>
            </w:pPr>
            <w:r>
              <w:rPr>
                <w:rFonts w:hint="eastAsia"/>
                <w:color w:val="000000"/>
                <w:sz w:val="18"/>
                <w:szCs w:val="18"/>
              </w:rPr>
              <w:t>26</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16C64G</w:t>
            </w:r>
          </w:p>
        </w:tc>
        <w:tc>
          <w:tcPr>
            <w:tcW w:w="850" w:type="dxa"/>
            <w:noWrap w:val="0"/>
            <w:vAlign w:val="center"/>
          </w:tcPr>
          <w:p>
            <w:pPr>
              <w:rPr>
                <w:rFonts w:hint="eastAsia"/>
              </w:rPr>
            </w:pPr>
            <w:r>
              <w:rPr>
                <w:rFonts w:hint="eastAsia"/>
                <w:color w:val="000000"/>
                <w:sz w:val="18"/>
                <w:szCs w:val="18"/>
              </w:rPr>
              <w:t>9</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32C64G</w:t>
            </w:r>
          </w:p>
        </w:tc>
        <w:tc>
          <w:tcPr>
            <w:tcW w:w="850" w:type="dxa"/>
            <w:noWrap w:val="0"/>
            <w:vAlign w:val="center"/>
          </w:tcPr>
          <w:p>
            <w:pPr>
              <w:rPr>
                <w:rFonts w:hint="eastAsia"/>
              </w:rPr>
            </w:pPr>
            <w:r>
              <w:rPr>
                <w:rFonts w:hint="eastAsia"/>
                <w:color w:val="000000"/>
                <w:sz w:val="18"/>
                <w:szCs w:val="18"/>
              </w:rPr>
              <w:t>6</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color w:val="000000"/>
                <w:sz w:val="18"/>
                <w:szCs w:val="18"/>
              </w:rPr>
              <w:t>32C128G</w:t>
            </w:r>
          </w:p>
        </w:tc>
        <w:tc>
          <w:tcPr>
            <w:tcW w:w="850" w:type="dxa"/>
            <w:noWrap w:val="0"/>
            <w:vAlign w:val="center"/>
          </w:tcPr>
          <w:p>
            <w:pPr>
              <w:rPr>
                <w:rFonts w:hint="eastAsia"/>
              </w:rPr>
            </w:pPr>
            <w:r>
              <w:rPr>
                <w:rFonts w:hint="eastAsia"/>
                <w:color w:val="000000"/>
                <w:sz w:val="18"/>
                <w:szCs w:val="18"/>
              </w:rPr>
              <w:t>1</w:t>
            </w:r>
          </w:p>
        </w:tc>
        <w:tc>
          <w:tcPr>
            <w:tcW w:w="872" w:type="dxa"/>
            <w:noWrap w:val="0"/>
            <w:vAlign w:val="center"/>
          </w:tcPr>
          <w:p>
            <w:pPr>
              <w:rPr>
                <w:rFonts w:hint="eastAsia"/>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6117" w:type="dxa"/>
            <w:gridSpan w:val="3"/>
            <w:noWrap w:val="0"/>
            <w:vAlign w:val="center"/>
          </w:tcPr>
          <w:p>
            <w:pPr>
              <w:rPr>
                <w:rFonts w:hint="eastAsia"/>
              </w:rPr>
            </w:pPr>
            <w:r>
              <w:rPr>
                <w:rFonts w:hint="eastAsia"/>
              </w:rPr>
              <w:t>共1860C，4252G（以上资源可根据采购人需求进行再次分配）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rPr>
                <w:rFonts w:hint="eastAsia"/>
              </w:rPr>
            </w:pPr>
            <w:r>
              <w:rPr>
                <w:rFonts w:hint="eastAsia"/>
              </w:rPr>
              <w:t>2</w:t>
            </w:r>
          </w:p>
        </w:tc>
        <w:tc>
          <w:tcPr>
            <w:tcW w:w="2275" w:type="dxa"/>
            <w:noWrap w:val="0"/>
            <w:vAlign w:val="center"/>
          </w:tcPr>
          <w:p>
            <w:pPr>
              <w:rPr>
                <w:rFonts w:hint="eastAsia"/>
              </w:rPr>
            </w:pPr>
            <w:r>
              <w:rPr>
                <w:rFonts w:hint="eastAsia"/>
              </w:rPr>
              <w:t>通用型SSD</w:t>
            </w:r>
          </w:p>
        </w:tc>
        <w:tc>
          <w:tcPr>
            <w:tcW w:w="4395" w:type="dxa"/>
            <w:noWrap w:val="0"/>
            <w:vAlign w:val="center"/>
          </w:tcPr>
          <w:p>
            <w:pPr>
              <w:rPr>
                <w:rFonts w:hint="eastAsia"/>
              </w:rPr>
            </w:pPr>
            <w:r>
              <w:rPr>
                <w:rFonts w:hint="eastAsia"/>
              </w:rPr>
              <w:t>普通存储</w:t>
            </w:r>
          </w:p>
        </w:tc>
        <w:tc>
          <w:tcPr>
            <w:tcW w:w="850" w:type="dxa"/>
            <w:noWrap w:val="0"/>
            <w:vAlign w:val="center"/>
          </w:tcPr>
          <w:p>
            <w:pPr>
              <w:rPr>
                <w:rFonts w:hint="eastAsia"/>
              </w:rPr>
            </w:pPr>
            <w:r>
              <w:rPr>
                <w:rFonts w:hint="eastAsia"/>
              </w:rPr>
              <w:t>18000</w:t>
            </w:r>
          </w:p>
        </w:tc>
        <w:tc>
          <w:tcPr>
            <w:tcW w:w="872" w:type="dxa"/>
            <w:noWrap w:val="0"/>
            <w:vAlign w:val="center"/>
          </w:tcPr>
          <w:p>
            <w:pPr>
              <w:rPr>
                <w:rFonts w:hint="eastAsia"/>
              </w:rPr>
            </w:pPr>
            <w:r>
              <w:rPr>
                <w:rFonts w:hint="eastAsia"/>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rPr>
                <w:rFonts w:hint="eastAsia"/>
              </w:rPr>
            </w:pPr>
            <w:r>
              <w:rPr>
                <w:rFonts w:hint="eastAsia"/>
              </w:rPr>
              <w:t>3</w:t>
            </w:r>
          </w:p>
        </w:tc>
        <w:tc>
          <w:tcPr>
            <w:tcW w:w="2275" w:type="dxa"/>
            <w:noWrap w:val="0"/>
            <w:vAlign w:val="center"/>
          </w:tcPr>
          <w:p>
            <w:pPr>
              <w:rPr>
                <w:rFonts w:hint="eastAsia"/>
              </w:rPr>
            </w:pPr>
            <w:r>
              <w:rPr>
                <w:rFonts w:hint="eastAsia"/>
              </w:rPr>
              <w:t>性能型SSD</w:t>
            </w:r>
          </w:p>
        </w:tc>
        <w:tc>
          <w:tcPr>
            <w:tcW w:w="4395" w:type="dxa"/>
            <w:noWrap w:val="0"/>
            <w:vAlign w:val="center"/>
          </w:tcPr>
          <w:p>
            <w:pPr>
              <w:rPr>
                <w:rFonts w:hint="eastAsia"/>
              </w:rPr>
            </w:pPr>
            <w:r>
              <w:rPr>
                <w:rFonts w:hint="eastAsia"/>
              </w:rPr>
              <w:t>高性能存储</w:t>
            </w:r>
          </w:p>
        </w:tc>
        <w:tc>
          <w:tcPr>
            <w:tcW w:w="850" w:type="dxa"/>
            <w:noWrap w:val="0"/>
            <w:vAlign w:val="center"/>
          </w:tcPr>
          <w:p>
            <w:pPr>
              <w:rPr>
                <w:rFonts w:hint="eastAsia"/>
              </w:rPr>
            </w:pPr>
            <w:r>
              <w:rPr>
                <w:rFonts w:hint="eastAsia"/>
              </w:rPr>
              <w:t>170000</w:t>
            </w:r>
          </w:p>
        </w:tc>
        <w:tc>
          <w:tcPr>
            <w:tcW w:w="872" w:type="dxa"/>
            <w:noWrap w:val="0"/>
            <w:vAlign w:val="center"/>
          </w:tcPr>
          <w:p>
            <w:pPr>
              <w:rPr>
                <w:rFonts w:hint="eastAsia"/>
              </w:rPr>
            </w:pPr>
            <w:r>
              <w:rPr>
                <w:rFonts w:hint="eastAsia"/>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rPr>
                <w:rFonts w:hint="eastAsia"/>
              </w:rPr>
            </w:pPr>
            <w:r>
              <w:rPr>
                <w:rFonts w:hint="eastAsia"/>
              </w:rPr>
              <w:t>4</w:t>
            </w:r>
          </w:p>
        </w:tc>
        <w:tc>
          <w:tcPr>
            <w:tcW w:w="2275" w:type="dxa"/>
            <w:noWrap w:val="0"/>
            <w:vAlign w:val="center"/>
          </w:tcPr>
          <w:p>
            <w:pPr>
              <w:rPr>
                <w:rFonts w:hint="eastAsia"/>
              </w:rPr>
            </w:pPr>
            <w:r>
              <w:rPr>
                <w:rFonts w:hint="eastAsia"/>
              </w:rPr>
              <w:t>本地备份服务</w:t>
            </w:r>
          </w:p>
        </w:tc>
        <w:tc>
          <w:tcPr>
            <w:tcW w:w="4395" w:type="dxa"/>
            <w:noWrap w:val="0"/>
            <w:vAlign w:val="center"/>
          </w:tcPr>
          <w:p>
            <w:pPr>
              <w:rPr>
                <w:rFonts w:hint="eastAsia"/>
              </w:rPr>
            </w:pPr>
            <w:r>
              <w:rPr>
                <w:rFonts w:hint="eastAsia"/>
              </w:rPr>
              <w:t>本地备份服务</w:t>
            </w:r>
          </w:p>
        </w:tc>
        <w:tc>
          <w:tcPr>
            <w:tcW w:w="850" w:type="dxa"/>
            <w:noWrap w:val="0"/>
            <w:vAlign w:val="center"/>
          </w:tcPr>
          <w:p>
            <w:pPr>
              <w:rPr>
                <w:rFonts w:hint="eastAsia"/>
              </w:rPr>
            </w:pPr>
            <w:r>
              <w:rPr>
                <w:rFonts w:hint="eastAsia"/>
              </w:rPr>
              <w:t>188000</w:t>
            </w:r>
          </w:p>
        </w:tc>
        <w:tc>
          <w:tcPr>
            <w:tcW w:w="872" w:type="dxa"/>
            <w:noWrap w:val="0"/>
            <w:vAlign w:val="center"/>
          </w:tcPr>
          <w:p>
            <w:pPr>
              <w:rPr>
                <w:rFonts w:hint="eastAsia"/>
              </w:rPr>
            </w:pPr>
            <w:r>
              <w:rPr>
                <w:rFonts w:hint="eastAsia"/>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rPr>
                <w:rFonts w:hint="eastAsia"/>
              </w:rPr>
            </w:pPr>
            <w:r>
              <w:rPr>
                <w:rFonts w:hint="eastAsia"/>
              </w:rPr>
              <w:t>5</w:t>
            </w:r>
          </w:p>
        </w:tc>
        <w:tc>
          <w:tcPr>
            <w:tcW w:w="2275" w:type="dxa"/>
            <w:noWrap w:val="0"/>
            <w:vAlign w:val="center"/>
          </w:tcPr>
          <w:p>
            <w:pPr>
              <w:rPr>
                <w:rFonts w:hint="eastAsia"/>
              </w:rPr>
            </w:pPr>
            <w:r>
              <w:rPr>
                <w:rFonts w:hint="eastAsia"/>
              </w:rPr>
              <w:t>异地备份服务</w:t>
            </w:r>
          </w:p>
        </w:tc>
        <w:tc>
          <w:tcPr>
            <w:tcW w:w="4395" w:type="dxa"/>
            <w:noWrap w:val="0"/>
            <w:vAlign w:val="center"/>
          </w:tcPr>
          <w:p>
            <w:pPr>
              <w:rPr>
                <w:rFonts w:hint="eastAsia"/>
              </w:rPr>
            </w:pPr>
            <w:r>
              <w:rPr>
                <w:rFonts w:hint="eastAsia"/>
              </w:rPr>
              <w:t>异地备份服务</w:t>
            </w:r>
          </w:p>
        </w:tc>
        <w:tc>
          <w:tcPr>
            <w:tcW w:w="850" w:type="dxa"/>
            <w:noWrap w:val="0"/>
            <w:vAlign w:val="center"/>
          </w:tcPr>
          <w:p>
            <w:pPr>
              <w:rPr>
                <w:rFonts w:hint="eastAsia"/>
              </w:rPr>
            </w:pPr>
            <w:r>
              <w:rPr>
                <w:rFonts w:hint="eastAsia"/>
              </w:rPr>
              <w:t>66560</w:t>
            </w:r>
          </w:p>
        </w:tc>
        <w:tc>
          <w:tcPr>
            <w:tcW w:w="872" w:type="dxa"/>
            <w:noWrap w:val="0"/>
            <w:vAlign w:val="center"/>
          </w:tcPr>
          <w:p>
            <w:pPr>
              <w:rPr>
                <w:rFonts w:hint="eastAsia"/>
              </w:rPr>
            </w:pPr>
            <w:r>
              <w:rPr>
                <w:rFonts w:hint="eastAsia"/>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restart"/>
            <w:noWrap w:val="0"/>
            <w:vAlign w:val="center"/>
          </w:tcPr>
          <w:p>
            <w:pPr>
              <w:rPr>
                <w:rFonts w:hint="eastAsia"/>
              </w:rPr>
            </w:pPr>
            <w:r>
              <w:rPr>
                <w:rFonts w:hint="eastAsia"/>
              </w:rPr>
              <w:t>6</w:t>
            </w:r>
          </w:p>
        </w:tc>
        <w:tc>
          <w:tcPr>
            <w:tcW w:w="2275" w:type="dxa"/>
            <w:vMerge w:val="restart"/>
            <w:noWrap w:val="0"/>
            <w:vAlign w:val="center"/>
          </w:tcPr>
          <w:p>
            <w:pPr>
              <w:rPr>
                <w:rFonts w:hint="eastAsia"/>
              </w:rPr>
            </w:pPr>
            <w:r>
              <w:rPr>
                <w:rFonts w:hint="eastAsia"/>
              </w:rPr>
              <w:t>互联网链路服务</w:t>
            </w:r>
          </w:p>
        </w:tc>
        <w:tc>
          <w:tcPr>
            <w:tcW w:w="4395" w:type="dxa"/>
            <w:noWrap w:val="0"/>
            <w:vAlign w:val="center"/>
          </w:tcPr>
          <w:p>
            <w:pPr>
              <w:rPr>
                <w:rFonts w:hint="eastAsia"/>
              </w:rPr>
            </w:pPr>
            <w:r>
              <w:rPr>
                <w:rFonts w:hint="eastAsia"/>
              </w:rPr>
              <w:t>同时满足上、下</w:t>
            </w:r>
          </w:p>
          <w:p>
            <w:pPr>
              <w:rPr>
                <w:rFonts w:hint="eastAsia"/>
              </w:rPr>
            </w:pPr>
            <w:r>
              <w:rPr>
                <w:rFonts w:hint="eastAsia"/>
              </w:rPr>
              <w:t>1、互联网链路带宽；</w:t>
            </w:r>
          </w:p>
          <w:p>
            <w:pPr>
              <w:rPr>
                <w:rFonts w:hint="eastAsia"/>
              </w:rPr>
            </w:pPr>
            <w:r>
              <w:rPr>
                <w:rFonts w:hint="eastAsia"/>
              </w:rPr>
              <w:t xml:space="preserve">2、专线带宽： </w:t>
            </w:r>
          </w:p>
          <w:p>
            <w:pPr>
              <w:rPr>
                <w:rFonts w:hint="eastAsia"/>
              </w:rPr>
            </w:pPr>
            <w:r>
              <w:rPr>
                <w:rFonts w:hint="eastAsia"/>
              </w:rPr>
              <w:t>（1）北京互联网法院云机房至北京互联网法院≥500M；</w:t>
            </w:r>
          </w:p>
          <w:p>
            <w:pPr>
              <w:rPr>
                <w:rFonts w:hint="eastAsia"/>
              </w:rPr>
            </w:pPr>
            <w:r>
              <w:rPr>
                <w:rFonts w:hint="eastAsia"/>
              </w:rPr>
              <w:t>（2）北京互联网法院云机房至北京市高级人民法院云机房≥500M。</w:t>
            </w:r>
          </w:p>
        </w:tc>
        <w:tc>
          <w:tcPr>
            <w:tcW w:w="850" w:type="dxa"/>
            <w:noWrap w:val="0"/>
            <w:vAlign w:val="center"/>
          </w:tcPr>
          <w:p>
            <w:pPr>
              <w:rPr>
                <w:rFonts w:hint="eastAsia"/>
              </w:rPr>
            </w:pPr>
            <w:r>
              <w:rPr>
                <w:rFonts w:hint="eastAsia"/>
              </w:rPr>
              <w:t>1</w:t>
            </w:r>
          </w:p>
        </w:tc>
        <w:tc>
          <w:tcPr>
            <w:tcW w:w="872" w:type="dxa"/>
            <w:noWrap w:val="0"/>
            <w:vAlign w:val="center"/>
          </w:tcPr>
          <w:p>
            <w:pPr>
              <w:rPr>
                <w:rFonts w:hint="eastAsia"/>
              </w:rP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noWrap w:val="0"/>
            <w:vAlign w:val="center"/>
          </w:tcPr>
          <w:p/>
        </w:tc>
        <w:tc>
          <w:tcPr>
            <w:tcW w:w="2275" w:type="dxa"/>
            <w:vMerge w:val="continue"/>
            <w:noWrap w:val="0"/>
            <w:vAlign w:val="center"/>
          </w:tcPr>
          <w:p/>
        </w:tc>
        <w:tc>
          <w:tcPr>
            <w:tcW w:w="4395" w:type="dxa"/>
            <w:noWrap w:val="0"/>
            <w:vAlign w:val="center"/>
          </w:tcPr>
          <w:p>
            <w:pPr>
              <w:rPr>
                <w:rFonts w:hint="eastAsia"/>
              </w:rPr>
            </w:pPr>
            <w:r>
              <w:rPr>
                <w:rFonts w:hint="eastAsia"/>
              </w:rPr>
              <w:t>互联网IP地址租用服务、并提供备案服务</w:t>
            </w:r>
          </w:p>
        </w:tc>
        <w:tc>
          <w:tcPr>
            <w:tcW w:w="850" w:type="dxa"/>
            <w:noWrap w:val="0"/>
            <w:vAlign w:val="center"/>
          </w:tcPr>
          <w:p>
            <w:pPr>
              <w:rPr>
                <w:rFonts w:hint="eastAsia"/>
              </w:rPr>
            </w:pPr>
            <w:r>
              <w:rPr>
                <w:rFonts w:hint="eastAsia"/>
              </w:rPr>
              <w:t>49</w:t>
            </w:r>
          </w:p>
        </w:tc>
        <w:tc>
          <w:tcPr>
            <w:tcW w:w="872" w:type="dxa"/>
            <w:noWrap w:val="0"/>
            <w:vAlign w:val="center"/>
          </w:tcPr>
          <w:p>
            <w:pPr>
              <w:rPr>
                <w:rFonts w:hint="eastAsia"/>
              </w:rPr>
            </w:pPr>
            <w:r>
              <w:rPr>
                <w:rFonts w:hint="eastAsia"/>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rPr>
                <w:rFonts w:hint="eastAsia"/>
              </w:rPr>
            </w:pPr>
            <w:r>
              <w:rPr>
                <w:rFonts w:hint="eastAsia"/>
              </w:rPr>
              <w:t>7</w:t>
            </w:r>
          </w:p>
        </w:tc>
        <w:tc>
          <w:tcPr>
            <w:tcW w:w="2275" w:type="dxa"/>
            <w:noWrap w:val="0"/>
            <w:vAlign w:val="center"/>
          </w:tcPr>
          <w:p>
            <w:pPr>
              <w:rPr>
                <w:rFonts w:hint="eastAsia"/>
              </w:rPr>
            </w:pPr>
            <w:r>
              <w:rPr>
                <w:rFonts w:hint="eastAsia"/>
              </w:rPr>
              <w:t>主机负载均衡服务</w:t>
            </w:r>
          </w:p>
        </w:tc>
        <w:tc>
          <w:tcPr>
            <w:tcW w:w="4395" w:type="dxa"/>
            <w:noWrap w:val="0"/>
            <w:vAlign w:val="center"/>
          </w:tcPr>
          <w:p>
            <w:pPr>
              <w:rPr>
                <w:rFonts w:hint="eastAsia"/>
              </w:rPr>
            </w:pPr>
            <w:r>
              <w:rPr>
                <w:rFonts w:hint="eastAsia"/>
              </w:rPr>
              <w:t>主机负载均衡服务</w:t>
            </w:r>
          </w:p>
        </w:tc>
        <w:tc>
          <w:tcPr>
            <w:tcW w:w="850" w:type="dxa"/>
            <w:noWrap w:val="0"/>
            <w:vAlign w:val="center"/>
          </w:tcPr>
          <w:p>
            <w:pPr>
              <w:rPr>
                <w:rFonts w:hint="eastAsia"/>
              </w:rPr>
            </w:pPr>
            <w:r>
              <w:rPr>
                <w:rFonts w:hint="eastAsia"/>
              </w:rPr>
              <w:t>17</w:t>
            </w:r>
          </w:p>
        </w:tc>
        <w:tc>
          <w:tcPr>
            <w:tcW w:w="872" w:type="dxa"/>
            <w:noWrap w:val="0"/>
            <w:vAlign w:val="center"/>
          </w:tcPr>
          <w:p>
            <w:pPr>
              <w:rPr>
                <w:rFonts w:hint="eastAsia"/>
              </w:rPr>
            </w:pPr>
            <w:r>
              <w:rPr>
                <w:rFonts w:hint="eastAsia"/>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rPr>
                <w:rFonts w:hint="eastAsia"/>
              </w:rPr>
            </w:pPr>
            <w:r>
              <w:rPr>
                <w:rFonts w:hint="eastAsia"/>
              </w:rPr>
              <w:t>8</w:t>
            </w:r>
          </w:p>
        </w:tc>
        <w:tc>
          <w:tcPr>
            <w:tcW w:w="2275" w:type="dxa"/>
            <w:noWrap w:val="0"/>
            <w:vAlign w:val="center"/>
          </w:tcPr>
          <w:p>
            <w:pPr>
              <w:rPr>
                <w:rFonts w:hint="eastAsia"/>
              </w:rPr>
            </w:pPr>
            <w:r>
              <w:rPr>
                <w:rFonts w:hint="eastAsia"/>
              </w:rPr>
              <w:t>远程接入服务</w:t>
            </w:r>
          </w:p>
        </w:tc>
        <w:tc>
          <w:tcPr>
            <w:tcW w:w="4395" w:type="dxa"/>
            <w:noWrap w:val="0"/>
            <w:vAlign w:val="center"/>
          </w:tcPr>
          <w:p>
            <w:pPr>
              <w:rPr>
                <w:rFonts w:hint="eastAsia"/>
                <w:highlight w:val="yellow"/>
              </w:rPr>
            </w:pPr>
            <w:r>
              <w:rPr>
                <w:rFonts w:hint="eastAsia"/>
              </w:rPr>
              <w:t>远程接入服务</w:t>
            </w:r>
          </w:p>
        </w:tc>
        <w:tc>
          <w:tcPr>
            <w:tcW w:w="850" w:type="dxa"/>
            <w:noWrap w:val="0"/>
            <w:vAlign w:val="center"/>
          </w:tcPr>
          <w:p>
            <w:pPr>
              <w:rPr>
                <w:rFonts w:hint="eastAsia"/>
              </w:rPr>
            </w:pPr>
            <w:r>
              <w:rPr>
                <w:rFonts w:hint="eastAsia"/>
              </w:rPr>
              <w:t>100</w:t>
            </w:r>
          </w:p>
        </w:tc>
        <w:tc>
          <w:tcPr>
            <w:tcW w:w="872" w:type="dxa"/>
            <w:noWrap w:val="0"/>
            <w:vAlign w:val="center"/>
          </w:tcPr>
          <w:p>
            <w:pPr>
              <w:rPr>
                <w:rFonts w:hint="eastAsia"/>
              </w:rPr>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rPr>
                <w:rFonts w:hint="eastAsia"/>
              </w:rPr>
            </w:pPr>
            <w:r>
              <w:rPr>
                <w:rFonts w:hint="eastAsia"/>
              </w:rPr>
              <w:t>9</w:t>
            </w:r>
          </w:p>
        </w:tc>
        <w:tc>
          <w:tcPr>
            <w:tcW w:w="2275" w:type="dxa"/>
            <w:noWrap w:val="0"/>
            <w:vAlign w:val="center"/>
          </w:tcPr>
          <w:p>
            <w:pPr>
              <w:rPr>
                <w:rFonts w:hint="eastAsia"/>
              </w:rPr>
            </w:pPr>
            <w:r>
              <w:rPr>
                <w:rFonts w:hint="eastAsia"/>
              </w:rPr>
              <w:t>WAF防护</w:t>
            </w:r>
          </w:p>
        </w:tc>
        <w:tc>
          <w:tcPr>
            <w:tcW w:w="4395" w:type="dxa"/>
            <w:noWrap w:val="0"/>
            <w:vAlign w:val="center"/>
          </w:tcPr>
          <w:p>
            <w:pPr>
              <w:rPr>
                <w:rFonts w:hint="eastAsia"/>
              </w:rPr>
            </w:pPr>
            <w:r>
              <w:rPr>
                <w:rFonts w:hint="eastAsia"/>
              </w:rPr>
              <w:t>web应用防火墙服务</w:t>
            </w:r>
          </w:p>
        </w:tc>
        <w:tc>
          <w:tcPr>
            <w:tcW w:w="850" w:type="dxa"/>
            <w:noWrap w:val="0"/>
            <w:vAlign w:val="center"/>
          </w:tcPr>
          <w:p>
            <w:pPr>
              <w:rPr>
                <w:rFonts w:hint="eastAsia"/>
              </w:rPr>
            </w:pPr>
            <w:r>
              <w:rPr>
                <w:rFonts w:hint="eastAsia"/>
              </w:rPr>
              <w:t>12</w:t>
            </w:r>
          </w:p>
        </w:tc>
        <w:tc>
          <w:tcPr>
            <w:tcW w:w="872" w:type="dxa"/>
            <w:noWrap w:val="0"/>
            <w:vAlign w:val="center"/>
          </w:tcPr>
          <w:p>
            <w:pPr>
              <w:rPr>
                <w:rFonts w:hint="eastAsia"/>
              </w:rPr>
            </w:pPr>
            <w:r>
              <w:rPr>
                <w:rFonts w:hint="eastAsia"/>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noWrap w:val="0"/>
            <w:vAlign w:val="center"/>
          </w:tcPr>
          <w:p>
            <w:pPr>
              <w:rPr>
                <w:rFonts w:hint="eastAsia"/>
              </w:rPr>
            </w:pPr>
            <w:r>
              <w:rPr>
                <w:rFonts w:hint="eastAsia"/>
              </w:rPr>
              <w:t>10</w:t>
            </w:r>
          </w:p>
        </w:tc>
        <w:tc>
          <w:tcPr>
            <w:tcW w:w="2275" w:type="dxa"/>
            <w:noWrap w:val="0"/>
            <w:vAlign w:val="center"/>
          </w:tcPr>
          <w:p>
            <w:pPr>
              <w:rPr>
                <w:rFonts w:hint="eastAsia"/>
              </w:rPr>
            </w:pPr>
            <w:r>
              <w:rPr>
                <w:rFonts w:hint="eastAsia"/>
              </w:rPr>
              <w:t>特定云主机深度监控及运维保障服务（7*24小时值守）</w:t>
            </w:r>
          </w:p>
        </w:tc>
        <w:tc>
          <w:tcPr>
            <w:tcW w:w="4395" w:type="dxa"/>
            <w:noWrap w:val="0"/>
            <w:vAlign w:val="center"/>
          </w:tcPr>
          <w:p>
            <w:pPr>
              <w:rPr>
                <w:rFonts w:hint="eastAsia"/>
              </w:rPr>
            </w:pPr>
            <w:r>
              <w:rPr>
                <w:rFonts w:hint="eastAsia"/>
              </w:rPr>
              <w:t>7*24小时深度监测云主机资源、硬件设备监控、云平台层应急处置等内容</w:t>
            </w:r>
          </w:p>
        </w:tc>
        <w:tc>
          <w:tcPr>
            <w:tcW w:w="850" w:type="dxa"/>
            <w:noWrap w:val="0"/>
            <w:vAlign w:val="center"/>
          </w:tcPr>
          <w:p>
            <w:pPr>
              <w:rPr>
                <w:rFonts w:hint="eastAsia"/>
              </w:rPr>
            </w:pPr>
            <w:r>
              <w:rPr>
                <w:rFonts w:hint="eastAsia"/>
              </w:rPr>
              <w:t>253</w:t>
            </w:r>
          </w:p>
        </w:tc>
        <w:tc>
          <w:tcPr>
            <w:tcW w:w="872" w:type="dxa"/>
            <w:noWrap w:val="0"/>
            <w:vAlign w:val="center"/>
          </w:tcPr>
          <w:p>
            <w:pPr>
              <w:rPr>
                <w:rFonts w:hint="eastAsia"/>
              </w:rPr>
            </w:pPr>
            <w:r>
              <w:rPr>
                <w:rFonts w:hint="eastAsia"/>
              </w:rPr>
              <w:t>台</w:t>
            </w:r>
          </w:p>
        </w:tc>
      </w:tr>
    </w:tbl>
    <w:p>
      <w:pPr>
        <w:spacing w:line="360" w:lineRule="auto"/>
        <w:contextualSpacing/>
        <w:rPr>
          <w:rFonts w:hint="eastAsia"/>
          <w:bCs/>
          <w:sz w:val="24"/>
        </w:rPr>
      </w:pPr>
      <w:r>
        <w:rPr>
          <w:rFonts w:hint="eastAsia"/>
          <w:bCs/>
          <w:sz w:val="24"/>
          <w:highlight w:val="yellow"/>
        </w:rPr>
        <w:t>说明：本项目不接受进口产品。</w:t>
      </w:r>
      <w:r>
        <w:rPr>
          <w:rFonts w:hint="eastAsia"/>
          <w:bCs/>
          <w:sz w:val="24"/>
        </w:rPr>
        <w:t>云主机资源可根据采购人需求进行再次分配，主机负载均衡服务、远程接入服务、WAF防护、特定云主机深度监控及运维保障服务可按照采购人要求进行调整。</w:t>
      </w:r>
    </w:p>
    <w:p>
      <w:pPr>
        <w:spacing w:line="360" w:lineRule="auto"/>
        <w:contextualSpacing/>
        <w:rPr>
          <w:bCs/>
          <w:sz w:val="24"/>
        </w:rPr>
      </w:pPr>
      <w:r>
        <w:rPr>
          <w:bCs/>
          <w:sz w:val="24"/>
        </w:rPr>
        <w:t>2. 项目背景</w:t>
      </w:r>
    </w:p>
    <w:p>
      <w:pPr>
        <w:spacing w:line="360" w:lineRule="auto"/>
        <w:ind w:firstLine="480" w:firstLineChars="200"/>
        <w:contextualSpacing/>
        <w:rPr>
          <w:bCs/>
          <w:sz w:val="24"/>
        </w:rPr>
      </w:pPr>
      <w:r>
        <w:rPr>
          <w:rFonts w:hint="eastAsia"/>
          <w:bCs/>
          <w:sz w:val="24"/>
        </w:rPr>
        <w:t>根据《北京市法院信息化建设五年发展规划（2016-2020）》、《最高人民法院关于互联网法院审理案件若干问题的规定》等文件要求。2018年北京互联网法院成立以来，以北京市级政务云计算服务作为北京互联网法院信息系统的基础运行环境，承担了电子诉讼平台，门户网站、英文门户网站、微法院系统、区块链系统等11个系统的基础云资源服务。一直以来各系统运行平稳，主站访问超过3亿次，英文网站访问超过千万次。</w:t>
      </w:r>
    </w:p>
    <w:p>
      <w:pPr>
        <w:spacing w:line="360" w:lineRule="auto"/>
        <w:ind w:firstLine="480" w:firstLineChars="200"/>
        <w:contextualSpacing/>
        <w:rPr>
          <w:rFonts w:hint="eastAsia"/>
          <w:bCs/>
          <w:sz w:val="24"/>
        </w:rPr>
      </w:pPr>
      <w:r>
        <w:rPr>
          <w:rFonts w:hint="eastAsia"/>
          <w:bCs/>
          <w:sz w:val="24"/>
        </w:rPr>
        <w:t>本期要求租用市级政务云，租用计算资源、存储资源、网络资源、7*24小时运维等服务为北京互联网法院电子诉讼平台，门户网站、英文门户网站、微法院系统、区块链系统等系统提供稳定高质量的运行环境，保障各业务系统运行稳定。</w:t>
      </w:r>
    </w:p>
    <w:p>
      <w:pPr>
        <w:spacing w:line="360" w:lineRule="auto"/>
        <w:ind w:firstLine="482"/>
        <w:contextualSpacing/>
        <w:rPr>
          <w:b/>
          <w:sz w:val="24"/>
        </w:rPr>
      </w:pPr>
    </w:p>
    <w:p>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pPr>
        <w:spacing w:line="360" w:lineRule="auto"/>
        <w:contextualSpacing/>
        <w:jc w:val="left"/>
        <w:rPr>
          <w:i/>
          <w:sz w:val="24"/>
        </w:rPr>
      </w:pPr>
      <w:r>
        <w:rPr>
          <w:sz w:val="24"/>
        </w:rPr>
        <w:t>1. 交付（实施）的时间（期限）和地点（范围）</w:t>
      </w:r>
    </w:p>
    <w:p>
      <w:pPr>
        <w:snapToGrid w:val="0"/>
        <w:spacing w:before="119" w:line="360" w:lineRule="auto"/>
        <w:ind w:firstLine="480" w:firstLineChars="200"/>
        <w:jc w:val="left"/>
        <w:rPr>
          <w:rFonts w:hint="eastAsia" w:ascii="宋体" w:hAnsi="宋体"/>
          <w:sz w:val="24"/>
          <w:u w:val="single"/>
        </w:rPr>
      </w:pPr>
      <w:r>
        <w:rPr>
          <w:rFonts w:hint="eastAsia" w:ascii="宋体" w:hAnsi="宋体"/>
          <w:sz w:val="24"/>
        </w:rPr>
        <w:t>1.1 服务时间：　签订合同后一年（履行时间：2025</w:t>
      </w:r>
      <w:r>
        <w:rPr>
          <w:rFonts w:ascii="宋体" w:hAnsi="宋体"/>
          <w:sz w:val="24"/>
        </w:rPr>
        <w:t>年</w:t>
      </w:r>
      <w:r>
        <w:rPr>
          <w:rFonts w:hint="eastAsia" w:ascii="宋体" w:hAnsi="宋体"/>
          <w:sz w:val="24"/>
        </w:rPr>
        <w:t>6</w:t>
      </w:r>
      <w:r>
        <w:rPr>
          <w:rFonts w:ascii="宋体" w:hAnsi="宋体"/>
          <w:sz w:val="24"/>
        </w:rPr>
        <w:t>月</w:t>
      </w:r>
      <w:r>
        <w:rPr>
          <w:rFonts w:hint="eastAsia" w:ascii="宋体" w:hAnsi="宋体"/>
          <w:sz w:val="24"/>
        </w:rPr>
        <w:t>9日至2026</w:t>
      </w:r>
      <w:r>
        <w:rPr>
          <w:rFonts w:ascii="宋体" w:hAnsi="宋体"/>
          <w:sz w:val="24"/>
        </w:rPr>
        <w:t xml:space="preserve">年 </w:t>
      </w:r>
      <w:r>
        <w:rPr>
          <w:rFonts w:hint="eastAsia" w:ascii="宋体" w:hAnsi="宋体"/>
          <w:sz w:val="24"/>
        </w:rPr>
        <w:t>6月8日）。</w:t>
      </w:r>
    </w:p>
    <w:p>
      <w:pPr>
        <w:spacing w:line="360" w:lineRule="auto"/>
        <w:ind w:firstLine="480" w:firstLineChars="200"/>
        <w:contextualSpacing/>
        <w:jc w:val="left"/>
        <w:rPr>
          <w:rFonts w:hint="eastAsia" w:ascii="宋体" w:hAnsi="宋体"/>
          <w:sz w:val="24"/>
          <w:u w:val="single"/>
        </w:rPr>
      </w:pPr>
      <w:r>
        <w:rPr>
          <w:rFonts w:hint="eastAsia"/>
          <w:bCs/>
          <w:sz w:val="24"/>
        </w:rPr>
        <w:t>自签订合同起5日内，完成采购人云上部署应用及数据迁移。</w:t>
      </w:r>
    </w:p>
    <w:p>
      <w:pPr>
        <w:pStyle w:val="3"/>
        <w:spacing w:line="360" w:lineRule="auto"/>
        <w:ind w:firstLine="480" w:firstLineChars="200"/>
        <w:rPr>
          <w:rFonts w:hint="eastAsia"/>
        </w:rPr>
      </w:pPr>
      <w:r>
        <w:rPr>
          <w:rFonts w:hint="eastAsia"/>
          <w:color w:val="000000"/>
        </w:rPr>
        <w:t>1.2 服务地点：　</w:t>
      </w:r>
      <w:r>
        <w:rPr>
          <w:rFonts w:hint="eastAsia"/>
          <w:bCs/>
          <w:color w:val="000000"/>
        </w:rPr>
        <w:t>北京互联网法院</w:t>
      </w:r>
    </w:p>
    <w:p>
      <w:pPr>
        <w:spacing w:line="360" w:lineRule="auto"/>
        <w:contextualSpacing/>
        <w:rPr>
          <w:sz w:val="24"/>
        </w:rPr>
      </w:pPr>
      <w:r>
        <w:rPr>
          <w:sz w:val="24"/>
        </w:rPr>
        <w:t>2. 付款条件（进度和方式）</w:t>
      </w:r>
    </w:p>
    <w:p>
      <w:pPr>
        <w:spacing w:line="360" w:lineRule="auto"/>
        <w:ind w:firstLine="480" w:firstLineChars="200"/>
        <w:contextualSpacing/>
        <w:rPr>
          <w:bCs/>
          <w:sz w:val="24"/>
        </w:rPr>
      </w:pPr>
      <w:r>
        <w:rPr>
          <w:rFonts w:hint="eastAsia"/>
          <w:bCs/>
          <w:sz w:val="24"/>
        </w:rPr>
        <w:t>根据北京互联网法院内控管理制度规定，该项目合同分三期支付，其中合同签订后支付项目总金额的50%作为首付款，服务满半年后，若中标人无违约行为支付项目总金额45%的款项，合同到期前一个月，且完成验收服务后，若报价人无违约行可支付剩余5%的款项。</w:t>
      </w:r>
    </w:p>
    <w:p>
      <w:pPr>
        <w:spacing w:line="360" w:lineRule="auto"/>
        <w:contextualSpacing/>
        <w:rPr>
          <w:sz w:val="24"/>
        </w:rPr>
      </w:pPr>
      <w:r>
        <w:rPr>
          <w:sz w:val="24"/>
        </w:rPr>
        <w:t>4. 售后服务（质保期）</w:t>
      </w:r>
    </w:p>
    <w:p>
      <w:pPr>
        <w:spacing w:line="360" w:lineRule="auto"/>
        <w:ind w:firstLine="480" w:firstLineChars="200"/>
        <w:contextualSpacing/>
        <w:rPr>
          <w:bCs/>
          <w:sz w:val="24"/>
        </w:rPr>
      </w:pPr>
      <w:r>
        <w:rPr>
          <w:rFonts w:hint="eastAsia"/>
          <w:bCs/>
          <w:sz w:val="24"/>
        </w:rPr>
        <w:t>报价人对该项目要求配备专业人员成立售后服务团队，</w:t>
      </w:r>
      <w:bookmarkStart w:id="41" w:name="_GoBack"/>
      <w:bookmarkEnd w:id="41"/>
      <w:r>
        <w:rPr>
          <w:rFonts w:hint="eastAsia"/>
          <w:bCs/>
          <w:sz w:val="24"/>
        </w:rPr>
        <w:t>保障服务运维工作顺利开展；7*24小时云资源和网络链路稳定性监控保障服务；7*24小时IM群，快速响应，专家会诊，及时风险预警。VIP大客户专线、即时通讯客服、邮件客服，电话客服等；7*24小时产品运维团队提供专人专家技术支持；需要配合采购人进行系统等级保护检查；需要提供上门使用指导培训。报价人应当提供详实周到的系统使用培训服务，按照采购人要求对报价人提供的产品使用开展培训并提供7*24小时技术服务。</w:t>
      </w:r>
    </w:p>
    <w:p>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pPr>
        <w:spacing w:line="360" w:lineRule="auto"/>
        <w:contextualSpacing/>
        <w:rPr>
          <w:sz w:val="24"/>
        </w:rPr>
      </w:pPr>
      <w:r>
        <w:rPr>
          <w:sz w:val="24"/>
        </w:rPr>
        <w:t>1. 基本要求</w:t>
      </w:r>
    </w:p>
    <w:p>
      <w:pPr>
        <w:spacing w:line="360" w:lineRule="auto"/>
        <w:ind w:firstLine="480" w:firstLineChars="200"/>
        <w:contextualSpacing/>
        <w:rPr>
          <w:sz w:val="24"/>
        </w:rPr>
      </w:pPr>
      <w:r>
        <w:rPr>
          <w:rFonts w:hint="eastAsia"/>
          <w:sz w:val="24"/>
        </w:rPr>
        <w:t>本项目采购标的的总体要求及需满足的国家相关标准、行业标准、地方标准或者其他标准、规范如下：</w:t>
      </w:r>
    </w:p>
    <w:tbl>
      <w:tblPr>
        <w:tblStyle w:val="4"/>
        <w:tblW w:w="831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5"/>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56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contextualSpacing/>
              <w:rPr>
                <w:rFonts w:hint="eastAsia"/>
                <w:sz w:val="24"/>
              </w:rPr>
            </w:pPr>
            <w:r>
              <w:rPr>
                <w:rFonts w:hint="eastAsia"/>
                <w:sz w:val="24"/>
              </w:rPr>
              <w:t>指标项</w:t>
            </w:r>
          </w:p>
        </w:tc>
        <w:tc>
          <w:tcPr>
            <w:tcW w:w="675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contextualSpacing/>
              <w:rPr>
                <w:rFonts w:hint="eastAsia"/>
                <w:sz w:val="24"/>
              </w:rPr>
            </w:pPr>
            <w:r>
              <w:rPr>
                <w:rFonts w:hint="eastAsia"/>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r>
              <w:rPr>
                <w:rFonts w:hint="eastAsia"/>
                <w:sz w:val="24"/>
              </w:rPr>
              <w:t>合规性</w:t>
            </w:r>
            <w:r>
              <w:rPr>
                <w:rFonts w:ascii="Segoe UI Symbol" w:hAnsi="Segoe UI Symbol" w:cs="Segoe UI Symbol"/>
                <w:color w:val="000000"/>
                <w:kern w:val="0"/>
                <w:sz w:val="24"/>
              </w:rPr>
              <w:t>★</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r>
              <w:rPr>
                <w:rFonts w:hint="eastAsia"/>
                <w:sz w:val="24"/>
              </w:rPr>
              <w:t>不得转包此项目，需开具带有投标人公章的不转包项目承诺书。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r>
              <w:rPr>
                <w:rFonts w:hint="eastAsia"/>
                <w:sz w:val="24"/>
              </w:rPr>
              <w:t>可用区</w:t>
            </w:r>
            <w:r>
              <w:rPr>
                <w:rFonts w:ascii="Segoe UI Symbol" w:hAnsi="Segoe UI Symbol" w:cs="Segoe UI Symbol"/>
                <w:color w:val="000000"/>
                <w:kern w:val="0"/>
                <w:sz w:val="24"/>
              </w:rPr>
              <w:t>★</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r>
              <w:rPr>
                <w:rFonts w:hint="eastAsia"/>
                <w:sz w:val="24"/>
              </w:rPr>
              <w:t>本项目要求针对中国大陆地区，云厂商需提供跨城域的异地可用区，需出具带有投标人公章的有效证明材料。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r>
              <w:rPr>
                <w:rFonts w:hint="eastAsia"/>
                <w:sz w:val="24"/>
              </w:rPr>
              <w:t>网络接入</w:t>
            </w:r>
            <w:r>
              <w:rPr>
                <w:rFonts w:ascii="Segoe UI Symbol" w:hAnsi="Segoe UI Symbol" w:cs="Segoe UI Symbol"/>
                <w:color w:val="000000"/>
                <w:kern w:val="0"/>
                <w:sz w:val="24"/>
              </w:rPr>
              <w:t>★</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bookmarkStart w:id="1" w:name="_Hlk163373867"/>
            <w:r>
              <w:rPr>
                <w:rFonts w:hint="eastAsia"/>
                <w:sz w:val="24"/>
              </w:rPr>
              <w:t>中标后需满足投标人云机房专线至北京互联网法院</w:t>
            </w:r>
            <w:bookmarkEnd w:id="1"/>
            <w:r>
              <w:rPr>
                <w:rFonts w:hint="eastAsia"/>
                <w:sz w:val="24"/>
              </w:rPr>
              <w:t>、投标人云机房至北京市高级人民法院云机房专线，带宽皆不低于500M，需要开具带有投标人公章的承诺书。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bookmarkStart w:id="2" w:name="_Hlk163374023"/>
            <w:r>
              <w:rPr>
                <w:rFonts w:hint="eastAsia"/>
                <w:sz w:val="24"/>
              </w:rPr>
              <w:t>平台开放性要求#</w:t>
            </w:r>
            <w:bookmarkEnd w:id="2"/>
          </w:p>
        </w:tc>
        <w:tc>
          <w:tcPr>
            <w:tcW w:w="6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bookmarkStart w:id="3" w:name="_Hlk163374210"/>
            <w:r>
              <w:rPr>
                <w:rFonts w:hint="eastAsia"/>
                <w:sz w:val="24"/>
              </w:rPr>
              <w:t>支持用户自服务门户、命令行和</w:t>
            </w:r>
            <w:bookmarkEnd w:id="3"/>
            <w:r>
              <w:rPr>
                <w:rFonts w:hint="eastAsia"/>
                <w:sz w:val="24"/>
              </w:rPr>
              <w:t>open API，并向用户提供统一门户、统一服务和跨省备份，需出具有效证明材料（如API手册、web页面截图等）。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r>
              <w:rPr>
                <w:rFonts w:hint="eastAsia"/>
                <w:sz w:val="24"/>
              </w:rPr>
              <w:t>认证合规</w:t>
            </w:r>
            <w:r>
              <w:rPr>
                <w:rFonts w:ascii="Segoe UI Symbol" w:hAnsi="Segoe UI Symbol" w:cs="Segoe UI Symbol"/>
                <w:color w:val="000000"/>
                <w:kern w:val="0"/>
                <w:sz w:val="24"/>
              </w:rPr>
              <w:t>★</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bookmarkStart w:id="4" w:name="_Hlk163374338"/>
            <w:r>
              <w:rPr>
                <w:rFonts w:hint="eastAsia"/>
                <w:sz w:val="24"/>
              </w:rPr>
              <w:t>云平台需具备信息安全等级保护三级或以上等级的认证</w:t>
            </w:r>
            <w:bookmarkEnd w:id="4"/>
            <w:r>
              <w:rPr>
                <w:rFonts w:hint="eastAsia"/>
                <w:sz w:val="24"/>
              </w:rPr>
              <w:t>，需出具带有相关行政部门的有效证明材料。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r>
              <w:rPr>
                <w:rFonts w:hint="eastAsia"/>
                <w:sz w:val="24"/>
              </w:rPr>
              <w:t>云计算平台信息安全</w:t>
            </w:r>
            <w:bookmarkStart w:id="5" w:name="_Hlk163374372"/>
            <w:r>
              <w:rPr>
                <w:rFonts w:ascii="Segoe UI Symbol" w:hAnsi="Segoe UI Symbol" w:cs="Segoe UI Symbol"/>
                <w:color w:val="000000"/>
                <w:kern w:val="0"/>
                <w:sz w:val="24"/>
              </w:rPr>
              <w:t>★</w:t>
            </w:r>
            <w:bookmarkEnd w:id="5"/>
          </w:p>
        </w:tc>
        <w:tc>
          <w:tcPr>
            <w:tcW w:w="6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sz w:val="24"/>
              </w:rPr>
            </w:pPr>
            <w:bookmarkStart w:id="6" w:name="_Hlk163374362"/>
            <w:r>
              <w:rPr>
                <w:rFonts w:hint="eastAsia"/>
                <w:sz w:val="24"/>
              </w:rPr>
              <w:t>投标人须承诺数据的私有和安全</w:t>
            </w:r>
            <w:bookmarkEnd w:id="6"/>
            <w:r>
              <w:rPr>
                <w:rFonts w:hint="eastAsia"/>
                <w:sz w:val="24"/>
              </w:rPr>
              <w:t>，保证数据私密性，即投标人承诺在未获允许的情况下，不得使用我方在云上产生和使用的数据，不得提供给第三方，保证云平台产生的数据不会被挖掘，不会被用于广告或其他商业目的，需要开具带有投标人公章的承诺书。</w:t>
            </w:r>
          </w:p>
        </w:tc>
      </w:tr>
    </w:tbl>
    <w:p>
      <w:pPr>
        <w:spacing w:line="360" w:lineRule="auto"/>
        <w:contextualSpacing/>
        <w:rPr>
          <w:rFonts w:hint="eastAsia"/>
          <w:sz w:val="24"/>
        </w:rPr>
      </w:pPr>
      <w:r>
        <w:rPr>
          <w:rFonts w:hint="eastAsia"/>
          <w:sz w:val="24"/>
        </w:rPr>
        <w:t xml:space="preserve"> </w:t>
      </w:r>
    </w:p>
    <w:p>
      <w:pPr>
        <w:spacing w:line="360" w:lineRule="auto"/>
        <w:contextualSpacing/>
        <w:rPr>
          <w:sz w:val="24"/>
        </w:rPr>
      </w:pPr>
      <w:r>
        <w:rPr>
          <w:sz w:val="24"/>
        </w:rPr>
        <w:t>2. 服务内容及要求/货物技术要求</w:t>
      </w:r>
    </w:p>
    <w:p>
      <w:pPr>
        <w:widowControl/>
        <w:spacing w:line="360" w:lineRule="auto"/>
        <w:ind w:firstLine="480" w:firstLineChars="200"/>
        <w:contextualSpacing/>
        <w:rPr>
          <w:sz w:val="24"/>
        </w:rPr>
      </w:pPr>
      <w:r>
        <w:rPr>
          <w:rFonts w:hint="eastAsia"/>
          <w:sz w:val="24"/>
        </w:rPr>
        <w:t>本项目采购标的需满足的技术、服务要求如下，投标人需提供有效的证明材料、设计方案，满足采购标的的性能、功能等基本要求。</w:t>
      </w:r>
    </w:p>
    <w:p>
      <w:pPr>
        <w:widowControl/>
        <w:spacing w:line="360" w:lineRule="auto"/>
        <w:ind w:firstLine="480" w:firstLineChars="200"/>
        <w:contextualSpacing/>
        <w:rPr>
          <w:sz w:val="24"/>
        </w:rPr>
      </w:pPr>
      <w:r>
        <w:rPr>
          <w:rFonts w:hint="eastAsia"/>
          <w:sz w:val="24"/>
        </w:rPr>
        <w:t>2.1服务要求</w:t>
      </w:r>
    </w:p>
    <w:tbl>
      <w:tblPr>
        <w:tblStyle w:val="4"/>
        <w:tblW w:w="832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5"/>
        <w:gridCol w:w="6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contextualSpacing/>
              <w:rPr>
                <w:rFonts w:hint="eastAsia"/>
                <w:sz w:val="24"/>
              </w:rPr>
            </w:pPr>
            <w:r>
              <w:rPr>
                <w:rFonts w:hint="eastAsia"/>
                <w:sz w:val="24"/>
              </w:rPr>
              <w:t>指标项</w:t>
            </w:r>
          </w:p>
        </w:tc>
        <w:tc>
          <w:tcPr>
            <w:tcW w:w="676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contextualSpacing/>
              <w:rPr>
                <w:rFonts w:hint="eastAsia"/>
                <w:sz w:val="24"/>
              </w:rPr>
            </w:pPr>
            <w:r>
              <w:rPr>
                <w:rFonts w:hint="eastAsia"/>
                <w:sz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售后支持</w:t>
            </w:r>
            <w:bookmarkStart w:id="7" w:name="_Hlk163374598"/>
            <w:r>
              <w:rPr>
                <w:rFonts w:ascii="Segoe UI Symbol" w:hAnsi="Segoe UI Symbol" w:cs="Segoe UI Symbol"/>
                <w:color w:val="000000"/>
                <w:kern w:val="0"/>
                <w:sz w:val="24"/>
              </w:rPr>
              <w:t>★</w:t>
            </w:r>
            <w:bookmarkEnd w:id="7"/>
          </w:p>
        </w:tc>
        <w:tc>
          <w:tcPr>
            <w:tcW w:w="67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8" w:name="_Hlk163374606"/>
            <w:r>
              <w:rPr>
                <w:rFonts w:hint="eastAsia"/>
                <w:sz w:val="24"/>
              </w:rPr>
              <w:t>售后工程师提供全年7*24小时的电话，工单及IM实时支持，30分钟快速响应，需要开具带有投标人公章的承诺书</w:t>
            </w:r>
            <w:bookmarkEnd w:id="8"/>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9" w:name="_Hlk163374629"/>
            <w:r>
              <w:rPr>
                <w:rFonts w:hint="eastAsia"/>
                <w:sz w:val="24"/>
              </w:rPr>
              <w:t>迁入服务支持</w:t>
            </w:r>
            <w:bookmarkEnd w:id="9"/>
            <w:r>
              <w:rPr>
                <w:rFonts w:ascii="Segoe UI Symbol" w:hAnsi="Segoe UI Symbol" w:cs="Segoe UI Symbol"/>
                <w:color w:val="000000"/>
                <w:kern w:val="0"/>
                <w:sz w:val="24"/>
              </w:rPr>
              <w:t>★</w:t>
            </w:r>
          </w:p>
        </w:tc>
        <w:tc>
          <w:tcPr>
            <w:tcW w:w="67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0" w:name="_Hlk159580011"/>
            <w:r>
              <w:rPr>
                <w:rFonts w:hint="eastAsia"/>
                <w:sz w:val="24"/>
              </w:rPr>
              <w:t>本项目涉及的应用系统为采购人在用的生产系统，因此业务连续性是首要保障需求。如发生政务云迁移，投标人应承担以下服务：</w:t>
            </w:r>
            <w:bookmarkEnd w:id="10"/>
          </w:p>
          <w:p>
            <w:pPr>
              <w:widowControl/>
              <w:spacing w:line="360" w:lineRule="auto"/>
              <w:contextualSpacing/>
              <w:rPr>
                <w:rFonts w:hint="eastAsia"/>
                <w:sz w:val="24"/>
              </w:rPr>
            </w:pPr>
            <w:r>
              <w:rPr>
                <w:rFonts w:hint="eastAsia"/>
                <w:sz w:val="24"/>
              </w:rPr>
              <w:t>协助北京互联网法院部署在云上的应用服务商并联系原有云服务商配合做好迁移工作，并承担期间发生的全部费用（包括但不限于迁移测试阶段的云资源费用，第三方对业务系统的部署、调试费用等）。</w:t>
            </w:r>
          </w:p>
          <w:p>
            <w:pPr>
              <w:widowControl/>
              <w:spacing w:line="360" w:lineRule="auto"/>
              <w:contextualSpacing/>
              <w:rPr>
                <w:rFonts w:hint="eastAsia"/>
                <w:sz w:val="24"/>
              </w:rPr>
            </w:pPr>
            <w:r>
              <w:rPr>
                <w:rFonts w:hint="eastAsia"/>
                <w:sz w:val="24"/>
              </w:rPr>
              <w:t>以上需要开具带有投标人公章的承诺书。</w:t>
            </w:r>
          </w:p>
        </w:tc>
      </w:tr>
    </w:tbl>
    <w:p>
      <w:pPr>
        <w:widowControl/>
        <w:spacing w:line="360" w:lineRule="auto"/>
        <w:ind w:firstLine="480" w:firstLineChars="200"/>
        <w:contextualSpacing/>
        <w:rPr>
          <w:rFonts w:hint="eastAsia"/>
          <w:sz w:val="24"/>
        </w:rPr>
      </w:pPr>
      <w:r>
        <w:rPr>
          <w:rFonts w:hint="eastAsia"/>
          <w:sz w:val="24"/>
        </w:rPr>
        <w:t xml:space="preserve"> </w:t>
      </w:r>
    </w:p>
    <w:p>
      <w:pPr>
        <w:widowControl/>
        <w:spacing w:line="360" w:lineRule="auto"/>
        <w:ind w:firstLine="480" w:firstLineChars="200"/>
        <w:contextualSpacing/>
        <w:rPr>
          <w:rFonts w:hint="eastAsia"/>
          <w:sz w:val="24"/>
        </w:rPr>
      </w:pPr>
      <w:r>
        <w:rPr>
          <w:rFonts w:hint="eastAsia"/>
          <w:sz w:val="24"/>
        </w:rPr>
        <w:t>2.2主机要求</w:t>
      </w:r>
    </w:p>
    <w:tbl>
      <w:tblPr>
        <w:tblStyle w:val="4"/>
        <w:tblW w:w="831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5"/>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contextualSpacing/>
              <w:rPr>
                <w:rFonts w:hint="eastAsia"/>
                <w:sz w:val="24"/>
              </w:rPr>
            </w:pPr>
            <w:r>
              <w:rPr>
                <w:rFonts w:hint="eastAsia"/>
                <w:sz w:val="24"/>
              </w:rPr>
              <w:t>指标项</w:t>
            </w:r>
          </w:p>
        </w:tc>
        <w:tc>
          <w:tcPr>
            <w:tcW w:w="675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contextualSpacing/>
              <w:rPr>
                <w:rFonts w:hint="eastAsia"/>
                <w:sz w:val="24"/>
              </w:rPr>
            </w:pPr>
            <w:r>
              <w:rPr>
                <w:rFonts w:hint="eastAsia"/>
                <w:sz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5"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可用性要求#</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按内存不复用方式分配资源，要求CPU主频≥2.4GHz，云主机SLA，对于单实例单可用区维度，云主机的服务可用性不低于99.97%；单地域多可用区维度，云主机的服务可用性不低于99.97%，需出具承诺书，需出具带有投标人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性能要求</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1" w:name="_Hlk163375191"/>
            <w:r>
              <w:rPr>
                <w:rFonts w:hint="eastAsia"/>
                <w:sz w:val="24"/>
              </w:rPr>
              <w:t>支持双路服务器，可以基于服务器的每路CPU进行独立调度，同时支持两路RAID卡和两路网卡的独立调度，以提升云主机的性能。</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操作要求#</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2" w:name="_Hlk163375260"/>
            <w:r>
              <w:rPr>
                <w:rFonts w:hint="eastAsia"/>
                <w:sz w:val="24"/>
              </w:rPr>
              <w:t>支持调整</w:t>
            </w:r>
            <w:bookmarkEnd w:id="12"/>
            <w:r>
              <w:rPr>
                <w:rFonts w:hint="eastAsia"/>
                <w:sz w:val="24"/>
              </w:rPr>
              <w:t>CPU核数、内存大小；支持镜像：官方/私有/共享镜像，支持导入、导出、共享/取消共享、整机镜像，需提供操作关键步骤截图。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动态资源扩展#</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3" w:name="_Hlk163375330"/>
            <w:r>
              <w:rPr>
                <w:rFonts w:hint="eastAsia"/>
                <w:sz w:val="24"/>
              </w:rPr>
              <w:t>支持对云主机扩展和收缩策略的灵活配置，能够根据云主机CPU、内存等参数动态的克隆云主机或删除云主机以满足业务量大时使用多个云主机提供服务、业务量少时使用少量云主机提供服务的业务需求，整个过程不需要人工干预，同时支持对业务云主机组的统一负载监控和负载状态展示，需提供操作关键步骤截图</w:t>
            </w:r>
            <w:bookmarkEnd w:id="13"/>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4" w:name="_Hlk163375548"/>
            <w:r>
              <w:rPr>
                <w:rFonts w:hint="eastAsia"/>
                <w:sz w:val="24"/>
              </w:rPr>
              <w:t>资源开通方式#</w:t>
            </w:r>
            <w:bookmarkEnd w:id="14"/>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支持灵活的资源开通方式，支持直接开通，也支持按部门或云服务设置为审批模式，通过审批流程开通资源。直通模式和审批模式可以依据业务交叉设置，需提供国家认可的第三方权威机构出具的测试报告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资源混部#</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5" w:name="_Hlk163375612"/>
            <w:r>
              <w:rPr>
                <w:rFonts w:hint="eastAsia"/>
                <w:sz w:val="24"/>
              </w:rPr>
              <w:t>云平台应支持ECS、容器、数据库同一资源池部署，即同一物理机可以同时创建ECS、容器和数据库实例。需提供国家认可的第三方权威机构出具的测试报告作为证明材料</w:t>
            </w:r>
            <w:bookmarkEnd w:id="15"/>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安全要求#</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6" w:name="_Hlk163375862"/>
            <w:r>
              <w:rPr>
                <w:rFonts w:hint="eastAsia"/>
                <w:sz w:val="24"/>
              </w:rPr>
              <w:t>安全组、SSH安全密钥、IAM访问权限控制、实时监控报警、节点故障自动恢复，支持租户删除云主机，放入回收站，并可从回收站恢复云主机。需提供操作关键步骤截图</w:t>
            </w:r>
            <w:bookmarkEnd w:id="16"/>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登录访问限制#</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支持配置云服务器ECS的登录访问控制，支持IP黑白名单、会话超时时间、连续登录失败锁定用户、密码强度设置等功能，需提供国家认可的第三方权威机构出具的测试报告作为证明材料。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9"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兼容性要求#</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7" w:name="_Hlk163376155"/>
            <w:r>
              <w:rPr>
                <w:rFonts w:hint="eastAsia"/>
                <w:sz w:val="24"/>
              </w:rPr>
              <w:t>云平台采用云原生技术实现，支持ECS、容器、数据库等多个云服务在一个Kubernetes集群调度与管理，需提供国家认可的第三方权威机构出具的测试报告作为证明材料</w:t>
            </w:r>
            <w:bookmarkEnd w:id="17"/>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1"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可维护性#</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8" w:name="_Hlk163376227"/>
            <w:r>
              <w:rPr>
                <w:rFonts w:hint="eastAsia"/>
                <w:sz w:val="24"/>
              </w:rPr>
              <w:t>支持单虚拟机实例升级Qemu，支持多个Qemu版本的虚拟机同时运行，需提供国家认可的第三方权威机构出具的测试报告作为证明材料</w:t>
            </w:r>
            <w:bookmarkEnd w:id="18"/>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5"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技术支持#</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19" w:name="_Hlk163376324"/>
            <w:r>
              <w:rPr>
                <w:rFonts w:hint="eastAsia"/>
                <w:sz w:val="24"/>
              </w:rPr>
              <w:t>支持同一集群内同时运行多种体系架构CPU虚拟机，同一资源池支持多种体系架构CPU，需提供国家认可的第三方权威机构出具的测试报告作为证明材料。</w:t>
            </w:r>
            <w:bookmarkEnd w:id="19"/>
          </w:p>
          <w:p>
            <w:pPr>
              <w:widowControl/>
              <w:spacing w:line="360" w:lineRule="auto"/>
              <w:contextualSpacing/>
              <w:rPr>
                <w:rFonts w:hint="eastAsia"/>
                <w:sz w:val="24"/>
              </w:rPr>
            </w:pPr>
            <w:r>
              <w:rPr>
                <w:rFonts w:hint="eastAsia"/>
                <w:sz w:val="24"/>
              </w:rPr>
              <w:t>同时，在与采购人缔约期间，如采购人要求“XC”升级，投标人应无偿在云侧进行相关支持，如支持集群内X86、ARM架构服务器并存等，需要开具带有投标人公章的承诺书。</w:t>
            </w:r>
          </w:p>
        </w:tc>
      </w:tr>
    </w:tbl>
    <w:p>
      <w:pPr>
        <w:widowControl/>
        <w:spacing w:line="360" w:lineRule="auto"/>
        <w:ind w:firstLine="480" w:firstLineChars="200"/>
        <w:contextualSpacing/>
        <w:rPr>
          <w:rFonts w:hint="eastAsia"/>
          <w:sz w:val="24"/>
        </w:rPr>
      </w:pPr>
      <w:r>
        <w:rPr>
          <w:rFonts w:hint="eastAsia"/>
          <w:sz w:val="24"/>
        </w:rPr>
        <w:t>2.3存储要求</w:t>
      </w:r>
    </w:p>
    <w:tbl>
      <w:tblPr>
        <w:tblStyle w:val="4"/>
        <w:tblW w:w="831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5"/>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contextualSpacing/>
              <w:rPr>
                <w:rFonts w:hint="eastAsia"/>
                <w:sz w:val="24"/>
              </w:rPr>
            </w:pPr>
            <w:r>
              <w:rPr>
                <w:rFonts w:hint="eastAsia"/>
                <w:sz w:val="24"/>
              </w:rPr>
              <w:t xml:space="preserve"> 指标项</w:t>
            </w:r>
          </w:p>
        </w:tc>
        <w:tc>
          <w:tcPr>
            <w:tcW w:w="675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contextualSpacing/>
              <w:rPr>
                <w:rFonts w:hint="eastAsia"/>
                <w:sz w:val="24"/>
              </w:rPr>
            </w:pPr>
            <w:r>
              <w:rPr>
                <w:rFonts w:hint="eastAsia"/>
                <w:sz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20" w:name="_Hlk163376511"/>
            <w:r>
              <w:rPr>
                <w:rFonts w:hint="eastAsia"/>
                <w:sz w:val="24"/>
              </w:rPr>
              <w:t>可靠性要求#</w:t>
            </w:r>
            <w:bookmarkEnd w:id="20"/>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为确保数据可靠性，云平台关键组件支持多副本方式部署，不存在单点故障隐患，支持纠删码，需提供国家认可的第三方权威机构出具的测试报告作为证明材料。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性能要求#</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提供SSD云硬盘、需要支持云硬盘形式的系统盘卸载和挂载、具备多挂载点、高并发性、高可靠性等特点；需支持在线调整性能级别，无需停机或迁移数据；需支持文件存储；需提供操作关键步骤截图。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4"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快照要求#</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支持通过快照链特性将同一块云硬盘的所有快照组成的关系链，每个关系链的节点表示云硬盘的一份快照，需提供国家认可的第三方权威机构出具的测试报告作为证明材料。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使用要求#</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r>
              <w:rPr>
                <w:rFonts w:hint="eastAsia"/>
                <w:sz w:val="24"/>
              </w:rPr>
              <w:t>支持服务器扩展，扩容过程中不影响对外服务；系统整体架构无单点故障，支持在线更换坏盘、热备盘；支持更换实例的系统盘，更换系统盘前后，实例的IP、MAC地址保持不变，需提供操作关键步骤截图。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0"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21" w:name="_Hlk159592975"/>
            <w:r>
              <w:rPr>
                <w:rFonts w:hint="eastAsia"/>
                <w:sz w:val="24"/>
              </w:rPr>
              <w:t>安全要求#</w:t>
            </w:r>
            <w:bookmarkEnd w:id="21"/>
          </w:p>
        </w:tc>
        <w:tc>
          <w:tcPr>
            <w:tcW w:w="6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rPr>
                <w:rFonts w:hint="eastAsia"/>
                <w:sz w:val="24"/>
              </w:rPr>
            </w:pPr>
            <w:bookmarkStart w:id="22" w:name="_Hlk159592962"/>
            <w:r>
              <w:rPr>
                <w:rFonts w:hint="eastAsia"/>
                <w:sz w:val="24"/>
              </w:rPr>
              <w:t>支持对云盘数据进行加密持久化保存，加密算法支持国际通用AES256和国密SM4，能够实现不同存储节点的数据差异不超过5%，整个集群空间利用率达95%以上。需提供国家认可的第三方权威机构出具的测试报告作为证明材料。</w:t>
            </w:r>
            <w:bookmarkEnd w:id="22"/>
          </w:p>
        </w:tc>
      </w:tr>
    </w:tbl>
    <w:p>
      <w:pPr>
        <w:widowControl/>
        <w:spacing w:line="360" w:lineRule="auto"/>
        <w:ind w:firstLine="480" w:firstLineChars="200"/>
        <w:contextualSpacing/>
        <w:rPr>
          <w:rFonts w:hint="eastAsia"/>
          <w:sz w:val="24"/>
        </w:rPr>
      </w:pPr>
      <w:r>
        <w:rPr>
          <w:rFonts w:hint="eastAsia"/>
          <w:sz w:val="24"/>
        </w:rPr>
        <w:t>2.4网络要求</w:t>
      </w:r>
    </w:p>
    <w:tbl>
      <w:tblPr>
        <w:tblStyle w:val="4"/>
        <w:tblW w:w="8316" w:type="dxa"/>
        <w:tblInd w:w="98" w:type="dxa"/>
        <w:tblLayout w:type="fixed"/>
        <w:tblCellMar>
          <w:top w:w="0" w:type="dxa"/>
          <w:left w:w="0" w:type="dxa"/>
          <w:bottom w:w="0" w:type="dxa"/>
          <w:right w:w="0" w:type="dxa"/>
        </w:tblCellMar>
      </w:tblPr>
      <w:tblGrid>
        <w:gridCol w:w="1565"/>
        <w:gridCol w:w="6751"/>
      </w:tblGrid>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spacing w:line="360" w:lineRule="auto"/>
              <w:contextualSpacing/>
              <w:rPr>
                <w:rFonts w:hint="eastAsia"/>
                <w:sz w:val="24"/>
              </w:rPr>
            </w:pPr>
            <w:r>
              <w:rPr>
                <w:rFonts w:hint="eastAsia"/>
                <w:sz w:val="24"/>
              </w:rPr>
              <w:t>指标项</w:t>
            </w:r>
          </w:p>
        </w:tc>
        <w:tc>
          <w:tcPr>
            <w:tcW w:w="6751" w:type="dxa"/>
            <w:tcBorders>
              <w:top w:val="single" w:color="000000" w:sz="4" w:space="0"/>
              <w:left w:val="nil"/>
              <w:bottom w:val="single" w:color="000000" w:sz="4" w:space="0"/>
              <w:right w:val="single" w:color="000000" w:sz="4" w:space="0"/>
            </w:tcBorders>
            <w:shd w:val="clear" w:color="auto" w:fill="D9D9D9"/>
            <w:noWrap w:val="0"/>
            <w:vAlign w:val="top"/>
          </w:tcPr>
          <w:p>
            <w:pPr>
              <w:widowControl/>
              <w:spacing w:line="360" w:lineRule="auto"/>
              <w:contextualSpacing/>
              <w:rPr>
                <w:rFonts w:hint="eastAsia"/>
                <w:sz w:val="24"/>
              </w:rPr>
            </w:pPr>
            <w:r>
              <w:rPr>
                <w:rFonts w:hint="eastAsia"/>
                <w:sz w:val="24"/>
              </w:rPr>
              <w:t>招标要求</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bookmarkStart w:id="23" w:name="_Hlk163377092"/>
            <w:r>
              <w:rPr>
                <w:rFonts w:hint="eastAsia"/>
                <w:sz w:val="24"/>
              </w:rPr>
              <w:t>支</w:t>
            </w:r>
            <w:bookmarkEnd w:id="23"/>
            <w:r>
              <w:rPr>
                <w:rFonts w:hint="eastAsia"/>
                <w:sz w:val="24"/>
              </w:rPr>
              <w:t>持SDN或OVS</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能通过SDN控制器实现对物理网络设备或OVS虚拟网元等自动化配置。</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组网模式#</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支持VLAN或基于VXLAN的其他技术组网模式。支持VPC互通（若成交后必须满足北京互联网法院与北京市高级人民法院云主机互通），需出具带有投标人公章的承诺书。</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IP地址重叠</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支持租户IP地址重叠及支持子网跨AZ，如涉及服务迁移可保持云内网IP不变。</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云防火墙服务</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云管理平台能够提供云防火墙服务。</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IPV4/6双模</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支持IPV4/6双模配置。</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IP管理#</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公网IP：支持增删改查、绑定和解绑资源、调整带宽及支持无预设的CIDR块，需提供操作关键步骤截图。</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安全性#</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VPC隔离、子网级ACL一级防护，实例级安全组二级防护、支持高可用路由，需提供操作关键步骤截图。</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专有网络VPC#</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VPC内支持同时创建标准型子网与直通型子网，VPC直通型子网支持访问外网，VPC标准型子网可通过EIP/NAT网关访问外网。需提供国家认可的第三方权威机构出具的测试报告作为证明材料。</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负载均衡</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支持无负载均衡实体的负载均衡服务，提供软件定义的全可用区不低于3层网络负载均衡，兼具高性能且支持大额并发；应用负载均衡支持TCP\UDP\HTTP\HTTPS等多种协议的不同端口侦听服务。</w:t>
            </w:r>
          </w:p>
        </w:tc>
      </w:tr>
      <w:tr>
        <w:tblPrEx>
          <w:tblLayout w:type="fixed"/>
          <w:tblCellMar>
            <w:top w:w="0" w:type="dxa"/>
            <w:left w:w="0" w:type="dxa"/>
            <w:bottom w:w="0" w:type="dxa"/>
            <w:right w:w="0" w:type="dxa"/>
          </w:tblCellMar>
        </w:tblPrEx>
        <w:trPr>
          <w:trHeight w:val="20" w:hRule="atLeast"/>
        </w:trPr>
        <w:tc>
          <w:tcPr>
            <w:tcW w:w="156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域名转换</w:t>
            </w:r>
          </w:p>
        </w:tc>
        <w:tc>
          <w:tcPr>
            <w:tcW w:w="6751" w:type="dxa"/>
            <w:tcBorders>
              <w:top w:val="single" w:color="000000" w:sz="4" w:space="0"/>
              <w:left w:val="nil"/>
              <w:bottom w:val="single" w:color="000000" w:sz="4" w:space="0"/>
              <w:right w:val="single" w:color="000000" w:sz="4" w:space="0"/>
            </w:tcBorders>
            <w:noWrap w:val="0"/>
            <w:vAlign w:val="top"/>
          </w:tcPr>
          <w:p>
            <w:pPr>
              <w:widowControl/>
              <w:spacing w:line="360" w:lineRule="auto"/>
              <w:contextualSpacing/>
              <w:rPr>
                <w:rFonts w:hint="eastAsia"/>
                <w:sz w:val="24"/>
              </w:rPr>
            </w:pPr>
            <w:r>
              <w:rPr>
                <w:rFonts w:hint="eastAsia"/>
                <w:sz w:val="24"/>
              </w:rPr>
              <w:t>涉及域名于公网IP映射关系需对DNS进行配置。支持智能解析，提供基于物理位置或者基于权重的智能返回。</w:t>
            </w:r>
          </w:p>
        </w:tc>
      </w:tr>
    </w:tbl>
    <w:p>
      <w:pPr>
        <w:widowControl/>
        <w:spacing w:line="360" w:lineRule="auto"/>
        <w:ind w:firstLine="480" w:firstLineChars="200"/>
        <w:contextualSpacing/>
        <w:rPr>
          <w:rFonts w:hint="eastAsia"/>
          <w:sz w:val="24"/>
        </w:rPr>
      </w:pPr>
      <w:r>
        <w:rPr>
          <w:rFonts w:hint="eastAsia"/>
          <w:sz w:val="24"/>
        </w:rPr>
        <w:t>2.5安全要求</w:t>
      </w:r>
    </w:p>
    <w:tbl>
      <w:tblPr>
        <w:tblStyle w:val="4"/>
        <w:tblW w:w="831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5"/>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shd w:val="clear" w:color="auto" w:fill="D9D9D9"/>
            <w:noWrap w:val="0"/>
            <w:vAlign w:val="top"/>
          </w:tcPr>
          <w:p>
            <w:pPr>
              <w:widowControl/>
              <w:spacing w:line="360" w:lineRule="auto"/>
              <w:contextualSpacing/>
              <w:rPr>
                <w:rFonts w:hint="eastAsia"/>
                <w:sz w:val="24"/>
              </w:rPr>
            </w:pPr>
            <w:r>
              <w:rPr>
                <w:rFonts w:hint="eastAsia"/>
                <w:sz w:val="24"/>
              </w:rPr>
              <w:t xml:space="preserve"> 指标项</w:t>
            </w:r>
          </w:p>
        </w:tc>
        <w:tc>
          <w:tcPr>
            <w:tcW w:w="6751" w:type="dxa"/>
            <w:shd w:val="clear" w:color="auto" w:fill="D9D9D9"/>
            <w:noWrap w:val="0"/>
            <w:vAlign w:val="top"/>
          </w:tcPr>
          <w:p>
            <w:pPr>
              <w:widowControl/>
              <w:spacing w:line="360" w:lineRule="auto"/>
              <w:contextualSpacing/>
              <w:rPr>
                <w:rFonts w:hint="eastAsia"/>
                <w:sz w:val="24"/>
              </w:rPr>
            </w:pPr>
            <w:r>
              <w:rPr>
                <w:rFonts w:hint="eastAsia"/>
                <w:sz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noWrap w:val="0"/>
            <w:vAlign w:val="top"/>
          </w:tcPr>
          <w:p>
            <w:pPr>
              <w:widowControl/>
              <w:spacing w:line="360" w:lineRule="auto"/>
              <w:contextualSpacing/>
              <w:rPr>
                <w:rFonts w:hint="eastAsia"/>
                <w:sz w:val="24"/>
              </w:rPr>
            </w:pPr>
            <w:bookmarkStart w:id="24" w:name="_Hlk163377780"/>
            <w:r>
              <w:rPr>
                <w:rFonts w:hint="eastAsia"/>
                <w:sz w:val="24"/>
              </w:rPr>
              <w:t>基础防护#</w:t>
            </w:r>
            <w:bookmarkEnd w:id="24"/>
          </w:p>
        </w:tc>
        <w:tc>
          <w:tcPr>
            <w:tcW w:w="6751" w:type="dxa"/>
            <w:noWrap w:val="0"/>
            <w:vAlign w:val="top"/>
          </w:tcPr>
          <w:p>
            <w:pPr>
              <w:widowControl/>
              <w:spacing w:line="360" w:lineRule="auto"/>
              <w:contextualSpacing/>
              <w:rPr>
                <w:rFonts w:hint="eastAsia"/>
                <w:sz w:val="24"/>
              </w:rPr>
            </w:pPr>
            <w:r>
              <w:rPr>
                <w:rFonts w:hint="eastAsia"/>
                <w:sz w:val="24"/>
              </w:rPr>
              <w:t>能够有效抵御 SYN Flood、UDP Flood、ACK Flood、ICMP Flood 等各种常见DDoS 攻击，需出具带有投标人公章的承诺书。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restart"/>
            <w:noWrap w:val="0"/>
            <w:vAlign w:val="top"/>
          </w:tcPr>
          <w:p>
            <w:pPr>
              <w:widowControl/>
              <w:spacing w:line="360" w:lineRule="auto"/>
              <w:contextualSpacing/>
              <w:rPr>
                <w:rFonts w:hint="eastAsia"/>
                <w:sz w:val="24"/>
              </w:rPr>
            </w:pPr>
            <w:r>
              <w:rPr>
                <w:rFonts w:hint="eastAsia"/>
                <w:sz w:val="24"/>
              </w:rPr>
              <w:t>WEB 应用防火墙#</w:t>
            </w:r>
          </w:p>
        </w:tc>
        <w:tc>
          <w:tcPr>
            <w:tcW w:w="6751" w:type="dxa"/>
            <w:noWrap w:val="0"/>
            <w:vAlign w:val="top"/>
          </w:tcPr>
          <w:p>
            <w:pPr>
              <w:widowControl/>
              <w:spacing w:line="360" w:lineRule="auto"/>
              <w:contextualSpacing/>
              <w:rPr>
                <w:rFonts w:hint="eastAsia"/>
                <w:sz w:val="24"/>
              </w:rPr>
            </w:pPr>
            <w:bookmarkStart w:id="25" w:name="_Hlk163377978"/>
            <w:r>
              <w:rPr>
                <w:rFonts w:hint="eastAsia"/>
                <w:sz w:val="24"/>
              </w:rPr>
              <w:t>支持</w:t>
            </w:r>
            <w:bookmarkEnd w:id="25"/>
            <w:r>
              <w:rPr>
                <w:rFonts w:hint="eastAsia"/>
                <w:sz w:val="24"/>
              </w:rPr>
              <w:t xml:space="preserve"> SQL 注入攻击、XSS 攻击防护、Web 应用扫描防护、文件读取/包含攻击、命令/代码执行攻击、敏感文件探测、恶意扫描攻击、恶意/ 后门文件攻击、XML 注入攻击、目录遍历攻击、Web 插件漏洞防护。 支持不同种规则等级或自定义防护动作。支持配置防护动作，需提供操作关键步骤截图。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continue"/>
            <w:noWrap w:val="0"/>
            <w:vAlign w:val="center"/>
          </w:tcPr>
          <w:p>
            <w:pPr>
              <w:widowControl/>
              <w:spacing w:line="360" w:lineRule="auto"/>
              <w:contextualSpacing/>
              <w:rPr>
                <w:sz w:val="24"/>
              </w:rPr>
            </w:pPr>
          </w:p>
        </w:tc>
        <w:tc>
          <w:tcPr>
            <w:tcW w:w="6751" w:type="dxa"/>
            <w:noWrap w:val="0"/>
            <w:vAlign w:val="top"/>
          </w:tcPr>
          <w:p>
            <w:pPr>
              <w:widowControl/>
              <w:spacing w:line="360" w:lineRule="auto"/>
              <w:contextualSpacing/>
              <w:rPr>
                <w:rFonts w:hint="eastAsia"/>
                <w:sz w:val="24"/>
              </w:rPr>
            </w:pPr>
            <w:bookmarkStart w:id="26" w:name="_Hlk163378203"/>
            <w:r>
              <w:rPr>
                <w:rFonts w:hint="eastAsia"/>
                <w:sz w:val="24"/>
              </w:rPr>
              <w:t>支持白名单、黑名单配置，可匹配</w:t>
            </w:r>
            <w:bookmarkEnd w:id="26"/>
            <w:r>
              <w:rPr>
                <w:rFonts w:hint="eastAsia"/>
                <w:sz w:val="24"/>
              </w:rPr>
              <w:t xml:space="preserve"> URI、IP、Cookie、Geo、Header，匹配方式以及后续执行动作，需提供操作关键步骤截图。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continue"/>
            <w:noWrap w:val="0"/>
            <w:vAlign w:val="center"/>
          </w:tcPr>
          <w:p>
            <w:pPr>
              <w:widowControl/>
              <w:spacing w:line="360" w:lineRule="auto"/>
              <w:contextualSpacing/>
              <w:rPr>
                <w:sz w:val="24"/>
              </w:rPr>
            </w:pPr>
          </w:p>
        </w:tc>
        <w:tc>
          <w:tcPr>
            <w:tcW w:w="6751" w:type="dxa"/>
            <w:noWrap w:val="0"/>
            <w:vAlign w:val="top"/>
          </w:tcPr>
          <w:p>
            <w:pPr>
              <w:widowControl/>
              <w:spacing w:line="360" w:lineRule="auto"/>
              <w:contextualSpacing/>
              <w:rPr>
                <w:rFonts w:hint="eastAsia"/>
                <w:sz w:val="24"/>
              </w:rPr>
            </w:pPr>
            <w:bookmarkStart w:id="27" w:name="_Hlk163378432"/>
            <w:r>
              <w:rPr>
                <w:rFonts w:hint="eastAsia"/>
                <w:sz w:val="24"/>
              </w:rPr>
              <w:t>针对Bot管理模块支持防爬场景化配置功能。可以基于实际业务场景对防爬规则进行自定义，更有针对性地对业务进行爬虫风险防护，防爬规则至少支持JS验证脚本、安全滑块、SEO优化、基于IP和session的限速</w:t>
            </w:r>
            <w:bookmarkEnd w:id="27"/>
            <w:r>
              <w:rPr>
                <w:rFonts w:hint="eastAsia"/>
                <w:sz w:val="24"/>
              </w:rPr>
              <w:t>，需提供国家认可的第三方权威机构出具的测试报告作为证明材料。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continue"/>
            <w:noWrap w:val="0"/>
            <w:vAlign w:val="center"/>
          </w:tcPr>
          <w:p>
            <w:pPr>
              <w:widowControl/>
              <w:spacing w:line="360" w:lineRule="auto"/>
              <w:contextualSpacing/>
              <w:rPr>
                <w:sz w:val="24"/>
              </w:rPr>
            </w:pPr>
          </w:p>
        </w:tc>
        <w:tc>
          <w:tcPr>
            <w:tcW w:w="6751" w:type="dxa"/>
            <w:noWrap w:val="0"/>
            <w:vAlign w:val="top"/>
          </w:tcPr>
          <w:p>
            <w:pPr>
              <w:widowControl/>
              <w:spacing w:line="360" w:lineRule="auto"/>
              <w:contextualSpacing/>
              <w:rPr>
                <w:rFonts w:hint="eastAsia"/>
                <w:sz w:val="24"/>
              </w:rPr>
            </w:pPr>
            <w:bookmarkStart w:id="28" w:name="_Hlk163378471"/>
            <w:r>
              <w:rPr>
                <w:rFonts w:hint="eastAsia"/>
                <w:sz w:val="24"/>
              </w:rPr>
              <w:t>支持域名、来源地区、日志类型、方法、动作、</w:t>
            </w:r>
            <w:bookmarkEnd w:id="28"/>
            <w:r>
              <w:rPr>
                <w:rFonts w:hint="eastAsia"/>
                <w:sz w:val="24"/>
              </w:rPr>
              <w:t>URL、状态码组合条件查询。支持请求时间、源 IP、请求 ID、来源地区、方法、动作、 URL、恶意负载、攻击详情、状态码、状态标识的查看，需提供操作关键步骤截图。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restart"/>
            <w:noWrap w:val="0"/>
            <w:vAlign w:val="top"/>
          </w:tcPr>
          <w:p>
            <w:pPr>
              <w:widowControl/>
              <w:spacing w:line="360" w:lineRule="auto"/>
              <w:contextualSpacing/>
              <w:rPr>
                <w:rFonts w:hint="eastAsia"/>
                <w:sz w:val="24"/>
              </w:rPr>
            </w:pPr>
            <w:r>
              <w:rPr>
                <w:rFonts w:hint="eastAsia"/>
                <w:sz w:val="24"/>
              </w:rPr>
              <w:t>安全运营中心#</w:t>
            </w:r>
          </w:p>
        </w:tc>
        <w:tc>
          <w:tcPr>
            <w:tcW w:w="6751" w:type="dxa"/>
            <w:noWrap w:val="0"/>
            <w:vAlign w:val="top"/>
          </w:tcPr>
          <w:p>
            <w:pPr>
              <w:widowControl/>
              <w:spacing w:line="360" w:lineRule="auto"/>
              <w:contextualSpacing/>
              <w:rPr>
                <w:rFonts w:hint="eastAsia"/>
                <w:sz w:val="24"/>
              </w:rPr>
            </w:pPr>
            <w:bookmarkStart w:id="29" w:name="_Hlk163378581"/>
            <w:r>
              <w:rPr>
                <w:rFonts w:hint="eastAsia"/>
                <w:sz w:val="24"/>
              </w:rPr>
              <w:t>支持安全运营大屏，可根据选择的时间维度查看基于攻防实战演进安全能力，提供量化安全运营指标，包含：确认风险处置率、安全事件平均发现时间（MTTD）、平均响应时间（MTTR）、平均止血时间以及自动化处置率，同时提供实时攻击源统计能力，包含：新增攻击IP、已封禁IP。以及攻击源处置监控实时信息、攻击炮图、工单状态统计风险处置率部门排名。同时支持自定义安全大屏logo，</w:t>
            </w:r>
            <w:bookmarkEnd w:id="29"/>
            <w:r>
              <w:rPr>
                <w:rFonts w:hint="eastAsia"/>
                <w:sz w:val="24"/>
              </w:rPr>
              <w:t>需提供国家认可的第三方权威机构出具的测试报告作为证明材料。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continue"/>
            <w:noWrap w:val="0"/>
            <w:vAlign w:val="center"/>
          </w:tcPr>
          <w:p>
            <w:pPr>
              <w:widowControl/>
              <w:spacing w:line="360" w:lineRule="auto"/>
              <w:contextualSpacing/>
              <w:rPr>
                <w:sz w:val="24"/>
              </w:rPr>
            </w:pPr>
          </w:p>
        </w:tc>
        <w:tc>
          <w:tcPr>
            <w:tcW w:w="6751" w:type="dxa"/>
            <w:noWrap w:val="0"/>
            <w:vAlign w:val="top"/>
          </w:tcPr>
          <w:p>
            <w:pPr>
              <w:widowControl/>
              <w:spacing w:line="360" w:lineRule="auto"/>
              <w:contextualSpacing/>
              <w:rPr>
                <w:rFonts w:hint="eastAsia"/>
                <w:sz w:val="24"/>
              </w:rPr>
            </w:pPr>
            <w:r>
              <w:rPr>
                <w:rFonts w:hint="eastAsia"/>
                <w:sz w:val="24"/>
              </w:rPr>
              <w:t>支持分类统计各类资产（云主机、容器、物理服务器、网站）在线数量统计，通过进行资产扫描，对外暴露的端口和应用进行看板可视化呈现，可以直观呈现当前资产，存活公网 IP 数量、开放端口数量、暴露端口及应用类型数量，并可以支持自定义违规端口和应用。支持进行攻击源 IP 统计分析，包括攻击总次数，攻击 IP 总数，并支持按照攻击源检测引擎进行分类统计分析，支持周期化检测分析，支持自定义规则制定聚合攻击网段排名，呈现攻击源 IP 地址位置分布，需出具带有投标人公章的承诺书。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continue"/>
            <w:noWrap w:val="0"/>
            <w:vAlign w:val="center"/>
          </w:tcPr>
          <w:p>
            <w:pPr>
              <w:widowControl/>
              <w:spacing w:line="360" w:lineRule="auto"/>
              <w:contextualSpacing/>
              <w:rPr>
                <w:sz w:val="24"/>
              </w:rPr>
            </w:pPr>
          </w:p>
        </w:tc>
        <w:tc>
          <w:tcPr>
            <w:tcW w:w="6751" w:type="dxa"/>
            <w:noWrap w:val="0"/>
            <w:vAlign w:val="top"/>
          </w:tcPr>
          <w:p>
            <w:pPr>
              <w:widowControl/>
              <w:spacing w:line="360" w:lineRule="auto"/>
              <w:contextualSpacing/>
              <w:rPr>
                <w:rFonts w:hint="eastAsia"/>
                <w:sz w:val="24"/>
              </w:rPr>
            </w:pPr>
            <w:bookmarkStart w:id="30" w:name="_Hlk163378725"/>
            <w:r>
              <w:rPr>
                <w:rFonts w:hint="eastAsia"/>
                <w:sz w:val="24"/>
              </w:rPr>
              <w:t>自动化攻击溯源：可自动化关联告警、风险资产、进程、攻击IP等信息，根据入侵场景，自动化分析出风险资产的入侵链路图</w:t>
            </w:r>
            <w:bookmarkEnd w:id="30"/>
            <w:r>
              <w:rPr>
                <w:rFonts w:hint="eastAsia"/>
                <w:sz w:val="24"/>
              </w:rPr>
              <w:t>，需提供操作关键步骤截图。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restart"/>
            <w:noWrap w:val="0"/>
            <w:vAlign w:val="top"/>
          </w:tcPr>
          <w:p>
            <w:pPr>
              <w:widowControl/>
              <w:spacing w:line="360" w:lineRule="auto"/>
              <w:contextualSpacing/>
              <w:rPr>
                <w:rFonts w:hint="eastAsia"/>
                <w:sz w:val="24"/>
              </w:rPr>
            </w:pPr>
            <w:r>
              <w:rPr>
                <w:rFonts w:hint="eastAsia"/>
                <w:sz w:val="24"/>
              </w:rPr>
              <w:t>主机安全#</w:t>
            </w:r>
          </w:p>
        </w:tc>
        <w:tc>
          <w:tcPr>
            <w:tcW w:w="6751" w:type="dxa"/>
            <w:noWrap w:val="0"/>
            <w:vAlign w:val="top"/>
          </w:tcPr>
          <w:p>
            <w:pPr>
              <w:widowControl/>
              <w:spacing w:line="360" w:lineRule="auto"/>
              <w:contextualSpacing/>
              <w:rPr>
                <w:rFonts w:hint="eastAsia"/>
                <w:sz w:val="24"/>
              </w:rPr>
            </w:pPr>
            <w:bookmarkStart w:id="31" w:name="_Hlk163378764"/>
            <w:r>
              <w:rPr>
                <w:rFonts w:hint="eastAsia"/>
                <w:sz w:val="24"/>
              </w:rPr>
              <w:t>支持同一个控制台统一管理云主机</w:t>
            </w:r>
            <w:bookmarkEnd w:id="31"/>
            <w:r>
              <w:rPr>
                <w:rFonts w:hint="eastAsia"/>
                <w:sz w:val="24"/>
              </w:rPr>
              <w:t>，服务器，容器，支持模糊检索、筛选、开启防护、查看主机资产信息、安全风险等功能，方便用户快速管理服务器，需提供操作关键步骤截图。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continue"/>
            <w:noWrap w:val="0"/>
            <w:vAlign w:val="center"/>
          </w:tcPr>
          <w:p>
            <w:pPr>
              <w:widowControl/>
              <w:spacing w:line="360" w:lineRule="auto"/>
              <w:contextualSpacing/>
              <w:rPr>
                <w:sz w:val="24"/>
              </w:rPr>
            </w:pPr>
          </w:p>
        </w:tc>
        <w:tc>
          <w:tcPr>
            <w:tcW w:w="6751" w:type="dxa"/>
            <w:noWrap w:val="0"/>
            <w:vAlign w:val="top"/>
          </w:tcPr>
          <w:p>
            <w:pPr>
              <w:widowControl/>
              <w:spacing w:line="360" w:lineRule="auto"/>
              <w:contextualSpacing/>
              <w:rPr>
                <w:rFonts w:hint="eastAsia"/>
                <w:sz w:val="24"/>
              </w:rPr>
            </w:pPr>
            <w:r>
              <w:rPr>
                <w:rFonts w:hint="eastAsia"/>
                <w:sz w:val="24"/>
              </w:rPr>
              <w:t>对于重保、护网等场景，系统默认自带 200+条规则，至少覆盖可疑命令、后门进程、代理软件调用、清理痕迹、agent威胁操作、渗透常用工具、远程文件执行、操作敏感文件、访问恶意下载源、修改关键文件、进程异常写文件、进程异常shell等告警子分类，也可根据用户真实场景自定义进程链检测规则。进程链层级至少支持5 级或者支持设置第一级和最后一级设定，对进程命令行做威胁匹配，需提供操作关键步骤截图。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restart"/>
            <w:noWrap w:val="0"/>
            <w:vAlign w:val="top"/>
          </w:tcPr>
          <w:p>
            <w:pPr>
              <w:widowControl/>
              <w:spacing w:line="360" w:lineRule="auto"/>
              <w:contextualSpacing/>
              <w:rPr>
                <w:rFonts w:hint="eastAsia"/>
                <w:sz w:val="24"/>
              </w:rPr>
            </w:pPr>
            <w:r>
              <w:rPr>
                <w:rFonts w:hint="eastAsia"/>
                <w:sz w:val="24"/>
              </w:rPr>
              <w:t>堡垒机#</w:t>
            </w:r>
          </w:p>
        </w:tc>
        <w:tc>
          <w:tcPr>
            <w:tcW w:w="6751" w:type="dxa"/>
            <w:noWrap w:val="0"/>
            <w:vAlign w:val="top"/>
          </w:tcPr>
          <w:p>
            <w:pPr>
              <w:widowControl/>
              <w:spacing w:line="360" w:lineRule="auto"/>
              <w:contextualSpacing/>
              <w:rPr>
                <w:rFonts w:hint="eastAsia"/>
                <w:sz w:val="24"/>
              </w:rPr>
            </w:pPr>
            <w:bookmarkStart w:id="32" w:name="_Hlk163378986"/>
            <w:r>
              <w:rPr>
                <w:rFonts w:hint="eastAsia"/>
                <w:sz w:val="24"/>
              </w:rPr>
              <w:t>通过堡垒机实现对纳管服务器的访问控制，通过主机，账号，资源管理功能，实现人与设备，资源的隔离。</w:t>
            </w:r>
            <w:bookmarkEnd w:id="32"/>
            <w:bookmarkStart w:id="33" w:name="_Hlk163379039"/>
            <w:r>
              <w:rPr>
                <w:rFonts w:hint="eastAsia"/>
                <w:sz w:val="24"/>
              </w:rPr>
              <w:t>通过定义不同的运维策略，实现对运维人员的登陆 IP，操作指令，登陆时间段进行限制，保证对服务器资源的访问安全，可控</w:t>
            </w:r>
            <w:bookmarkEnd w:id="33"/>
            <w:r>
              <w:rPr>
                <w:rFonts w:hint="eastAsia"/>
                <w:sz w:val="24"/>
              </w:rPr>
              <w:t>，需提供操作关键步骤截图。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continue"/>
            <w:noWrap w:val="0"/>
            <w:vAlign w:val="center"/>
          </w:tcPr>
          <w:p>
            <w:pPr>
              <w:widowControl/>
              <w:spacing w:line="360" w:lineRule="auto"/>
              <w:contextualSpacing/>
              <w:rPr>
                <w:sz w:val="24"/>
              </w:rPr>
            </w:pPr>
          </w:p>
        </w:tc>
        <w:tc>
          <w:tcPr>
            <w:tcW w:w="6751" w:type="dxa"/>
            <w:noWrap w:val="0"/>
            <w:vAlign w:val="top"/>
          </w:tcPr>
          <w:p>
            <w:pPr>
              <w:widowControl/>
              <w:spacing w:line="360" w:lineRule="auto"/>
              <w:contextualSpacing/>
              <w:rPr>
                <w:rFonts w:hint="eastAsia"/>
                <w:sz w:val="24"/>
              </w:rPr>
            </w:pPr>
            <w:bookmarkStart w:id="34" w:name="_Hlk163379017"/>
            <w:r>
              <w:rPr>
                <w:rFonts w:hint="eastAsia"/>
                <w:sz w:val="24"/>
              </w:rPr>
              <w:t>通过敏感指令拦截功能</w:t>
            </w:r>
            <w:bookmarkEnd w:id="34"/>
            <w:r>
              <w:rPr>
                <w:rFonts w:hint="eastAsia"/>
                <w:sz w:val="24"/>
              </w:rPr>
              <w:t>，对定义好的高危指令进行拦截，阻止高危指令的执行，需提供操作关键步骤截图。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vMerge w:val="continue"/>
            <w:noWrap w:val="0"/>
            <w:vAlign w:val="center"/>
          </w:tcPr>
          <w:p>
            <w:pPr>
              <w:widowControl/>
              <w:spacing w:line="360" w:lineRule="auto"/>
              <w:contextualSpacing/>
              <w:rPr>
                <w:sz w:val="24"/>
              </w:rPr>
            </w:pPr>
          </w:p>
        </w:tc>
        <w:tc>
          <w:tcPr>
            <w:tcW w:w="6751" w:type="dxa"/>
            <w:noWrap w:val="0"/>
            <w:vAlign w:val="top"/>
          </w:tcPr>
          <w:p>
            <w:pPr>
              <w:widowControl/>
              <w:spacing w:line="360" w:lineRule="auto"/>
              <w:contextualSpacing/>
              <w:rPr>
                <w:rFonts w:hint="eastAsia"/>
                <w:sz w:val="24"/>
              </w:rPr>
            </w:pPr>
            <w:bookmarkStart w:id="35" w:name="_Hlk163379092"/>
            <w:r>
              <w:rPr>
                <w:rFonts w:hint="eastAsia"/>
                <w:sz w:val="24"/>
              </w:rPr>
              <w:t>通过实时监控功能远程监管操作者当前正在进行的操作</w:t>
            </w:r>
            <w:bookmarkEnd w:id="35"/>
            <w:r>
              <w:rPr>
                <w:rFonts w:hint="eastAsia"/>
                <w:sz w:val="24"/>
              </w:rPr>
              <w:t>，一旦发现操作者有不当或违规的行为，具备及时响应措施，需提供操作关键步骤截图。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noWrap w:val="0"/>
            <w:vAlign w:val="top"/>
          </w:tcPr>
          <w:p>
            <w:pPr>
              <w:widowControl/>
              <w:spacing w:line="360" w:lineRule="auto"/>
              <w:contextualSpacing/>
              <w:rPr>
                <w:rFonts w:hint="eastAsia"/>
                <w:sz w:val="24"/>
              </w:rPr>
            </w:pPr>
            <w:r>
              <w:rPr>
                <w:rFonts w:hint="eastAsia"/>
                <w:sz w:val="24"/>
              </w:rPr>
              <w:t>告警查询</w:t>
            </w:r>
            <w:bookmarkStart w:id="36" w:name="_Hlk163379122"/>
            <w:r>
              <w:rPr>
                <w:rFonts w:hint="eastAsia"/>
                <w:sz w:val="24"/>
              </w:rPr>
              <w:t>#</w:t>
            </w:r>
            <w:bookmarkEnd w:id="36"/>
          </w:p>
        </w:tc>
        <w:tc>
          <w:tcPr>
            <w:tcW w:w="6751" w:type="dxa"/>
            <w:noWrap w:val="0"/>
            <w:vAlign w:val="top"/>
          </w:tcPr>
          <w:p>
            <w:pPr>
              <w:widowControl/>
              <w:spacing w:line="360" w:lineRule="auto"/>
              <w:contextualSpacing/>
              <w:rPr>
                <w:rFonts w:hint="eastAsia"/>
                <w:sz w:val="24"/>
              </w:rPr>
            </w:pPr>
            <w:bookmarkStart w:id="37" w:name="_Hlk163379245"/>
            <w:r>
              <w:rPr>
                <w:rFonts w:hint="eastAsia"/>
                <w:sz w:val="24"/>
              </w:rPr>
              <w:t>可支持数据库操作命令（包括select、create等14个命令）、语句长度、语句执行回应、语句执行时间、返回内容、返回行数、数据库名、数据库账户、服务器端口、客户端操作系统主机名、客户端操作系统用户名、客户端MAC、客户端IP、客户端端口、客户端进程名、会话ID、关键字、时间（含开始结束日期）等，提供国家认可的第三方权威机构出具的测试报告作为证明材料。</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noWrap w:val="0"/>
            <w:vAlign w:val="top"/>
          </w:tcPr>
          <w:p>
            <w:pPr>
              <w:widowControl/>
              <w:spacing w:line="360" w:lineRule="auto"/>
              <w:contextualSpacing/>
              <w:rPr>
                <w:rFonts w:hint="eastAsia"/>
                <w:sz w:val="24"/>
              </w:rPr>
            </w:pPr>
            <w:r>
              <w:rPr>
                <w:rFonts w:hint="eastAsia"/>
                <w:sz w:val="24"/>
              </w:rPr>
              <w:t>汇总统计</w:t>
            </w:r>
            <w:bookmarkStart w:id="38" w:name="_Hlk163379127"/>
            <w:r>
              <w:rPr>
                <w:rFonts w:hint="eastAsia"/>
                <w:sz w:val="24"/>
              </w:rPr>
              <w:t>#</w:t>
            </w:r>
            <w:bookmarkEnd w:id="38"/>
          </w:p>
        </w:tc>
        <w:tc>
          <w:tcPr>
            <w:tcW w:w="6751" w:type="dxa"/>
            <w:noWrap w:val="0"/>
            <w:vAlign w:val="top"/>
          </w:tcPr>
          <w:p>
            <w:pPr>
              <w:widowControl/>
              <w:spacing w:line="360" w:lineRule="auto"/>
              <w:contextualSpacing/>
              <w:rPr>
                <w:rFonts w:hint="eastAsia"/>
                <w:sz w:val="24"/>
              </w:rPr>
            </w:pPr>
            <w:bookmarkStart w:id="39" w:name="_Hlk163379264"/>
            <w:r>
              <w:rPr>
                <w:rFonts w:hint="eastAsia"/>
                <w:sz w:val="24"/>
              </w:rPr>
              <w:t>实现对所有违规事件出现频率进行图形化的汇总统计分析，并提供对汇总结果的实时查询功能；可以对客户端使用的程序、客户端IP、用户名进行图形化排名展示，并生成报表，提供国家认可的第三方权威机构出具的测试报告作为证明材料。</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noWrap w:val="0"/>
            <w:vAlign w:val="top"/>
          </w:tcPr>
          <w:p>
            <w:pPr>
              <w:widowControl/>
              <w:spacing w:line="360" w:lineRule="auto"/>
              <w:contextualSpacing/>
              <w:rPr>
                <w:rFonts w:hint="eastAsia"/>
                <w:sz w:val="24"/>
              </w:rPr>
            </w:pPr>
            <w:r>
              <w:rPr>
                <w:rFonts w:hint="eastAsia"/>
                <w:sz w:val="24"/>
              </w:rPr>
              <w:t>访问控制</w:t>
            </w:r>
          </w:p>
        </w:tc>
        <w:tc>
          <w:tcPr>
            <w:tcW w:w="6751" w:type="dxa"/>
            <w:noWrap w:val="0"/>
            <w:vAlign w:val="top"/>
          </w:tcPr>
          <w:p>
            <w:pPr>
              <w:widowControl/>
              <w:spacing w:line="360" w:lineRule="auto"/>
              <w:contextualSpacing/>
              <w:rPr>
                <w:rFonts w:hint="eastAsia"/>
                <w:sz w:val="24"/>
              </w:rPr>
            </w:pPr>
            <w:bookmarkStart w:id="40" w:name="_Hlk163379416"/>
            <w:r>
              <w:rPr>
                <w:rFonts w:hint="eastAsia"/>
                <w:sz w:val="24"/>
              </w:rPr>
              <w:t>身份</w:t>
            </w:r>
            <w:bookmarkEnd w:id="40"/>
            <w:r>
              <w:rPr>
                <w:rFonts w:hint="eastAsia"/>
                <w:sz w:val="24"/>
              </w:rPr>
              <w:t>&amp;权限管理：支持主账号（租户账号）、子账号、角色（用户角色、服务角色、联合身份角色）。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565" w:type="dxa"/>
            <w:noWrap w:val="0"/>
            <w:vAlign w:val="top"/>
          </w:tcPr>
          <w:p>
            <w:pPr>
              <w:widowControl/>
              <w:spacing w:line="360" w:lineRule="auto"/>
              <w:contextualSpacing/>
              <w:rPr>
                <w:rFonts w:hint="eastAsia"/>
                <w:sz w:val="24"/>
              </w:rPr>
            </w:pPr>
            <w:r>
              <w:rPr>
                <w:rFonts w:hint="eastAsia"/>
                <w:sz w:val="24"/>
              </w:rPr>
              <w:t>抗脆弱演练方案#</w:t>
            </w:r>
          </w:p>
        </w:tc>
        <w:tc>
          <w:tcPr>
            <w:tcW w:w="6751" w:type="dxa"/>
            <w:noWrap w:val="0"/>
            <w:vAlign w:val="top"/>
          </w:tcPr>
          <w:p>
            <w:pPr>
              <w:widowControl/>
              <w:spacing w:line="360" w:lineRule="auto"/>
              <w:contextualSpacing/>
              <w:rPr>
                <w:rFonts w:hint="eastAsia"/>
                <w:sz w:val="24"/>
              </w:rPr>
            </w:pPr>
            <w:r>
              <w:rPr>
                <w:rFonts w:hint="eastAsia"/>
                <w:sz w:val="24"/>
              </w:rPr>
              <w:t>结合系统编写抗脆弱演练方案及演练脚本。一次/年，需要开具带有投标人公章承诺书。</w:t>
            </w:r>
          </w:p>
        </w:tc>
      </w:tr>
    </w:tbl>
    <w:p>
      <w:pPr>
        <w:widowControl/>
        <w:spacing w:line="360" w:lineRule="auto"/>
        <w:ind w:firstLine="480" w:firstLineChars="200"/>
        <w:contextualSpacing/>
        <w:rPr>
          <w:sz w:val="24"/>
        </w:rPr>
      </w:pPr>
    </w:p>
    <w:p>
      <w:pPr>
        <w:spacing w:line="360" w:lineRule="auto"/>
        <w:contextualSpacing/>
        <w:rPr>
          <w:i/>
          <w:iCs/>
          <w:sz w:val="24"/>
        </w:rPr>
      </w:pPr>
      <w:r>
        <w:rPr>
          <w:sz w:val="24"/>
        </w:rPr>
        <w:t>3. 验收标准</w:t>
      </w:r>
    </w:p>
    <w:p>
      <w:pPr>
        <w:widowControl/>
        <w:spacing w:line="360" w:lineRule="auto"/>
        <w:ind w:firstLine="480" w:firstLineChars="200"/>
        <w:contextualSpacing/>
        <w:rPr>
          <w:rFonts w:hint="eastAsia"/>
          <w:sz w:val="24"/>
        </w:rPr>
      </w:pPr>
      <w:r>
        <w:rPr>
          <w:rFonts w:hint="eastAsia"/>
          <w:sz w:val="24"/>
        </w:rPr>
        <w:t>在合同约定的服务期剩余10个工作日内，对投标人服务情况进行验收，投标人应配合采购人进行项目验收及提交项目相关资料。验收合格后，采购人向投标人支付项目尾款。验收不合格且拒不接受整改的，采购人依法保障自身合法权益。</w:t>
      </w:r>
    </w:p>
    <w:p>
      <w:pPr>
        <w:widowControl/>
        <w:spacing w:line="360" w:lineRule="auto"/>
        <w:ind w:firstLine="482"/>
        <w:contextualSpacing/>
        <w:rPr>
          <w:b/>
          <w:sz w:val="24"/>
        </w:rPr>
      </w:pPr>
    </w:p>
    <w:p>
      <w:pPr>
        <w:spacing w:line="360" w:lineRule="auto"/>
        <w:contextualSpacing/>
        <w:rPr>
          <w:sz w:val="24"/>
        </w:rPr>
      </w:pPr>
      <w:r>
        <w:rPr>
          <w:sz w:val="24"/>
        </w:rPr>
        <w:t>4. 其他要求</w:t>
      </w:r>
    </w:p>
    <w:p>
      <w:pPr>
        <w:widowControl/>
        <w:spacing w:line="360" w:lineRule="auto"/>
        <w:ind w:firstLine="480" w:firstLineChars="200"/>
        <w:contextualSpacing/>
        <w:rPr>
          <w:rFonts w:hint="eastAsia"/>
          <w:sz w:val="24"/>
        </w:rPr>
      </w:pPr>
      <w:r>
        <w:rPr>
          <w:rFonts w:hint="eastAsia"/>
          <w:sz w:val="24"/>
        </w:rPr>
        <w:t>投标人应保证：在与采购人缔约、履约及履约结束后，投标人及投标人的工作人员(或通过第三人)不得以任何形式向采购人的工作人员行贿，包括但不限于提供金钱、回扣或其他利益，或就相关利益作出允诺，以获得缔约机会、抬高合同价款、降低合同履行标准。如存在上述情形，一经查实，采购人有权解除本合同，投标人还应向采购人支付相当于本合同已履行金额30%的违约金，如给采购人造成其他损失，投标人还应赔偿采购人的其他损失。投标人承担上述违约责任，不影响投标人和相关人员承担刑事责任。</w:t>
      </w:r>
    </w:p>
    <w:p>
      <w:pPr>
        <w:widowControl/>
        <w:spacing w:line="360" w:lineRule="auto"/>
        <w:ind w:firstLine="480" w:firstLineChars="200"/>
        <w:contextualSpacing/>
        <w:rPr>
          <w:rFonts w:hint="eastAsia"/>
          <w:sz w:val="24"/>
        </w:rPr>
      </w:pPr>
      <w:r>
        <w:rPr>
          <w:rFonts w:hint="eastAsia"/>
          <w:sz w:val="24"/>
        </w:rPr>
        <w:t>采购人工作人员如有向投标人索要贿赂情形，投标人应及时向采购人或纪检监察机关举报。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E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2025-04-30T02:42:00Z</dcterms:created>
  <dc:creator>user</dc:creator>
  <cp:lastModifiedBy>郭</cp:lastModifiedBy>
  <dcterms:modified xsi:type="dcterms:W3CDTF">2025-04-30T02:42:37Z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