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226337251"/>
      <w:bookmarkStart w:id="2" w:name="_Toc305158897"/>
      <w:bookmarkStart w:id="3" w:name="_Toc265228393"/>
      <w:bookmarkStart w:id="4" w:name="_Toc195842920"/>
      <w:bookmarkStart w:id="5" w:name="_Toc353825545"/>
      <w:bookmarkStart w:id="6" w:name="_Toc150774760"/>
      <w:bookmarkStart w:id="7" w:name="_Toc353873665"/>
      <w:bookmarkStart w:id="8" w:name="_Toc226965828"/>
      <w:bookmarkStart w:id="9" w:name="_Toc353873935"/>
      <w:bookmarkStart w:id="10" w:name="_Toc150480793"/>
      <w:bookmarkStart w:id="11" w:name="_Toc264969245"/>
      <w:bookmarkStart w:id="12" w:name="_Toc305158823"/>
      <w:bookmarkStart w:id="13" w:name="_Toc127151555"/>
      <w:bookmarkStart w:id="14" w:name="_Toc142311057"/>
      <w:r>
        <w:rPr>
          <w:b/>
          <w:sz w:val="36"/>
          <w:szCs w:val="36"/>
        </w:rPr>
        <w:t xml:space="preserve">  采购需求</w:t>
      </w:r>
      <w:bookmarkEnd w:id="0"/>
    </w:p>
    <w:p>
      <w:pPr>
        <w:keepNext/>
        <w:keepLines/>
        <w:adjustRightInd w:val="0"/>
        <w:spacing w:line="360" w:lineRule="auto"/>
        <w:jc w:val="left"/>
        <w:textAlignment w:val="baseline"/>
        <w:outlineLvl w:val="1"/>
        <w:rPr>
          <w:rFonts w:hint="eastAsia"/>
          <w:b/>
          <w:bCs/>
          <w:kern w:val="0"/>
          <w:sz w:val="24"/>
          <w:szCs w:val="28"/>
        </w:rPr>
      </w:pPr>
      <w:r>
        <w:rPr>
          <w:rFonts w:hint="eastAsia"/>
          <w:b/>
          <w:bCs/>
          <w:kern w:val="0"/>
          <w:sz w:val="24"/>
          <w:szCs w:val="28"/>
        </w:rPr>
        <w:t>第一部分 采购标的</w:t>
      </w:r>
    </w:p>
    <w:p>
      <w:pPr>
        <w:spacing w:line="360" w:lineRule="auto"/>
        <w:contextualSpacing/>
        <w:rPr>
          <w:sz w:val="24"/>
        </w:rPr>
      </w:pPr>
      <w:r>
        <w:rPr>
          <w:rFonts w:hint="eastAsia"/>
          <w:sz w:val="24"/>
        </w:rPr>
        <w:t>采购标的</w:t>
      </w:r>
    </w:p>
    <w:tbl>
      <w:tblPr>
        <w:tblStyle w:val="44"/>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740"/>
        <w:gridCol w:w="299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9" w:type="dxa"/>
            <w:vAlign w:val="center"/>
          </w:tcPr>
          <w:p>
            <w:pPr>
              <w:adjustRightInd w:val="0"/>
              <w:snapToGrid w:val="0"/>
              <w:spacing w:after="0" w:line="360" w:lineRule="auto"/>
              <w:jc w:val="center"/>
              <w:rPr>
                <w:rFonts w:hint="eastAsia" w:ascii="宋体" w:hAnsi="宋体" w:cs="宋体"/>
                <w:bCs/>
                <w:sz w:val="24"/>
                <w:highlight w:val="none"/>
              </w:rPr>
            </w:pPr>
            <w:bookmarkStart w:id="15" w:name="_Hlk194495906"/>
            <w:r>
              <w:rPr>
                <w:rFonts w:hint="eastAsia" w:ascii="宋体" w:hAnsi="宋体" w:cs="宋体"/>
                <w:bCs/>
                <w:sz w:val="24"/>
                <w:highlight w:val="none"/>
              </w:rPr>
              <w:t>序号</w:t>
            </w:r>
          </w:p>
        </w:tc>
        <w:tc>
          <w:tcPr>
            <w:tcW w:w="2740" w:type="dxa"/>
            <w:vAlign w:val="center"/>
          </w:tcPr>
          <w:p>
            <w:pPr>
              <w:adjustRightInd w:val="0"/>
              <w:snapToGrid w:val="0"/>
              <w:spacing w:after="0"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标的名称</w:t>
            </w:r>
          </w:p>
        </w:tc>
        <w:tc>
          <w:tcPr>
            <w:tcW w:w="2991"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数量</w:t>
            </w:r>
          </w:p>
        </w:tc>
        <w:tc>
          <w:tcPr>
            <w:tcW w:w="1751"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9"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1</w:t>
            </w:r>
          </w:p>
        </w:tc>
        <w:tc>
          <w:tcPr>
            <w:tcW w:w="2740" w:type="dxa"/>
            <w:vAlign w:val="center"/>
          </w:tcPr>
          <w:p>
            <w:pPr>
              <w:adjustRightInd w:val="0"/>
              <w:snapToGrid w:val="0"/>
              <w:spacing w:after="0" w:line="360" w:lineRule="auto"/>
              <w:rPr>
                <w:rFonts w:hint="eastAsia" w:ascii="宋体" w:hAnsi="宋体" w:cs="宋体"/>
                <w:bCs/>
                <w:sz w:val="24"/>
              </w:rPr>
            </w:pPr>
            <w:r>
              <w:rPr>
                <w:rFonts w:hint="eastAsia"/>
                <w:bCs/>
                <w:szCs w:val="21"/>
                <w:lang w:eastAsia="zh-CN"/>
              </w:rPr>
              <w:t>北京市生态环境局综合事务中心政务云租用项目</w:t>
            </w:r>
          </w:p>
        </w:tc>
        <w:tc>
          <w:tcPr>
            <w:tcW w:w="2991" w:type="dxa"/>
            <w:vAlign w:val="center"/>
          </w:tcPr>
          <w:p>
            <w:pPr>
              <w:adjustRightInd w:val="0"/>
              <w:snapToGrid w:val="0"/>
              <w:spacing w:after="0" w:line="360" w:lineRule="auto"/>
              <w:rPr>
                <w:rFonts w:hint="eastAsia" w:ascii="宋体" w:hAnsi="宋体" w:cs="宋体"/>
                <w:bCs/>
                <w:sz w:val="24"/>
              </w:rPr>
            </w:pPr>
            <w:r>
              <w:rPr>
                <w:rFonts w:hint="eastAsia" w:ascii="宋体" w:hAnsi="宋体" w:cs="宋体"/>
                <w:bCs/>
                <w:sz w:val="24"/>
              </w:rPr>
              <w:t>1</w:t>
            </w:r>
          </w:p>
        </w:tc>
        <w:tc>
          <w:tcPr>
            <w:tcW w:w="1751"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项</w:t>
            </w:r>
          </w:p>
        </w:tc>
      </w:tr>
      <w:bookmarkEnd w:id="15"/>
    </w:tbl>
    <w:p>
      <w:pPr>
        <w:keepNext/>
        <w:keepLines/>
        <w:adjustRightInd w:val="0"/>
        <w:spacing w:line="360" w:lineRule="auto"/>
        <w:jc w:val="left"/>
        <w:textAlignment w:val="baseline"/>
        <w:outlineLvl w:val="1"/>
        <w:rPr>
          <w:rFonts w:hint="eastAsia"/>
          <w:b/>
          <w:bCs/>
          <w:kern w:val="0"/>
          <w:sz w:val="24"/>
          <w:szCs w:val="28"/>
        </w:rPr>
      </w:pPr>
    </w:p>
    <w:p>
      <w:pPr>
        <w:tabs>
          <w:tab w:val="left" w:pos="1425"/>
        </w:tabs>
        <w:adjustRightInd w:val="0"/>
        <w:snapToGrid w:val="0"/>
        <w:spacing w:line="360" w:lineRule="auto"/>
        <w:outlineLvl w:val="1"/>
        <w:rPr>
          <w:b/>
          <w:bCs/>
          <w:sz w:val="24"/>
        </w:rPr>
      </w:pPr>
      <w:r>
        <w:rPr>
          <w:rFonts w:hint="eastAsia"/>
          <w:b/>
          <w:bCs/>
          <w:sz w:val="24"/>
        </w:rPr>
        <w:t>一、</w:t>
      </w:r>
      <w:r>
        <w:rPr>
          <w:b/>
          <w:bCs/>
          <w:sz w:val="24"/>
        </w:rPr>
        <w:t>项目背景</w:t>
      </w:r>
    </w:p>
    <w:p>
      <w:pPr>
        <w:widowControl/>
        <w:spacing w:line="360" w:lineRule="auto"/>
        <w:ind w:firstLine="480" w:firstLineChars="200"/>
        <w:jc w:val="left"/>
        <w:rPr>
          <w:color w:val="auto"/>
          <w:sz w:val="24"/>
        </w:rPr>
      </w:pPr>
      <w:r>
        <w:rPr>
          <w:sz w:val="24"/>
        </w:rPr>
        <w:t>依据《关于印发〈关于推进我市政务信息系统整合共享的实施方案〉的通知》（京经信委发〔2017〕89号），《关于印发〈北京市政务信息资源管理办法（试行）〉的通知》（京政发〔2017〕39号），《关于印发〈北京市市级政务云管理办法〉的通知》（京经信函〔2019〕150号）等文件要求，按照我市电子政务的总体要求，推进北京市生态环境局电子政务统筹集约发展，依托使用市级政务云服务资源，合理利用北京市市级政务云平台</w:t>
      </w:r>
      <w:r>
        <w:rPr>
          <w:color w:val="auto"/>
          <w:sz w:val="24"/>
        </w:rPr>
        <w:t>的服务，为政务大数据奠定基础。</w:t>
      </w:r>
    </w:p>
    <w:p>
      <w:pPr>
        <w:widowControl/>
        <w:spacing w:line="360" w:lineRule="auto"/>
        <w:ind w:firstLine="480" w:firstLineChars="200"/>
        <w:jc w:val="left"/>
        <w:rPr>
          <w:rFonts w:eastAsia="宋体"/>
          <w:sz w:val="24"/>
        </w:rPr>
      </w:pPr>
      <w:r>
        <w:rPr>
          <w:rFonts w:eastAsia="宋体"/>
          <w:sz w:val="24"/>
        </w:rPr>
        <w:t>北京市生态环境局已将</w:t>
      </w:r>
      <w:r>
        <w:rPr>
          <w:rFonts w:hint="eastAsia" w:eastAsia="宋体"/>
          <w:sz w:val="24"/>
          <w:lang w:eastAsia="zh-CN"/>
        </w:rPr>
        <w:t>“</w:t>
      </w:r>
      <w:r>
        <w:rPr>
          <w:rFonts w:hint="eastAsia" w:eastAsia="宋体"/>
          <w:sz w:val="24"/>
        </w:rPr>
        <w:t>北京市生态环境局政务服务平台</w:t>
      </w:r>
      <w:r>
        <w:rPr>
          <w:rFonts w:hint="eastAsia" w:eastAsia="宋体"/>
          <w:sz w:val="24"/>
          <w:lang w:eastAsia="zh-CN"/>
        </w:rPr>
        <w:t>、</w:t>
      </w:r>
      <w:r>
        <w:rPr>
          <w:rFonts w:hint="eastAsia" w:eastAsia="宋体"/>
          <w:sz w:val="24"/>
        </w:rPr>
        <w:t>北京市</w:t>
      </w:r>
      <w:r>
        <w:rPr>
          <w:rFonts w:hint="eastAsia" w:eastAsia="宋体"/>
          <w:sz w:val="24"/>
          <w:lang w:eastAsia="zh-CN"/>
        </w:rPr>
        <w:t>生态环境监测管理系统”等业务</w:t>
      </w:r>
      <w:r>
        <w:rPr>
          <w:rFonts w:eastAsia="宋体"/>
          <w:sz w:val="24"/>
        </w:rPr>
        <w:t>系统</w:t>
      </w:r>
      <w:r>
        <w:rPr>
          <w:rFonts w:hint="eastAsia" w:eastAsia="宋体"/>
          <w:sz w:val="24"/>
          <w:lang w:eastAsia="zh-CN"/>
        </w:rPr>
        <w:t>部署</w:t>
      </w:r>
      <w:r>
        <w:rPr>
          <w:rFonts w:eastAsia="宋体"/>
          <w:sz w:val="24"/>
        </w:rPr>
        <w:t>到政务云</w:t>
      </w:r>
      <w:r>
        <w:rPr>
          <w:rFonts w:hint="eastAsia" w:eastAsia="宋体"/>
          <w:sz w:val="24"/>
          <w:lang w:eastAsia="zh-CN"/>
        </w:rPr>
        <w:t>资源中，目前运行安全、稳定、高效</w:t>
      </w:r>
      <w:r>
        <w:rPr>
          <w:rFonts w:eastAsia="宋体"/>
          <w:sz w:val="24"/>
        </w:rPr>
        <w:t>。</w:t>
      </w:r>
    </w:p>
    <w:p>
      <w:pPr>
        <w:tabs>
          <w:tab w:val="left" w:pos="1425"/>
        </w:tabs>
        <w:adjustRightInd w:val="0"/>
        <w:snapToGrid w:val="0"/>
        <w:spacing w:line="360" w:lineRule="auto"/>
        <w:outlineLvl w:val="1"/>
        <w:rPr>
          <w:b/>
          <w:bCs/>
          <w:sz w:val="24"/>
        </w:rPr>
      </w:pPr>
      <w:r>
        <w:rPr>
          <w:rFonts w:hint="eastAsia"/>
          <w:b/>
          <w:bCs/>
          <w:sz w:val="24"/>
        </w:rPr>
        <w:t>二、</w:t>
      </w:r>
      <w:r>
        <w:rPr>
          <w:b/>
          <w:bCs/>
          <w:sz w:val="24"/>
        </w:rPr>
        <w:t>项目现状</w:t>
      </w:r>
    </w:p>
    <w:p>
      <w:pPr>
        <w:spacing w:line="360" w:lineRule="auto"/>
        <w:rPr>
          <w:sz w:val="24"/>
          <w:lang w:val="zh-CN"/>
        </w:rPr>
      </w:pPr>
      <w:r>
        <w:rPr>
          <w:sz w:val="24"/>
          <w:lang w:val="zh-CN"/>
        </w:rPr>
        <w:t>1.云资源及云服务需求</w:t>
      </w:r>
    </w:p>
    <w:p>
      <w:pPr>
        <w:spacing w:line="360" w:lineRule="auto"/>
        <w:ind w:firstLine="480" w:firstLineChars="200"/>
        <w:rPr>
          <w:sz w:val="24"/>
          <w:lang w:val="zh-CN"/>
        </w:rPr>
      </w:pPr>
      <w:r>
        <w:rPr>
          <w:sz w:val="24"/>
          <w:lang w:val="zh-CN"/>
        </w:rPr>
        <w:t>根据项目运行情况，本期项目</w:t>
      </w:r>
      <w:r>
        <w:rPr>
          <w:rFonts w:hint="eastAsia"/>
          <w:sz w:val="24"/>
          <w:lang w:val="zh-CN"/>
        </w:rPr>
        <w:t>汇总全部</w:t>
      </w:r>
      <w:r>
        <w:rPr>
          <w:sz w:val="24"/>
          <w:lang w:val="zh-CN"/>
        </w:rPr>
        <w:t>资源部署需求，</w:t>
      </w:r>
      <w:r>
        <w:rPr>
          <w:sz w:val="24"/>
        </w:rPr>
        <w:t>情况</w:t>
      </w:r>
      <w:r>
        <w:rPr>
          <w:sz w:val="24"/>
          <w:lang w:val="zh-CN"/>
        </w:rPr>
        <w:t>如下：</w:t>
      </w:r>
    </w:p>
    <w:tbl>
      <w:tblPr>
        <w:tblStyle w:val="4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19"/>
        <w:gridCol w:w="1701"/>
        <w:gridCol w:w="992"/>
        <w:gridCol w:w="1134"/>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37" w:type="dxa"/>
            <w:gridSpan w:val="6"/>
            <w:shd w:val="clear" w:color="000000" w:fill="C0C0C0"/>
            <w:vAlign w:val="center"/>
          </w:tcPr>
          <w:p>
            <w:pPr>
              <w:widowControl/>
              <w:jc w:val="center"/>
              <w:rPr>
                <w:kern w:val="0"/>
                <w:sz w:val="24"/>
              </w:rPr>
            </w:pPr>
            <w:r>
              <w:rPr>
                <w:kern w:val="0"/>
                <w:sz w:val="24"/>
              </w:rPr>
              <w:t>云租用明细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37" w:type="dxa"/>
            <w:gridSpan w:val="6"/>
            <w:vAlign w:val="center"/>
          </w:tcPr>
          <w:p>
            <w:pPr>
              <w:widowControl/>
              <w:jc w:val="center"/>
              <w:rPr>
                <w:szCs w:val="21"/>
              </w:rPr>
            </w:pPr>
            <w:r>
              <w:rPr>
                <w:rFonts w:hint="eastAsia"/>
                <w:szCs w:val="21"/>
              </w:rPr>
              <w:t>计算资源租用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服务类别</w:t>
            </w:r>
          </w:p>
        </w:tc>
        <w:tc>
          <w:tcPr>
            <w:tcW w:w="1919" w:type="dxa"/>
            <w:vAlign w:val="center"/>
          </w:tcPr>
          <w:p>
            <w:pPr>
              <w:widowControl/>
              <w:jc w:val="center"/>
              <w:rPr>
                <w:szCs w:val="21"/>
              </w:rPr>
            </w:pPr>
            <w:r>
              <w:rPr>
                <w:rFonts w:hint="eastAsia"/>
                <w:szCs w:val="21"/>
              </w:rPr>
              <w:t>服务名称</w:t>
            </w:r>
          </w:p>
        </w:tc>
        <w:tc>
          <w:tcPr>
            <w:tcW w:w="1701" w:type="dxa"/>
            <w:vAlign w:val="center"/>
          </w:tcPr>
          <w:p>
            <w:pPr>
              <w:widowControl/>
              <w:jc w:val="center"/>
              <w:rPr>
                <w:szCs w:val="21"/>
              </w:rPr>
            </w:pPr>
            <w:r>
              <w:rPr>
                <w:rFonts w:hint="eastAsia"/>
                <w:szCs w:val="21"/>
              </w:rPr>
              <w:t>计价单位</w:t>
            </w:r>
          </w:p>
        </w:tc>
        <w:tc>
          <w:tcPr>
            <w:tcW w:w="992" w:type="dxa"/>
            <w:vAlign w:val="center"/>
          </w:tcPr>
          <w:p>
            <w:pPr>
              <w:widowControl/>
              <w:jc w:val="center"/>
              <w:rPr>
                <w:szCs w:val="21"/>
              </w:rPr>
            </w:pPr>
            <w:r>
              <w:rPr>
                <w:rFonts w:hint="eastAsia"/>
                <w:szCs w:val="21"/>
              </w:rPr>
              <w:t>数量</w:t>
            </w:r>
          </w:p>
        </w:tc>
        <w:tc>
          <w:tcPr>
            <w:tcW w:w="1134" w:type="dxa"/>
            <w:vAlign w:val="center"/>
          </w:tcPr>
          <w:p>
            <w:pPr>
              <w:widowControl/>
              <w:jc w:val="center"/>
              <w:rPr>
                <w:szCs w:val="21"/>
              </w:rPr>
            </w:pPr>
            <w:r>
              <w:rPr>
                <w:rFonts w:hint="eastAsia"/>
                <w:szCs w:val="21"/>
              </w:rPr>
              <w:t>租用期限</w:t>
            </w:r>
            <w:r>
              <w:rPr>
                <w:szCs w:val="21"/>
              </w:rPr>
              <w:br w:type="textWrapping"/>
            </w:r>
            <w:r>
              <w:rPr>
                <w:rFonts w:hint="eastAsia"/>
                <w:szCs w:val="21"/>
              </w:rPr>
              <w:t>（月）</w:t>
            </w:r>
          </w:p>
        </w:tc>
        <w:tc>
          <w:tcPr>
            <w:tcW w:w="2196" w:type="dxa"/>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Merge w:val="restart"/>
            <w:vAlign w:val="center"/>
          </w:tcPr>
          <w:p>
            <w:pPr>
              <w:widowControl/>
              <w:jc w:val="center"/>
              <w:rPr>
                <w:szCs w:val="21"/>
              </w:rPr>
            </w:pPr>
            <w:r>
              <w:rPr>
                <w:rFonts w:hint="eastAsia"/>
                <w:szCs w:val="21"/>
              </w:rPr>
              <w:t>云服务器</w:t>
            </w:r>
          </w:p>
        </w:tc>
        <w:tc>
          <w:tcPr>
            <w:tcW w:w="1919" w:type="dxa"/>
            <w:vMerge w:val="restart"/>
            <w:vAlign w:val="center"/>
          </w:tcPr>
          <w:p>
            <w:pPr>
              <w:widowControl/>
              <w:jc w:val="center"/>
              <w:rPr>
                <w:szCs w:val="21"/>
              </w:rPr>
            </w:pPr>
            <w:r>
              <w:rPr>
                <w:rFonts w:hint="eastAsia"/>
                <w:szCs w:val="21"/>
              </w:rPr>
              <w:t>X86平台云主机</w:t>
            </w:r>
          </w:p>
        </w:tc>
        <w:tc>
          <w:tcPr>
            <w:tcW w:w="1701" w:type="dxa"/>
            <w:vAlign w:val="center"/>
          </w:tcPr>
          <w:p>
            <w:pPr>
              <w:widowControl/>
              <w:jc w:val="center"/>
              <w:rPr>
                <w:szCs w:val="21"/>
              </w:rPr>
            </w:pPr>
            <w:r>
              <w:rPr>
                <w:rFonts w:hint="eastAsia"/>
                <w:szCs w:val="21"/>
              </w:rPr>
              <w:t>CPU（个）</w:t>
            </w:r>
          </w:p>
        </w:tc>
        <w:tc>
          <w:tcPr>
            <w:tcW w:w="992" w:type="dxa"/>
            <w:vAlign w:val="center"/>
          </w:tcPr>
          <w:p>
            <w:pPr>
              <w:widowControl/>
              <w:jc w:val="center"/>
              <w:rPr>
                <w:rFonts w:hint="default" w:eastAsia="宋体"/>
                <w:szCs w:val="21"/>
                <w:lang w:val="en-US" w:eastAsia="zh-CN"/>
              </w:rPr>
            </w:pPr>
            <w:r>
              <w:rPr>
                <w:rFonts w:hint="eastAsia"/>
                <w:szCs w:val="21"/>
                <w:lang w:val="en-US" w:eastAsia="zh-CN"/>
              </w:rPr>
              <w:t>1476</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Merge w:val="continue"/>
            <w:vAlign w:val="center"/>
          </w:tcPr>
          <w:p>
            <w:pPr>
              <w:widowControl/>
              <w:jc w:val="center"/>
              <w:rPr>
                <w:szCs w:val="21"/>
              </w:rPr>
            </w:pPr>
          </w:p>
        </w:tc>
        <w:tc>
          <w:tcPr>
            <w:tcW w:w="1919" w:type="dxa"/>
            <w:vMerge w:val="continue"/>
            <w:vAlign w:val="center"/>
          </w:tcPr>
          <w:p>
            <w:pPr>
              <w:widowControl/>
              <w:jc w:val="center"/>
              <w:rPr>
                <w:szCs w:val="21"/>
              </w:rPr>
            </w:pPr>
          </w:p>
        </w:tc>
        <w:tc>
          <w:tcPr>
            <w:tcW w:w="1701" w:type="dxa"/>
            <w:vAlign w:val="center"/>
          </w:tcPr>
          <w:p>
            <w:pPr>
              <w:widowControl/>
              <w:jc w:val="center"/>
              <w:rPr>
                <w:szCs w:val="21"/>
              </w:rPr>
            </w:pPr>
            <w:r>
              <w:rPr>
                <w:rFonts w:hint="eastAsia"/>
                <w:szCs w:val="21"/>
              </w:rPr>
              <w:t>内存（G）</w:t>
            </w:r>
          </w:p>
        </w:tc>
        <w:tc>
          <w:tcPr>
            <w:tcW w:w="992" w:type="dxa"/>
            <w:vAlign w:val="center"/>
          </w:tcPr>
          <w:p>
            <w:pPr>
              <w:widowControl/>
              <w:jc w:val="center"/>
              <w:rPr>
                <w:rFonts w:hint="default" w:eastAsia="宋体"/>
                <w:szCs w:val="21"/>
                <w:lang w:val="en-US" w:eastAsia="zh-CN"/>
              </w:rPr>
            </w:pPr>
            <w:r>
              <w:rPr>
                <w:rFonts w:hint="eastAsia"/>
                <w:szCs w:val="21"/>
                <w:lang w:val="en-US" w:eastAsia="zh-CN"/>
              </w:rPr>
              <w:t>4172</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物理主机</w:t>
            </w:r>
          </w:p>
        </w:tc>
        <w:tc>
          <w:tcPr>
            <w:tcW w:w="1919" w:type="dxa"/>
            <w:vAlign w:val="center"/>
          </w:tcPr>
          <w:p>
            <w:pPr>
              <w:widowControl/>
              <w:jc w:val="center"/>
              <w:rPr>
                <w:szCs w:val="21"/>
              </w:rPr>
            </w:pPr>
            <w:r>
              <w:rPr>
                <w:rFonts w:hint="eastAsia"/>
                <w:szCs w:val="21"/>
              </w:rPr>
              <w:t>X86物理机</w:t>
            </w:r>
          </w:p>
        </w:tc>
        <w:tc>
          <w:tcPr>
            <w:tcW w:w="1701" w:type="dxa"/>
            <w:vAlign w:val="center"/>
          </w:tcPr>
          <w:p>
            <w:pPr>
              <w:widowControl/>
              <w:jc w:val="center"/>
              <w:rPr>
                <w:szCs w:val="21"/>
              </w:rPr>
            </w:pPr>
            <w:r>
              <w:rPr>
                <w:rFonts w:hint="eastAsia"/>
                <w:szCs w:val="21"/>
              </w:rPr>
              <w:t>台</w:t>
            </w:r>
          </w:p>
        </w:tc>
        <w:tc>
          <w:tcPr>
            <w:tcW w:w="992" w:type="dxa"/>
            <w:vAlign w:val="center"/>
          </w:tcPr>
          <w:p>
            <w:pPr>
              <w:widowControl/>
              <w:jc w:val="center"/>
              <w:rPr>
                <w:szCs w:val="21"/>
              </w:rPr>
            </w:pPr>
            <w:r>
              <w:rPr>
                <w:rFonts w:hint="eastAsia"/>
                <w:szCs w:val="21"/>
              </w:rPr>
              <w:t>8</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r>
              <w:rPr>
                <w:rFonts w:hint="eastAsia"/>
                <w:szCs w:val="21"/>
              </w:rPr>
              <w:t>8路10核2.0GHz，256G内存，2块600G SAS硬盘，2个HBA卡，2个万兆端口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37" w:type="dxa"/>
            <w:gridSpan w:val="6"/>
            <w:vAlign w:val="center"/>
          </w:tcPr>
          <w:p>
            <w:pPr>
              <w:widowControl/>
              <w:jc w:val="center"/>
              <w:rPr>
                <w:szCs w:val="21"/>
              </w:rPr>
            </w:pPr>
            <w:r>
              <w:rPr>
                <w:rFonts w:hint="eastAsia"/>
                <w:szCs w:val="21"/>
              </w:rPr>
              <w:t>存储资源租用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物理存储</w:t>
            </w:r>
          </w:p>
        </w:tc>
        <w:tc>
          <w:tcPr>
            <w:tcW w:w="1919" w:type="dxa"/>
            <w:vAlign w:val="center"/>
          </w:tcPr>
          <w:p>
            <w:pPr>
              <w:widowControl/>
              <w:jc w:val="center"/>
              <w:rPr>
                <w:szCs w:val="21"/>
              </w:rPr>
            </w:pPr>
            <w:r>
              <w:rPr>
                <w:rFonts w:hint="eastAsia"/>
                <w:szCs w:val="21"/>
              </w:rPr>
              <w:t>普通性能存储</w:t>
            </w:r>
          </w:p>
        </w:tc>
        <w:tc>
          <w:tcPr>
            <w:tcW w:w="1701" w:type="dxa"/>
            <w:vAlign w:val="center"/>
          </w:tcPr>
          <w:p>
            <w:pPr>
              <w:widowControl/>
              <w:jc w:val="center"/>
              <w:rPr>
                <w:szCs w:val="21"/>
              </w:rPr>
            </w:pPr>
            <w:r>
              <w:rPr>
                <w:rFonts w:hint="eastAsia"/>
                <w:szCs w:val="21"/>
              </w:rPr>
              <w:t>G</w:t>
            </w:r>
          </w:p>
        </w:tc>
        <w:tc>
          <w:tcPr>
            <w:tcW w:w="992" w:type="dxa"/>
            <w:vAlign w:val="center"/>
          </w:tcPr>
          <w:p>
            <w:pPr>
              <w:widowControl/>
              <w:jc w:val="center"/>
              <w:rPr>
                <w:rFonts w:hint="default" w:eastAsia="宋体"/>
                <w:szCs w:val="21"/>
                <w:lang w:val="en-US" w:eastAsia="zh-CN"/>
              </w:rPr>
            </w:pPr>
            <w:r>
              <w:rPr>
                <w:rFonts w:hint="eastAsia"/>
                <w:szCs w:val="21"/>
                <w:lang w:val="en-US" w:eastAsia="zh-CN"/>
              </w:rPr>
              <w:t>313250</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r>
              <w:rPr>
                <w:rFonts w:hint="eastAsia"/>
                <w:szCs w:val="21"/>
              </w:rPr>
              <w:t>单盘IPOS 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本地备份服务</w:t>
            </w:r>
          </w:p>
        </w:tc>
        <w:tc>
          <w:tcPr>
            <w:tcW w:w="1919" w:type="dxa"/>
            <w:vAlign w:val="center"/>
          </w:tcPr>
          <w:p>
            <w:pPr>
              <w:widowControl/>
              <w:jc w:val="center"/>
              <w:rPr>
                <w:szCs w:val="21"/>
              </w:rPr>
            </w:pPr>
            <w:r>
              <w:rPr>
                <w:rFonts w:hint="eastAsia"/>
                <w:szCs w:val="21"/>
              </w:rPr>
              <w:t>本地备份服务</w:t>
            </w:r>
          </w:p>
        </w:tc>
        <w:tc>
          <w:tcPr>
            <w:tcW w:w="1701" w:type="dxa"/>
            <w:vAlign w:val="center"/>
          </w:tcPr>
          <w:p>
            <w:pPr>
              <w:widowControl/>
              <w:jc w:val="center"/>
              <w:rPr>
                <w:szCs w:val="21"/>
              </w:rPr>
            </w:pPr>
            <w:r>
              <w:rPr>
                <w:rFonts w:hint="eastAsia"/>
                <w:szCs w:val="21"/>
              </w:rPr>
              <w:t>G</w:t>
            </w:r>
          </w:p>
        </w:tc>
        <w:tc>
          <w:tcPr>
            <w:tcW w:w="992" w:type="dxa"/>
            <w:vAlign w:val="center"/>
          </w:tcPr>
          <w:p>
            <w:pPr>
              <w:widowControl/>
              <w:jc w:val="center"/>
              <w:rPr>
                <w:szCs w:val="21"/>
              </w:rPr>
            </w:pPr>
            <w:r>
              <w:rPr>
                <w:rFonts w:hint="eastAsia"/>
                <w:szCs w:val="21"/>
              </w:rPr>
              <w:t>50000</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37" w:type="dxa"/>
            <w:gridSpan w:val="6"/>
            <w:vAlign w:val="center"/>
          </w:tcPr>
          <w:p>
            <w:pPr>
              <w:widowControl/>
              <w:jc w:val="center"/>
              <w:rPr>
                <w:szCs w:val="21"/>
              </w:rPr>
            </w:pPr>
            <w:r>
              <w:rPr>
                <w:rFonts w:hint="eastAsia"/>
                <w:szCs w:val="21"/>
              </w:rPr>
              <w:t>网络资源租用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远程接入</w:t>
            </w:r>
          </w:p>
        </w:tc>
        <w:tc>
          <w:tcPr>
            <w:tcW w:w="1919" w:type="dxa"/>
            <w:vAlign w:val="center"/>
          </w:tcPr>
          <w:p>
            <w:pPr>
              <w:widowControl/>
              <w:jc w:val="center"/>
              <w:rPr>
                <w:szCs w:val="21"/>
              </w:rPr>
            </w:pPr>
            <w:r>
              <w:rPr>
                <w:rFonts w:hint="eastAsia"/>
                <w:szCs w:val="21"/>
              </w:rPr>
              <w:t>远程接入服务</w:t>
            </w:r>
          </w:p>
        </w:tc>
        <w:tc>
          <w:tcPr>
            <w:tcW w:w="1701" w:type="dxa"/>
            <w:vAlign w:val="center"/>
          </w:tcPr>
          <w:p>
            <w:pPr>
              <w:widowControl/>
              <w:jc w:val="center"/>
              <w:rPr>
                <w:szCs w:val="21"/>
              </w:rPr>
            </w:pPr>
            <w:r>
              <w:rPr>
                <w:rFonts w:hint="eastAsia"/>
                <w:szCs w:val="21"/>
              </w:rPr>
              <w:t>账号</w:t>
            </w:r>
          </w:p>
        </w:tc>
        <w:tc>
          <w:tcPr>
            <w:tcW w:w="992" w:type="dxa"/>
            <w:vAlign w:val="center"/>
          </w:tcPr>
          <w:p>
            <w:pPr>
              <w:widowControl/>
              <w:jc w:val="center"/>
              <w:rPr>
                <w:rFonts w:hint="default" w:eastAsia="宋体"/>
                <w:szCs w:val="21"/>
                <w:lang w:val="en-US" w:eastAsia="zh-CN"/>
              </w:rPr>
            </w:pPr>
            <w:r>
              <w:rPr>
                <w:rFonts w:hint="eastAsia"/>
                <w:szCs w:val="21"/>
                <w:lang w:val="en-US" w:eastAsia="zh-CN"/>
              </w:rPr>
              <w:t>48</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VPN服务</w:t>
            </w:r>
          </w:p>
        </w:tc>
        <w:tc>
          <w:tcPr>
            <w:tcW w:w="1919" w:type="dxa"/>
            <w:vAlign w:val="center"/>
          </w:tcPr>
          <w:p>
            <w:pPr>
              <w:widowControl/>
              <w:jc w:val="center"/>
              <w:rPr>
                <w:szCs w:val="21"/>
              </w:rPr>
            </w:pPr>
            <w:r>
              <w:rPr>
                <w:rFonts w:hint="eastAsia"/>
                <w:szCs w:val="21"/>
              </w:rPr>
              <w:t>SSL VPN接入</w:t>
            </w:r>
          </w:p>
        </w:tc>
        <w:tc>
          <w:tcPr>
            <w:tcW w:w="1701" w:type="dxa"/>
            <w:vAlign w:val="center"/>
          </w:tcPr>
          <w:p>
            <w:pPr>
              <w:widowControl/>
              <w:jc w:val="center"/>
              <w:rPr>
                <w:szCs w:val="21"/>
              </w:rPr>
            </w:pPr>
            <w:r>
              <w:rPr>
                <w:rFonts w:hint="eastAsia"/>
                <w:szCs w:val="21"/>
              </w:rPr>
              <w:t>套</w:t>
            </w:r>
          </w:p>
        </w:tc>
        <w:tc>
          <w:tcPr>
            <w:tcW w:w="992" w:type="dxa"/>
            <w:vAlign w:val="center"/>
          </w:tcPr>
          <w:p>
            <w:pPr>
              <w:widowControl/>
              <w:jc w:val="center"/>
              <w:rPr>
                <w:rFonts w:hint="default" w:eastAsia="宋体"/>
                <w:szCs w:val="21"/>
                <w:lang w:val="en-US" w:eastAsia="zh-CN"/>
              </w:rPr>
            </w:pPr>
            <w:r>
              <w:rPr>
                <w:rFonts w:hint="eastAsia"/>
                <w:szCs w:val="21"/>
                <w:lang w:val="en-US" w:eastAsia="zh-CN"/>
              </w:rPr>
              <w:t>48</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WAF防护</w:t>
            </w:r>
          </w:p>
        </w:tc>
        <w:tc>
          <w:tcPr>
            <w:tcW w:w="1919" w:type="dxa"/>
            <w:vAlign w:val="center"/>
          </w:tcPr>
          <w:p>
            <w:pPr>
              <w:widowControl/>
              <w:jc w:val="center"/>
              <w:rPr>
                <w:sz w:val="18"/>
                <w:szCs w:val="18"/>
              </w:rPr>
            </w:pPr>
            <w:r>
              <w:rPr>
                <w:rFonts w:hint="eastAsia"/>
                <w:sz w:val="18"/>
                <w:szCs w:val="18"/>
              </w:rPr>
              <w:t>web应用防火墙服务</w:t>
            </w:r>
          </w:p>
        </w:tc>
        <w:tc>
          <w:tcPr>
            <w:tcW w:w="1701" w:type="dxa"/>
            <w:vAlign w:val="center"/>
          </w:tcPr>
          <w:p>
            <w:pPr>
              <w:widowControl/>
              <w:jc w:val="center"/>
              <w:rPr>
                <w:szCs w:val="21"/>
              </w:rPr>
            </w:pPr>
            <w:r>
              <w:rPr>
                <w:rFonts w:hint="eastAsia"/>
                <w:szCs w:val="21"/>
              </w:rPr>
              <w:t>1IP（物联网）</w:t>
            </w:r>
          </w:p>
        </w:tc>
        <w:tc>
          <w:tcPr>
            <w:tcW w:w="992" w:type="dxa"/>
            <w:vAlign w:val="center"/>
          </w:tcPr>
          <w:p>
            <w:pPr>
              <w:widowControl/>
              <w:jc w:val="center"/>
              <w:rPr>
                <w:rFonts w:hint="eastAsia" w:eastAsia="宋体"/>
                <w:szCs w:val="21"/>
                <w:lang w:eastAsia="zh-CN"/>
              </w:rPr>
            </w:pPr>
            <w:r>
              <w:rPr>
                <w:rFonts w:hint="eastAsia"/>
                <w:szCs w:val="21"/>
                <w:lang w:val="en-US" w:eastAsia="zh-CN"/>
              </w:rPr>
              <w:t>1</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专线</w:t>
            </w:r>
          </w:p>
        </w:tc>
        <w:tc>
          <w:tcPr>
            <w:tcW w:w="1919" w:type="dxa"/>
            <w:vAlign w:val="center"/>
          </w:tcPr>
          <w:p>
            <w:pPr>
              <w:widowControl/>
              <w:jc w:val="center"/>
              <w:rPr>
                <w:szCs w:val="21"/>
              </w:rPr>
            </w:pPr>
            <w:r>
              <w:rPr>
                <w:rFonts w:hint="eastAsia"/>
                <w:szCs w:val="21"/>
              </w:rPr>
              <w:t>专线</w:t>
            </w:r>
          </w:p>
        </w:tc>
        <w:tc>
          <w:tcPr>
            <w:tcW w:w="1701" w:type="dxa"/>
            <w:vAlign w:val="center"/>
          </w:tcPr>
          <w:p>
            <w:pPr>
              <w:widowControl/>
              <w:jc w:val="center"/>
              <w:rPr>
                <w:szCs w:val="21"/>
              </w:rPr>
            </w:pPr>
            <w:r>
              <w:rPr>
                <w:rFonts w:hint="eastAsia"/>
                <w:szCs w:val="21"/>
              </w:rPr>
              <w:t>条</w:t>
            </w:r>
          </w:p>
        </w:tc>
        <w:tc>
          <w:tcPr>
            <w:tcW w:w="992" w:type="dxa"/>
            <w:vAlign w:val="center"/>
          </w:tcPr>
          <w:p>
            <w:pPr>
              <w:widowControl/>
              <w:jc w:val="center"/>
              <w:rPr>
                <w:szCs w:val="21"/>
              </w:rPr>
            </w:pPr>
            <w:r>
              <w:rPr>
                <w:rFonts w:hint="eastAsia"/>
                <w:szCs w:val="21"/>
              </w:rPr>
              <w:t>6</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rFonts w:hint="default" w:eastAsia="宋体"/>
                <w:szCs w:val="21"/>
                <w:lang w:val="en-US" w:eastAsia="zh-CN"/>
              </w:rPr>
            </w:pPr>
            <w:r>
              <w:rPr>
                <w:rFonts w:hint="eastAsia"/>
                <w:szCs w:val="21"/>
                <w:lang w:eastAsia="zh-CN"/>
              </w:rPr>
              <w:t>互联网</w:t>
            </w:r>
            <w:r>
              <w:rPr>
                <w:rFonts w:hint="eastAsia"/>
                <w:szCs w:val="21"/>
                <w:lang w:val="en-US" w:eastAsia="zh-CN"/>
              </w:rPr>
              <w:t>IP地址租用及备案</w:t>
            </w:r>
          </w:p>
        </w:tc>
        <w:tc>
          <w:tcPr>
            <w:tcW w:w="1919" w:type="dxa"/>
            <w:vAlign w:val="center"/>
          </w:tcPr>
          <w:p>
            <w:pPr>
              <w:widowControl/>
              <w:jc w:val="center"/>
              <w:rPr>
                <w:rFonts w:hint="eastAsia"/>
                <w:szCs w:val="21"/>
              </w:rPr>
            </w:pPr>
            <w:r>
              <w:rPr>
                <w:rFonts w:hint="eastAsia"/>
                <w:szCs w:val="21"/>
                <w:lang w:eastAsia="zh-CN"/>
              </w:rPr>
              <w:t>互联网</w:t>
            </w:r>
            <w:r>
              <w:rPr>
                <w:rFonts w:hint="eastAsia"/>
                <w:szCs w:val="21"/>
                <w:lang w:val="en-US" w:eastAsia="zh-CN"/>
              </w:rPr>
              <w:t>IP地址租用及备案</w:t>
            </w:r>
          </w:p>
        </w:tc>
        <w:tc>
          <w:tcPr>
            <w:tcW w:w="1701" w:type="dxa"/>
            <w:vAlign w:val="center"/>
          </w:tcPr>
          <w:p>
            <w:pPr>
              <w:widowControl/>
              <w:jc w:val="center"/>
              <w:rPr>
                <w:rFonts w:hint="default" w:eastAsia="宋体"/>
                <w:szCs w:val="21"/>
                <w:lang w:val="en-US" w:eastAsia="zh-CN"/>
              </w:rPr>
            </w:pPr>
            <w:r>
              <w:rPr>
                <w:rFonts w:hint="eastAsia"/>
                <w:szCs w:val="21"/>
                <w:lang w:eastAsia="zh-CN"/>
              </w:rPr>
              <w:t>元</w:t>
            </w:r>
            <w:r>
              <w:rPr>
                <w:rFonts w:hint="default"/>
                <w:szCs w:val="21"/>
                <w:lang w:val="en-US" w:eastAsia="zh-CN"/>
              </w:rPr>
              <w:t>/</w:t>
            </w:r>
            <w:r>
              <w:rPr>
                <w:rFonts w:hint="eastAsia"/>
                <w:szCs w:val="21"/>
                <w:lang w:val="en-US" w:eastAsia="zh-CN"/>
              </w:rPr>
              <w:t>月</w:t>
            </w:r>
            <w:r>
              <w:rPr>
                <w:rFonts w:hint="default"/>
                <w:szCs w:val="21"/>
                <w:lang w:val="en-US" w:eastAsia="zh-CN"/>
              </w:rPr>
              <w:t>/IP</w:t>
            </w:r>
          </w:p>
        </w:tc>
        <w:tc>
          <w:tcPr>
            <w:tcW w:w="992" w:type="dxa"/>
            <w:vAlign w:val="center"/>
          </w:tcPr>
          <w:p>
            <w:pPr>
              <w:widowControl/>
              <w:jc w:val="center"/>
              <w:rPr>
                <w:rFonts w:hint="default"/>
                <w:szCs w:val="21"/>
                <w:lang w:val="en-US"/>
              </w:rPr>
            </w:pPr>
            <w:r>
              <w:rPr>
                <w:rFonts w:hint="default"/>
                <w:szCs w:val="21"/>
                <w:lang w:val="en-US"/>
              </w:rPr>
              <w:t>9</w:t>
            </w:r>
          </w:p>
        </w:tc>
        <w:tc>
          <w:tcPr>
            <w:tcW w:w="1134" w:type="dxa"/>
            <w:vAlign w:val="center"/>
          </w:tcPr>
          <w:p>
            <w:pPr>
              <w:widowControl/>
              <w:jc w:val="center"/>
              <w:rPr>
                <w:rFonts w:hint="default"/>
                <w:szCs w:val="21"/>
                <w:lang w:val="en-US"/>
              </w:rPr>
            </w:pPr>
            <w:r>
              <w:rPr>
                <w:rFonts w:hint="default"/>
                <w:szCs w:val="21"/>
                <w:lang w:val="en-US"/>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37" w:type="dxa"/>
            <w:gridSpan w:val="6"/>
            <w:vAlign w:val="center"/>
          </w:tcPr>
          <w:p>
            <w:pPr>
              <w:widowControl/>
              <w:jc w:val="center"/>
              <w:rPr>
                <w:szCs w:val="21"/>
              </w:rPr>
            </w:pPr>
            <w:r>
              <w:rPr>
                <w:rFonts w:hint="eastAsia"/>
                <w:szCs w:val="21"/>
              </w:rPr>
              <w:t>基础软件租用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开源操作系统套餐</w:t>
            </w:r>
          </w:p>
        </w:tc>
        <w:tc>
          <w:tcPr>
            <w:tcW w:w="1919" w:type="dxa"/>
            <w:vAlign w:val="center"/>
          </w:tcPr>
          <w:p>
            <w:pPr>
              <w:widowControl/>
              <w:jc w:val="center"/>
              <w:rPr>
                <w:szCs w:val="21"/>
              </w:rPr>
            </w:pPr>
            <w:r>
              <w:rPr>
                <w:rFonts w:hint="eastAsia"/>
                <w:szCs w:val="21"/>
              </w:rPr>
              <w:t>提供开源操作系统安装和维护服务</w:t>
            </w:r>
          </w:p>
        </w:tc>
        <w:tc>
          <w:tcPr>
            <w:tcW w:w="1701" w:type="dxa"/>
            <w:vAlign w:val="center"/>
          </w:tcPr>
          <w:p>
            <w:pPr>
              <w:widowControl/>
              <w:jc w:val="center"/>
              <w:rPr>
                <w:szCs w:val="21"/>
              </w:rPr>
            </w:pPr>
            <w:r>
              <w:rPr>
                <w:rFonts w:hint="eastAsia"/>
                <w:szCs w:val="21"/>
              </w:rPr>
              <w:t>1个云主机</w:t>
            </w:r>
          </w:p>
        </w:tc>
        <w:tc>
          <w:tcPr>
            <w:tcW w:w="992" w:type="dxa"/>
            <w:vAlign w:val="center"/>
          </w:tcPr>
          <w:p>
            <w:pPr>
              <w:widowControl/>
              <w:jc w:val="center"/>
              <w:rPr>
                <w:rFonts w:hint="default"/>
                <w:szCs w:val="21"/>
                <w:lang w:val="en-US"/>
              </w:rPr>
            </w:pPr>
            <w:r>
              <w:rPr>
                <w:rFonts w:hint="default"/>
                <w:szCs w:val="21"/>
                <w:lang w:val="en-US"/>
              </w:rPr>
              <w:t>64</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国产商用应用中间件套餐</w:t>
            </w:r>
          </w:p>
        </w:tc>
        <w:tc>
          <w:tcPr>
            <w:tcW w:w="1919" w:type="dxa"/>
            <w:vAlign w:val="center"/>
          </w:tcPr>
          <w:p>
            <w:pPr>
              <w:widowControl/>
              <w:jc w:val="center"/>
              <w:rPr>
                <w:szCs w:val="21"/>
              </w:rPr>
            </w:pPr>
            <w:r>
              <w:rPr>
                <w:rFonts w:hint="eastAsia"/>
                <w:szCs w:val="21"/>
              </w:rPr>
              <w:t>国产商用应用中间件租用、安装及维护</w:t>
            </w:r>
          </w:p>
        </w:tc>
        <w:tc>
          <w:tcPr>
            <w:tcW w:w="1701" w:type="dxa"/>
            <w:vAlign w:val="center"/>
          </w:tcPr>
          <w:p>
            <w:pPr>
              <w:widowControl/>
              <w:jc w:val="center"/>
              <w:rPr>
                <w:szCs w:val="21"/>
              </w:rPr>
            </w:pPr>
            <w:r>
              <w:rPr>
                <w:rFonts w:hint="eastAsia"/>
                <w:szCs w:val="21"/>
              </w:rPr>
              <w:t>CPU</w:t>
            </w:r>
          </w:p>
        </w:tc>
        <w:tc>
          <w:tcPr>
            <w:tcW w:w="992" w:type="dxa"/>
            <w:vAlign w:val="center"/>
          </w:tcPr>
          <w:p>
            <w:pPr>
              <w:widowControl/>
              <w:jc w:val="center"/>
              <w:rPr>
                <w:rFonts w:hint="default"/>
                <w:szCs w:val="21"/>
                <w:lang w:val="en-US"/>
              </w:rPr>
            </w:pPr>
            <w:r>
              <w:rPr>
                <w:rFonts w:hint="default"/>
                <w:szCs w:val="21"/>
                <w:lang w:val="en-US"/>
              </w:rPr>
              <w:t>238</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rFonts w:hint="default" w:eastAsia="宋体"/>
                <w:szCs w:val="21"/>
                <w:lang w:val="en-US" w:eastAsia="zh-CN"/>
              </w:rPr>
            </w:pPr>
            <w:r>
              <w:rPr>
                <w:rFonts w:hint="eastAsia"/>
                <w:szCs w:val="21"/>
                <w:lang w:val="en-US" w:eastAsia="zh-CN"/>
              </w:rPr>
              <w:t>中标麒麟+银河麒麟</w:t>
            </w:r>
          </w:p>
        </w:tc>
        <w:tc>
          <w:tcPr>
            <w:tcW w:w="1919" w:type="dxa"/>
            <w:vAlign w:val="center"/>
          </w:tcPr>
          <w:p>
            <w:pPr>
              <w:widowControl/>
              <w:jc w:val="center"/>
              <w:rPr>
                <w:rFonts w:hint="default"/>
                <w:szCs w:val="21"/>
                <w:lang w:val="en-US"/>
              </w:rPr>
            </w:pPr>
            <w:r>
              <w:rPr>
                <w:rFonts w:hint="eastAsia"/>
                <w:szCs w:val="21"/>
                <w:lang w:val="en-US" w:eastAsia="zh-CN"/>
              </w:rPr>
              <w:t>中标麒麟V7.9+银河麒麟V10 SP2</w:t>
            </w:r>
          </w:p>
        </w:tc>
        <w:tc>
          <w:tcPr>
            <w:tcW w:w="1701" w:type="dxa"/>
            <w:vAlign w:val="center"/>
          </w:tcPr>
          <w:p>
            <w:pPr>
              <w:widowControl/>
              <w:jc w:val="center"/>
              <w:rPr>
                <w:rFonts w:hint="eastAsia" w:eastAsia="宋体"/>
                <w:szCs w:val="21"/>
                <w:lang w:eastAsia="zh-CN"/>
              </w:rPr>
            </w:pPr>
            <w:r>
              <w:rPr>
                <w:rFonts w:hint="eastAsia"/>
                <w:szCs w:val="21"/>
                <w:lang w:eastAsia="zh-CN"/>
              </w:rPr>
              <w:t>套</w:t>
            </w:r>
          </w:p>
        </w:tc>
        <w:tc>
          <w:tcPr>
            <w:tcW w:w="992" w:type="dxa"/>
            <w:vAlign w:val="center"/>
          </w:tcPr>
          <w:p>
            <w:pPr>
              <w:widowControl/>
              <w:jc w:val="center"/>
              <w:rPr>
                <w:rFonts w:hint="default" w:eastAsia="宋体"/>
                <w:szCs w:val="21"/>
                <w:lang w:val="en-US" w:eastAsia="zh-CN"/>
              </w:rPr>
            </w:pPr>
            <w:r>
              <w:rPr>
                <w:rFonts w:hint="eastAsia"/>
                <w:szCs w:val="21"/>
                <w:lang w:val="en-US" w:eastAsia="zh-CN"/>
              </w:rPr>
              <w:t>65</w:t>
            </w:r>
          </w:p>
        </w:tc>
        <w:tc>
          <w:tcPr>
            <w:tcW w:w="1134" w:type="dxa"/>
            <w:vAlign w:val="center"/>
          </w:tcPr>
          <w:p>
            <w:pPr>
              <w:widowControl/>
              <w:jc w:val="center"/>
              <w:rPr>
                <w:rFonts w:hint="default" w:eastAsia="宋体"/>
                <w:szCs w:val="21"/>
                <w:lang w:val="en-US" w:eastAsia="zh-CN"/>
              </w:rPr>
            </w:pPr>
            <w:r>
              <w:rPr>
                <w:rFonts w:hint="eastAsia"/>
                <w:szCs w:val="21"/>
                <w:lang w:val="en-US" w:eastAsia="zh-CN"/>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rFonts w:hint="default"/>
                <w:szCs w:val="21"/>
                <w:lang w:val="en-US"/>
              </w:rPr>
            </w:pPr>
            <w:r>
              <w:rPr>
                <w:rFonts w:hint="default"/>
                <w:szCs w:val="21"/>
                <w:lang w:val="en-US"/>
              </w:rPr>
              <w:t>Windows Server 2012 R2</w:t>
            </w:r>
          </w:p>
        </w:tc>
        <w:tc>
          <w:tcPr>
            <w:tcW w:w="1919" w:type="dxa"/>
            <w:vAlign w:val="center"/>
          </w:tcPr>
          <w:p>
            <w:pPr>
              <w:widowControl/>
              <w:jc w:val="center"/>
              <w:rPr>
                <w:szCs w:val="21"/>
              </w:rPr>
            </w:pPr>
            <w:r>
              <w:rPr>
                <w:rFonts w:hint="default"/>
                <w:szCs w:val="21"/>
                <w:lang w:val="en-US"/>
              </w:rPr>
              <w:t>Windows Server 2012 R2</w:t>
            </w:r>
          </w:p>
        </w:tc>
        <w:tc>
          <w:tcPr>
            <w:tcW w:w="1701" w:type="dxa"/>
            <w:vAlign w:val="center"/>
          </w:tcPr>
          <w:p>
            <w:pPr>
              <w:widowControl/>
              <w:jc w:val="center"/>
              <w:rPr>
                <w:szCs w:val="21"/>
              </w:rPr>
            </w:pPr>
            <w:r>
              <w:rPr>
                <w:rFonts w:hint="eastAsia"/>
                <w:szCs w:val="21"/>
              </w:rPr>
              <w:t>套</w:t>
            </w:r>
          </w:p>
        </w:tc>
        <w:tc>
          <w:tcPr>
            <w:tcW w:w="992" w:type="dxa"/>
            <w:vAlign w:val="center"/>
          </w:tcPr>
          <w:p>
            <w:pPr>
              <w:widowControl/>
              <w:jc w:val="center"/>
              <w:rPr>
                <w:rFonts w:hint="default"/>
                <w:szCs w:val="21"/>
                <w:lang w:val="en-US"/>
              </w:rPr>
            </w:pPr>
            <w:r>
              <w:rPr>
                <w:rFonts w:hint="default"/>
                <w:szCs w:val="21"/>
                <w:lang w:val="en-US"/>
              </w:rPr>
              <w:t>51</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商用数据库套餐</w:t>
            </w:r>
          </w:p>
        </w:tc>
        <w:tc>
          <w:tcPr>
            <w:tcW w:w="1919" w:type="dxa"/>
            <w:vAlign w:val="center"/>
          </w:tcPr>
          <w:p>
            <w:pPr>
              <w:widowControl/>
              <w:jc w:val="center"/>
              <w:rPr>
                <w:szCs w:val="21"/>
              </w:rPr>
            </w:pPr>
            <w:r>
              <w:rPr>
                <w:rFonts w:hint="eastAsia"/>
                <w:szCs w:val="21"/>
              </w:rPr>
              <w:t>国产商用数据库租用、安装及维护（至少支持3种国产数据库）</w:t>
            </w:r>
          </w:p>
        </w:tc>
        <w:tc>
          <w:tcPr>
            <w:tcW w:w="1701" w:type="dxa"/>
            <w:vAlign w:val="center"/>
          </w:tcPr>
          <w:p>
            <w:pPr>
              <w:widowControl/>
              <w:jc w:val="center"/>
              <w:rPr>
                <w:szCs w:val="21"/>
              </w:rPr>
            </w:pPr>
            <w:r>
              <w:rPr>
                <w:rFonts w:hint="eastAsia"/>
                <w:szCs w:val="21"/>
              </w:rPr>
              <w:t>CPU</w:t>
            </w:r>
          </w:p>
        </w:tc>
        <w:tc>
          <w:tcPr>
            <w:tcW w:w="992" w:type="dxa"/>
            <w:vAlign w:val="center"/>
          </w:tcPr>
          <w:p>
            <w:pPr>
              <w:widowControl/>
              <w:jc w:val="center"/>
              <w:rPr>
                <w:rFonts w:hint="default"/>
                <w:szCs w:val="21"/>
                <w:lang w:val="en-US"/>
              </w:rPr>
            </w:pPr>
            <w:r>
              <w:rPr>
                <w:rFonts w:hint="default"/>
                <w:szCs w:val="21"/>
                <w:lang w:val="en-US"/>
              </w:rPr>
              <w:t>136</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开源数据库套餐</w:t>
            </w:r>
          </w:p>
        </w:tc>
        <w:tc>
          <w:tcPr>
            <w:tcW w:w="1919" w:type="dxa"/>
            <w:vAlign w:val="center"/>
          </w:tcPr>
          <w:p>
            <w:pPr>
              <w:widowControl/>
              <w:jc w:val="center"/>
              <w:rPr>
                <w:szCs w:val="21"/>
              </w:rPr>
            </w:pPr>
            <w:r>
              <w:rPr>
                <w:rFonts w:hint="eastAsia"/>
                <w:szCs w:val="21"/>
              </w:rPr>
              <w:t>开源数据库安装及维护服务</w:t>
            </w:r>
          </w:p>
        </w:tc>
        <w:tc>
          <w:tcPr>
            <w:tcW w:w="1701" w:type="dxa"/>
            <w:vAlign w:val="center"/>
          </w:tcPr>
          <w:p>
            <w:pPr>
              <w:widowControl/>
              <w:jc w:val="center"/>
              <w:rPr>
                <w:szCs w:val="21"/>
              </w:rPr>
            </w:pPr>
            <w:r>
              <w:rPr>
                <w:rFonts w:hint="eastAsia"/>
                <w:szCs w:val="21"/>
              </w:rPr>
              <w:t>套</w:t>
            </w:r>
          </w:p>
        </w:tc>
        <w:tc>
          <w:tcPr>
            <w:tcW w:w="992" w:type="dxa"/>
            <w:vAlign w:val="center"/>
          </w:tcPr>
          <w:p>
            <w:pPr>
              <w:widowControl/>
              <w:jc w:val="center"/>
              <w:rPr>
                <w:szCs w:val="21"/>
              </w:rPr>
            </w:pPr>
            <w:r>
              <w:rPr>
                <w:rFonts w:hint="eastAsia"/>
                <w:szCs w:val="21"/>
              </w:rPr>
              <w:t>1</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color w:val="000000"/>
                <w:szCs w:val="21"/>
              </w:rPr>
              <w:t>国产操作系统</w:t>
            </w:r>
          </w:p>
        </w:tc>
        <w:tc>
          <w:tcPr>
            <w:tcW w:w="1919" w:type="dxa"/>
            <w:vAlign w:val="center"/>
          </w:tcPr>
          <w:p>
            <w:pPr>
              <w:widowControl/>
              <w:jc w:val="center"/>
              <w:rPr>
                <w:szCs w:val="21"/>
              </w:rPr>
            </w:pPr>
            <w:r>
              <w:rPr>
                <w:rFonts w:hint="eastAsia"/>
                <w:color w:val="000000"/>
                <w:szCs w:val="21"/>
              </w:rPr>
              <w:t>欧拉（</w:t>
            </w:r>
            <w:r>
              <w:rPr>
                <w:rFonts w:ascii="Calibri" w:hAnsi="Calibri"/>
                <w:color w:val="000000"/>
                <w:szCs w:val="21"/>
              </w:rPr>
              <w:t>openEuler</w:t>
            </w:r>
            <w:r>
              <w:rPr>
                <w:rFonts w:hint="eastAsia"/>
                <w:color w:val="000000"/>
                <w:szCs w:val="21"/>
              </w:rPr>
              <w:t>）</w:t>
            </w:r>
            <w:r>
              <w:rPr>
                <w:rFonts w:ascii="Calibri" w:hAnsi="Calibri"/>
                <w:color w:val="000000"/>
                <w:szCs w:val="21"/>
              </w:rPr>
              <w:t>20.03-LTS-SP1</w:t>
            </w:r>
          </w:p>
        </w:tc>
        <w:tc>
          <w:tcPr>
            <w:tcW w:w="1701" w:type="dxa"/>
            <w:vAlign w:val="center"/>
          </w:tcPr>
          <w:p>
            <w:pPr>
              <w:widowControl/>
              <w:jc w:val="center"/>
              <w:rPr>
                <w:szCs w:val="21"/>
              </w:rPr>
            </w:pPr>
            <w:r>
              <w:rPr>
                <w:rFonts w:hint="eastAsia"/>
                <w:szCs w:val="21"/>
              </w:rPr>
              <w:t>套</w:t>
            </w:r>
          </w:p>
        </w:tc>
        <w:tc>
          <w:tcPr>
            <w:tcW w:w="992" w:type="dxa"/>
            <w:vAlign w:val="center"/>
          </w:tcPr>
          <w:p>
            <w:pPr>
              <w:widowControl/>
              <w:jc w:val="center"/>
              <w:rPr>
                <w:szCs w:val="21"/>
              </w:rPr>
            </w:pPr>
            <w:r>
              <w:rPr>
                <w:rFonts w:hint="default"/>
                <w:szCs w:val="21"/>
                <w:lang w:val="en-US"/>
              </w:rPr>
              <w:t>4</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r>
              <w:rPr>
                <w:rFonts w:hint="eastAsia"/>
                <w:szCs w:val="21"/>
              </w:rPr>
              <w:t>宣传中心使用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37" w:type="dxa"/>
            <w:gridSpan w:val="6"/>
            <w:vAlign w:val="center"/>
          </w:tcPr>
          <w:p>
            <w:pPr>
              <w:widowControl/>
              <w:jc w:val="center"/>
              <w:rPr>
                <w:szCs w:val="21"/>
              </w:rPr>
            </w:pPr>
            <w:r>
              <w:rPr>
                <w:rFonts w:hint="eastAsia"/>
                <w:szCs w:val="21"/>
              </w:rPr>
              <w:t>定制化服务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szCs w:val="21"/>
              </w:rPr>
              <w:t>SQL server</w:t>
            </w:r>
          </w:p>
        </w:tc>
        <w:tc>
          <w:tcPr>
            <w:tcW w:w="1919" w:type="dxa"/>
            <w:vAlign w:val="center"/>
          </w:tcPr>
          <w:p>
            <w:pPr>
              <w:widowControl/>
              <w:jc w:val="center"/>
              <w:rPr>
                <w:szCs w:val="21"/>
              </w:rPr>
            </w:pPr>
            <w:r>
              <w:rPr>
                <w:szCs w:val="21"/>
              </w:rPr>
              <w:t>SQL server</w:t>
            </w:r>
          </w:p>
        </w:tc>
        <w:tc>
          <w:tcPr>
            <w:tcW w:w="1701" w:type="dxa"/>
            <w:vAlign w:val="center"/>
          </w:tcPr>
          <w:p>
            <w:pPr>
              <w:widowControl/>
              <w:jc w:val="center"/>
              <w:rPr>
                <w:szCs w:val="21"/>
              </w:rPr>
            </w:pPr>
            <w:r>
              <w:rPr>
                <w:rFonts w:hint="eastAsia"/>
                <w:szCs w:val="21"/>
              </w:rPr>
              <w:t>套</w:t>
            </w:r>
          </w:p>
        </w:tc>
        <w:tc>
          <w:tcPr>
            <w:tcW w:w="992" w:type="dxa"/>
            <w:vAlign w:val="center"/>
          </w:tcPr>
          <w:p>
            <w:pPr>
              <w:widowControl/>
              <w:jc w:val="center"/>
              <w:rPr>
                <w:szCs w:val="21"/>
              </w:rPr>
            </w:pPr>
            <w:r>
              <w:rPr>
                <w:rFonts w:hint="eastAsia"/>
                <w:szCs w:val="21"/>
              </w:rPr>
              <w:t>7</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szCs w:val="21"/>
              </w:rPr>
              <w:t>Oracle</w:t>
            </w:r>
          </w:p>
        </w:tc>
        <w:tc>
          <w:tcPr>
            <w:tcW w:w="1919" w:type="dxa"/>
            <w:vAlign w:val="center"/>
          </w:tcPr>
          <w:p>
            <w:pPr>
              <w:widowControl/>
              <w:jc w:val="center"/>
              <w:rPr>
                <w:szCs w:val="21"/>
              </w:rPr>
            </w:pPr>
            <w:r>
              <w:rPr>
                <w:szCs w:val="21"/>
              </w:rPr>
              <w:t>Oracle</w:t>
            </w:r>
          </w:p>
        </w:tc>
        <w:tc>
          <w:tcPr>
            <w:tcW w:w="1701" w:type="dxa"/>
            <w:vAlign w:val="center"/>
          </w:tcPr>
          <w:p>
            <w:pPr>
              <w:widowControl/>
              <w:jc w:val="center"/>
              <w:rPr>
                <w:szCs w:val="21"/>
              </w:rPr>
            </w:pPr>
            <w:r>
              <w:rPr>
                <w:rFonts w:hint="eastAsia"/>
                <w:szCs w:val="21"/>
              </w:rPr>
              <w:t>套</w:t>
            </w:r>
          </w:p>
        </w:tc>
        <w:tc>
          <w:tcPr>
            <w:tcW w:w="992" w:type="dxa"/>
            <w:vAlign w:val="center"/>
          </w:tcPr>
          <w:p>
            <w:pPr>
              <w:widowControl/>
              <w:jc w:val="center"/>
              <w:rPr>
                <w:szCs w:val="21"/>
              </w:rPr>
            </w:pPr>
            <w:r>
              <w:rPr>
                <w:rFonts w:hint="eastAsia"/>
                <w:szCs w:val="21"/>
              </w:rPr>
              <w:t>3</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95" w:type="dxa"/>
            <w:vAlign w:val="center"/>
          </w:tcPr>
          <w:p>
            <w:pPr>
              <w:widowControl/>
              <w:jc w:val="center"/>
              <w:rPr>
                <w:szCs w:val="21"/>
              </w:rPr>
            </w:pPr>
            <w:r>
              <w:rPr>
                <w:rFonts w:hint="eastAsia"/>
                <w:szCs w:val="21"/>
              </w:rPr>
              <w:t>视频会议</w:t>
            </w:r>
          </w:p>
        </w:tc>
        <w:tc>
          <w:tcPr>
            <w:tcW w:w="1919" w:type="dxa"/>
            <w:vAlign w:val="center"/>
          </w:tcPr>
          <w:p>
            <w:pPr>
              <w:widowControl/>
              <w:jc w:val="center"/>
              <w:rPr>
                <w:szCs w:val="21"/>
              </w:rPr>
            </w:pPr>
            <w:r>
              <w:rPr>
                <w:rFonts w:hint="eastAsia"/>
                <w:szCs w:val="21"/>
              </w:rPr>
              <w:t>视频会议保障服务</w:t>
            </w:r>
          </w:p>
        </w:tc>
        <w:tc>
          <w:tcPr>
            <w:tcW w:w="1701" w:type="dxa"/>
            <w:vAlign w:val="center"/>
          </w:tcPr>
          <w:p>
            <w:pPr>
              <w:widowControl/>
              <w:jc w:val="center"/>
              <w:rPr>
                <w:szCs w:val="21"/>
              </w:rPr>
            </w:pPr>
            <w:r>
              <w:rPr>
                <w:rFonts w:hint="eastAsia"/>
                <w:szCs w:val="21"/>
              </w:rPr>
              <w:t>套</w:t>
            </w:r>
          </w:p>
        </w:tc>
        <w:tc>
          <w:tcPr>
            <w:tcW w:w="992" w:type="dxa"/>
            <w:vAlign w:val="center"/>
          </w:tcPr>
          <w:p>
            <w:pPr>
              <w:widowControl/>
              <w:jc w:val="center"/>
              <w:rPr>
                <w:szCs w:val="21"/>
              </w:rPr>
            </w:pPr>
            <w:r>
              <w:rPr>
                <w:rFonts w:hint="eastAsia"/>
                <w:szCs w:val="21"/>
              </w:rPr>
              <w:t>1</w:t>
            </w:r>
          </w:p>
        </w:tc>
        <w:tc>
          <w:tcPr>
            <w:tcW w:w="1134" w:type="dxa"/>
            <w:vAlign w:val="center"/>
          </w:tcPr>
          <w:p>
            <w:pPr>
              <w:widowControl/>
              <w:jc w:val="center"/>
              <w:rPr>
                <w:szCs w:val="21"/>
              </w:rPr>
            </w:pPr>
            <w:r>
              <w:rPr>
                <w:rFonts w:hint="eastAsia"/>
                <w:szCs w:val="21"/>
              </w:rPr>
              <w:t>12</w:t>
            </w:r>
          </w:p>
        </w:tc>
        <w:tc>
          <w:tcPr>
            <w:tcW w:w="2196" w:type="dxa"/>
            <w:vAlign w:val="center"/>
          </w:tcPr>
          <w:p>
            <w:pPr>
              <w:widowControl/>
              <w:jc w:val="center"/>
              <w:rPr>
                <w:szCs w:val="21"/>
              </w:rPr>
            </w:pPr>
            <w:r>
              <w:rPr>
                <w:rFonts w:hint="eastAsia"/>
                <w:szCs w:val="21"/>
              </w:rPr>
              <w:t>500并发量</w:t>
            </w:r>
          </w:p>
        </w:tc>
      </w:tr>
    </w:tbl>
    <w:p>
      <w:pPr>
        <w:pStyle w:val="18"/>
      </w:pPr>
    </w:p>
    <w:p>
      <w:pPr>
        <w:tabs>
          <w:tab w:val="left" w:pos="1425"/>
        </w:tabs>
        <w:adjustRightInd w:val="0"/>
        <w:snapToGrid w:val="0"/>
        <w:spacing w:line="360" w:lineRule="auto"/>
        <w:outlineLvl w:val="1"/>
        <w:rPr>
          <w:rFonts w:hint="eastAsia"/>
          <w:b/>
          <w:bCs/>
          <w:sz w:val="24"/>
        </w:rPr>
      </w:pPr>
    </w:p>
    <w:p>
      <w:pPr>
        <w:tabs>
          <w:tab w:val="left" w:pos="1425"/>
        </w:tabs>
        <w:adjustRightInd w:val="0"/>
        <w:snapToGrid w:val="0"/>
        <w:spacing w:line="360" w:lineRule="auto"/>
        <w:outlineLvl w:val="1"/>
        <w:rPr>
          <w:b/>
          <w:bCs/>
          <w:sz w:val="24"/>
        </w:rPr>
      </w:pPr>
      <w:r>
        <w:rPr>
          <w:rFonts w:hint="eastAsia"/>
          <w:b/>
          <w:bCs/>
          <w:sz w:val="24"/>
        </w:rPr>
        <w:t>三、</w:t>
      </w:r>
      <w:r>
        <w:rPr>
          <w:b/>
          <w:bCs/>
          <w:sz w:val="24"/>
        </w:rPr>
        <w:t>项目目标</w:t>
      </w:r>
    </w:p>
    <w:p>
      <w:pPr>
        <w:spacing w:line="360" w:lineRule="auto"/>
        <w:ind w:firstLine="480" w:firstLineChars="200"/>
        <w:rPr>
          <w:sz w:val="24"/>
        </w:rPr>
      </w:pPr>
      <w:r>
        <w:rPr>
          <w:rFonts w:hint="eastAsia"/>
          <w:sz w:val="24"/>
          <w:lang w:eastAsia="zh-CN"/>
        </w:rPr>
        <w:t>为</w:t>
      </w:r>
      <w:r>
        <w:rPr>
          <w:sz w:val="24"/>
        </w:rPr>
        <w:t>北京市生态环境局“</w:t>
      </w:r>
      <w:r>
        <w:rPr>
          <w:rFonts w:hint="eastAsia" w:eastAsia="宋体"/>
          <w:sz w:val="24"/>
        </w:rPr>
        <w:t>北京市生态环境局政务服务平台</w:t>
      </w:r>
      <w:r>
        <w:rPr>
          <w:rFonts w:hint="eastAsia" w:eastAsia="宋体"/>
          <w:sz w:val="24"/>
          <w:lang w:eastAsia="zh-CN"/>
        </w:rPr>
        <w:t>、</w:t>
      </w:r>
      <w:r>
        <w:rPr>
          <w:rFonts w:hint="eastAsia" w:eastAsia="宋体"/>
          <w:sz w:val="24"/>
        </w:rPr>
        <w:t>北京市</w:t>
      </w:r>
      <w:r>
        <w:rPr>
          <w:rFonts w:hint="eastAsia" w:eastAsia="宋体"/>
          <w:sz w:val="24"/>
          <w:lang w:eastAsia="zh-CN"/>
        </w:rPr>
        <w:t>生态环境监测管理系统</w:t>
      </w:r>
      <w:r>
        <w:rPr>
          <w:sz w:val="24"/>
        </w:rPr>
        <w:t>”</w:t>
      </w:r>
      <w:r>
        <w:rPr>
          <w:color w:val="auto"/>
          <w:sz w:val="24"/>
        </w:rPr>
        <w:t>等</w:t>
      </w:r>
      <w:r>
        <w:rPr>
          <w:rFonts w:hint="eastAsia"/>
          <w:color w:val="auto"/>
          <w:sz w:val="24"/>
          <w:lang w:eastAsia="zh-CN"/>
        </w:rPr>
        <w:t>业务</w:t>
      </w:r>
      <w:r>
        <w:rPr>
          <w:sz w:val="24"/>
        </w:rPr>
        <w:t>系统，提供政务云</w:t>
      </w:r>
      <w:r>
        <w:rPr>
          <w:rFonts w:hint="eastAsia"/>
          <w:sz w:val="24"/>
          <w:lang w:eastAsia="zh-CN"/>
        </w:rPr>
        <w:t>资源中</w:t>
      </w:r>
      <w:r>
        <w:rPr>
          <w:sz w:val="24"/>
        </w:rPr>
        <w:t>正常运行所必须的基础</w:t>
      </w:r>
      <w:r>
        <w:rPr>
          <w:rFonts w:hint="eastAsia"/>
          <w:sz w:val="24"/>
        </w:rPr>
        <w:t>资源服务、基础</w:t>
      </w:r>
      <w:r>
        <w:rPr>
          <w:sz w:val="24"/>
        </w:rPr>
        <w:t>软件支撑服务、</w:t>
      </w:r>
      <w:r>
        <w:rPr>
          <w:rFonts w:hint="eastAsia"/>
          <w:sz w:val="24"/>
          <w:lang w:eastAsia="zh-CN"/>
        </w:rPr>
        <w:t>运转</w:t>
      </w:r>
      <w:r>
        <w:rPr>
          <w:sz w:val="24"/>
        </w:rPr>
        <w:t>检测监测等</w:t>
      </w:r>
      <w:r>
        <w:rPr>
          <w:rFonts w:hint="eastAsia"/>
          <w:sz w:val="24"/>
          <w:lang w:eastAsia="zh-CN"/>
        </w:rPr>
        <w:t>服务</w:t>
      </w:r>
      <w:r>
        <w:rPr>
          <w:sz w:val="24"/>
        </w:rPr>
        <w:t xml:space="preserve">，保证关键业务连续运行，为业务数据提供高效、安全、可靠的连接，提升信息化水平，实现业务系统安全稳定运行。 </w:t>
      </w:r>
    </w:p>
    <w:p>
      <w:pPr>
        <w:tabs>
          <w:tab w:val="left" w:pos="1425"/>
        </w:tabs>
        <w:adjustRightInd w:val="0"/>
        <w:snapToGrid w:val="0"/>
        <w:spacing w:line="360" w:lineRule="auto"/>
        <w:outlineLvl w:val="1"/>
        <w:rPr>
          <w:b/>
          <w:bCs/>
          <w:sz w:val="24"/>
        </w:rPr>
      </w:pPr>
      <w:r>
        <w:rPr>
          <w:rFonts w:hint="eastAsia"/>
          <w:b/>
          <w:bCs/>
          <w:sz w:val="24"/>
        </w:rPr>
        <w:t>四、</w:t>
      </w:r>
      <w:r>
        <w:rPr>
          <w:b/>
          <w:bCs/>
          <w:sz w:val="24"/>
        </w:rPr>
        <w:t>项目原则</w:t>
      </w:r>
    </w:p>
    <w:p>
      <w:pPr>
        <w:spacing w:line="360" w:lineRule="auto"/>
        <w:ind w:firstLine="480" w:firstLineChars="200"/>
        <w:rPr>
          <w:color w:val="000000"/>
          <w:sz w:val="24"/>
        </w:rPr>
      </w:pPr>
      <w:r>
        <w:rPr>
          <w:color w:val="000000"/>
          <w:sz w:val="24"/>
        </w:rPr>
        <w:t>1.统一规范</w:t>
      </w:r>
    </w:p>
    <w:p>
      <w:pPr>
        <w:spacing w:line="360" w:lineRule="auto"/>
        <w:ind w:firstLine="480" w:firstLineChars="200"/>
        <w:rPr>
          <w:sz w:val="24"/>
        </w:rPr>
      </w:pPr>
      <w:r>
        <w:rPr>
          <w:sz w:val="24"/>
        </w:rPr>
        <w:t>云计算平台应在统一的框架体系下，参考国际国内各方面的标准与规范，严格遵从各项技术规定，做好系统的标准化设计、建设与服务工作。</w:t>
      </w:r>
    </w:p>
    <w:p>
      <w:pPr>
        <w:spacing w:line="360" w:lineRule="auto"/>
        <w:ind w:firstLine="480" w:firstLineChars="200"/>
        <w:rPr>
          <w:color w:val="000000"/>
          <w:sz w:val="24"/>
        </w:rPr>
      </w:pPr>
      <w:r>
        <w:rPr>
          <w:color w:val="000000"/>
          <w:sz w:val="24"/>
        </w:rPr>
        <w:t>2.成熟稳定</w:t>
      </w:r>
    </w:p>
    <w:p>
      <w:pPr>
        <w:spacing w:line="360" w:lineRule="auto"/>
        <w:ind w:firstLine="480" w:firstLineChars="200"/>
        <w:rPr>
          <w:sz w:val="24"/>
        </w:rPr>
      </w:pPr>
      <w:r>
        <w:rPr>
          <w:sz w:val="24"/>
        </w:rPr>
        <w:t>采用成熟稳定的技术和产品，确保建成的政务云平台适应各方的需求，同时保证平台的稳定性。</w:t>
      </w:r>
    </w:p>
    <w:p>
      <w:pPr>
        <w:spacing w:line="360" w:lineRule="auto"/>
        <w:ind w:firstLine="480" w:firstLineChars="200"/>
        <w:rPr>
          <w:color w:val="000000"/>
          <w:sz w:val="24"/>
        </w:rPr>
      </w:pPr>
      <w:r>
        <w:rPr>
          <w:color w:val="000000"/>
          <w:sz w:val="24"/>
        </w:rPr>
        <w:t>3.实用先进</w:t>
      </w:r>
    </w:p>
    <w:p>
      <w:pPr>
        <w:spacing w:line="360" w:lineRule="auto"/>
        <w:ind w:firstLine="480" w:firstLineChars="200"/>
        <w:rPr>
          <w:color w:val="000000"/>
          <w:sz w:val="24"/>
        </w:rPr>
      </w:pPr>
      <w:r>
        <w:rPr>
          <w:sz w:val="24"/>
        </w:rPr>
        <w:t>为避免投资浪费，政务云平台体系的设计不仅要求能够满足目前业务使用的需求，还必须具备一定的先进性和发展潜力，使系统具有容量的扩充与升级换代</w:t>
      </w:r>
      <w:r>
        <w:rPr>
          <w:color w:val="000000"/>
          <w:sz w:val="24"/>
        </w:rPr>
        <w:t>的可能，以便该项目与业务发展和信息技术进步相适应。</w:t>
      </w:r>
    </w:p>
    <w:p>
      <w:pPr>
        <w:spacing w:line="360" w:lineRule="auto"/>
        <w:ind w:firstLine="480" w:firstLineChars="200"/>
        <w:rPr>
          <w:color w:val="000000"/>
          <w:sz w:val="24"/>
        </w:rPr>
      </w:pPr>
      <w:r>
        <w:rPr>
          <w:color w:val="000000"/>
          <w:sz w:val="24"/>
        </w:rPr>
        <w:t>4.开放适用</w:t>
      </w:r>
    </w:p>
    <w:p>
      <w:pPr>
        <w:spacing w:line="360" w:lineRule="auto"/>
        <w:ind w:firstLine="480" w:firstLineChars="200"/>
        <w:rPr>
          <w:sz w:val="24"/>
        </w:rPr>
      </w:pPr>
      <w:r>
        <w:rPr>
          <w:sz w:val="24"/>
        </w:rPr>
        <w:t>由于云计算平台为各业务应用系统提供支撑，必须充分考虑系统的开放性，提供开放标准接口，供开发者、用户使用。</w:t>
      </w:r>
    </w:p>
    <w:p>
      <w:pPr>
        <w:spacing w:line="360" w:lineRule="auto"/>
        <w:ind w:firstLine="480" w:firstLineChars="200"/>
        <w:rPr>
          <w:color w:val="000000"/>
          <w:sz w:val="24"/>
        </w:rPr>
      </w:pPr>
      <w:r>
        <w:rPr>
          <w:color w:val="000000"/>
          <w:sz w:val="24"/>
        </w:rPr>
        <w:t>5.弹性扩展</w:t>
      </w:r>
    </w:p>
    <w:p>
      <w:pPr>
        <w:spacing w:line="360" w:lineRule="auto"/>
        <w:ind w:firstLine="480" w:firstLineChars="200"/>
        <w:rPr>
          <w:sz w:val="24"/>
        </w:rPr>
      </w:pPr>
      <w:r>
        <w:rPr>
          <w:sz w:val="24"/>
        </w:rPr>
        <w:t>系统的设计和建设要充分考虑网络、硬件的扩展需要，以及支持未来可能出现的新业务的需要，保证以后可以方便地升级和不断增加新业务、增加容量、以及在同一平台上扩充其他业务功能。</w:t>
      </w:r>
    </w:p>
    <w:p>
      <w:pPr>
        <w:spacing w:line="360" w:lineRule="auto"/>
        <w:ind w:firstLine="480" w:firstLineChars="200"/>
        <w:rPr>
          <w:color w:val="000000"/>
          <w:sz w:val="24"/>
        </w:rPr>
      </w:pPr>
      <w:r>
        <w:rPr>
          <w:color w:val="000000"/>
          <w:sz w:val="24"/>
        </w:rPr>
        <w:t>6.易于使用维护</w:t>
      </w:r>
    </w:p>
    <w:p>
      <w:pPr>
        <w:spacing w:line="360" w:lineRule="auto"/>
        <w:ind w:firstLine="480" w:firstLineChars="200"/>
        <w:rPr>
          <w:sz w:val="24"/>
        </w:rPr>
      </w:pPr>
      <w:r>
        <w:rPr>
          <w:sz w:val="24"/>
        </w:rPr>
        <w:t>在保证安全性的前提下，为应用开发方系统应提供方便、灵活的维护手段，方便维护人员的维护和管理。</w:t>
      </w:r>
    </w:p>
    <w:p>
      <w:pPr>
        <w:tabs>
          <w:tab w:val="left" w:pos="1425"/>
        </w:tabs>
        <w:adjustRightInd w:val="0"/>
        <w:snapToGrid w:val="0"/>
        <w:spacing w:line="360" w:lineRule="auto"/>
        <w:outlineLvl w:val="1"/>
        <w:rPr>
          <w:b/>
          <w:bCs/>
          <w:sz w:val="24"/>
        </w:rPr>
      </w:pPr>
      <w:r>
        <w:rPr>
          <w:rFonts w:hint="eastAsia"/>
          <w:b/>
          <w:bCs/>
          <w:sz w:val="24"/>
        </w:rPr>
        <w:t>五、</w:t>
      </w:r>
      <w:r>
        <w:rPr>
          <w:b/>
          <w:bCs/>
          <w:sz w:val="24"/>
        </w:rPr>
        <w:t>项目服务范围</w:t>
      </w:r>
    </w:p>
    <w:p>
      <w:pPr>
        <w:spacing w:line="360" w:lineRule="auto"/>
        <w:ind w:firstLine="480" w:firstLineChars="200"/>
        <w:rPr>
          <w:color w:val="auto"/>
          <w:sz w:val="24"/>
        </w:rPr>
      </w:pPr>
      <w:bookmarkStart w:id="30" w:name="_GoBack"/>
      <w:r>
        <w:rPr>
          <w:color w:val="auto"/>
          <w:sz w:val="24"/>
        </w:rPr>
        <w:t>项目服务范围为：为北京市生态环境局业务系统提供安全、稳定、高效的政务云环境</w:t>
      </w:r>
      <w:r>
        <w:rPr>
          <w:rFonts w:hint="eastAsia"/>
          <w:color w:val="auto"/>
          <w:sz w:val="24"/>
          <w:lang w:eastAsia="zh-CN"/>
        </w:rPr>
        <w:t>。提供</w:t>
      </w:r>
      <w:r>
        <w:rPr>
          <w:rFonts w:hint="eastAsia"/>
          <w:color w:val="auto"/>
          <w:sz w:val="24"/>
        </w:rPr>
        <w:t>计算资源、存储资源、网络资源、基础软件和定制化服务</w:t>
      </w:r>
      <w:r>
        <w:rPr>
          <w:color w:val="auto"/>
          <w:sz w:val="24"/>
        </w:rPr>
        <w:t>等</w:t>
      </w:r>
      <w:r>
        <w:rPr>
          <w:rFonts w:hint="eastAsia"/>
          <w:color w:val="auto"/>
          <w:sz w:val="24"/>
          <w:lang w:eastAsia="zh-CN"/>
        </w:rPr>
        <w:t>内容</w:t>
      </w:r>
      <w:r>
        <w:rPr>
          <w:color w:val="auto"/>
          <w:sz w:val="24"/>
        </w:rPr>
        <w:t>，分别从基础设施、网络、人员、数据等多方面进行保障维护，确保系统安全、稳定地运行。</w:t>
      </w:r>
    </w:p>
    <w:bookmarkEnd w:id="30"/>
    <w:p>
      <w:pPr>
        <w:spacing w:line="360" w:lineRule="auto"/>
        <w:ind w:firstLine="480" w:firstLineChars="200"/>
        <w:rPr>
          <w:sz w:val="24"/>
        </w:rPr>
      </w:pPr>
      <w:r>
        <w:rPr>
          <w:rFonts w:hint="eastAsia"/>
          <w:sz w:val="24"/>
        </w:rPr>
        <w:t>采购标的的数量：1项服务。</w:t>
      </w:r>
    </w:p>
    <w:p>
      <w:pPr>
        <w:tabs>
          <w:tab w:val="left" w:pos="1425"/>
        </w:tabs>
        <w:adjustRightInd w:val="0"/>
        <w:snapToGrid w:val="0"/>
        <w:spacing w:line="360" w:lineRule="auto"/>
        <w:outlineLvl w:val="1"/>
        <w:rPr>
          <w:b/>
          <w:bCs/>
          <w:sz w:val="24"/>
        </w:rPr>
      </w:pPr>
      <w:r>
        <w:rPr>
          <w:rFonts w:hint="eastAsia"/>
          <w:b/>
          <w:bCs/>
          <w:sz w:val="24"/>
          <w:lang w:eastAsia="zh-CN"/>
        </w:rPr>
        <w:t>六</w:t>
      </w:r>
      <w:r>
        <w:rPr>
          <w:rFonts w:hint="eastAsia"/>
          <w:b/>
          <w:bCs/>
          <w:sz w:val="24"/>
        </w:rPr>
        <w:t>、</w:t>
      </w:r>
      <w:r>
        <w:rPr>
          <w:b/>
          <w:bCs/>
          <w:sz w:val="24"/>
        </w:rPr>
        <w:t>项目</w:t>
      </w:r>
      <w:r>
        <w:rPr>
          <w:rFonts w:hint="eastAsia"/>
          <w:b/>
          <w:bCs/>
          <w:sz w:val="24"/>
        </w:rPr>
        <w:t>履约验收方案</w:t>
      </w:r>
    </w:p>
    <w:p>
      <w:pPr>
        <w:adjustRightInd w:val="0"/>
        <w:snapToGrid w:val="0"/>
        <w:spacing w:line="360" w:lineRule="auto"/>
        <w:ind w:firstLine="480" w:firstLineChars="200"/>
        <w:rPr>
          <w:color w:val="000000"/>
          <w:sz w:val="24"/>
          <w:szCs w:val="30"/>
        </w:rPr>
      </w:pPr>
      <w:r>
        <w:rPr>
          <w:rFonts w:hint="eastAsia"/>
          <w:color w:val="000000"/>
          <w:sz w:val="24"/>
          <w:szCs w:val="30"/>
        </w:rPr>
        <w:t>1.履约验收的主体、时间、方式：</w:t>
      </w:r>
      <w:r>
        <w:rPr>
          <w:sz w:val="24"/>
        </w:rPr>
        <w:t>采购人应在中标方提出验收申请30日内组织验收</w:t>
      </w:r>
      <w:r>
        <w:rPr>
          <w:rFonts w:hint="eastAsia"/>
          <w:sz w:val="24"/>
        </w:rPr>
        <w:t>。</w:t>
      </w:r>
      <w:r>
        <w:rPr>
          <w:color w:val="000000"/>
          <w:sz w:val="24"/>
          <w:szCs w:val="30"/>
        </w:rPr>
        <w:t>项目验收交付的同时需完成文档交付工作。</w:t>
      </w:r>
    </w:p>
    <w:p>
      <w:pPr>
        <w:adjustRightInd w:val="0"/>
        <w:snapToGrid w:val="0"/>
        <w:spacing w:line="360" w:lineRule="auto"/>
        <w:ind w:firstLine="480" w:firstLineChars="200"/>
        <w:rPr>
          <w:color w:val="000000"/>
          <w:sz w:val="24"/>
          <w:szCs w:val="30"/>
        </w:rPr>
      </w:pPr>
      <w:r>
        <w:rPr>
          <w:rFonts w:hint="eastAsia"/>
          <w:color w:val="000000"/>
          <w:sz w:val="24"/>
          <w:szCs w:val="30"/>
        </w:rPr>
        <w:t>2.履约验收程序：服务期满后30个工作日内开始对合同项目进行最终验收。中标人应当在采购人指定的验收日前按照标准做好验收的必要准备并向甲方提交验收报告。</w:t>
      </w:r>
    </w:p>
    <w:p>
      <w:pPr>
        <w:adjustRightInd w:val="0"/>
        <w:snapToGrid w:val="0"/>
        <w:spacing w:line="360" w:lineRule="auto"/>
        <w:ind w:firstLine="480" w:firstLineChars="200"/>
        <w:rPr>
          <w:color w:val="000000"/>
          <w:sz w:val="24"/>
          <w:szCs w:val="30"/>
        </w:rPr>
      </w:pPr>
      <w:r>
        <w:rPr>
          <w:rFonts w:hint="eastAsia"/>
          <w:color w:val="000000"/>
          <w:sz w:val="24"/>
          <w:szCs w:val="30"/>
        </w:rPr>
        <w:t>3.履约验收的内容：交付文档。</w:t>
      </w:r>
    </w:p>
    <w:p>
      <w:pPr>
        <w:adjustRightInd w:val="0"/>
        <w:snapToGrid w:val="0"/>
        <w:spacing w:line="360" w:lineRule="auto"/>
        <w:ind w:firstLine="480" w:firstLineChars="200"/>
        <w:rPr>
          <w:color w:val="000000"/>
          <w:sz w:val="24"/>
          <w:szCs w:val="30"/>
        </w:rPr>
      </w:pPr>
      <w:r>
        <w:rPr>
          <w:rFonts w:hint="eastAsia"/>
          <w:color w:val="000000"/>
          <w:sz w:val="24"/>
          <w:szCs w:val="30"/>
        </w:rPr>
        <w:t>4</w:t>
      </w:r>
      <w:r>
        <w:rPr>
          <w:color w:val="000000"/>
          <w:sz w:val="24"/>
          <w:szCs w:val="30"/>
        </w:rPr>
        <w:t>.验收标准：</w:t>
      </w:r>
    </w:p>
    <w:p>
      <w:pPr>
        <w:adjustRightInd w:val="0"/>
        <w:snapToGrid w:val="0"/>
        <w:spacing w:line="360" w:lineRule="auto"/>
        <w:ind w:firstLine="480" w:firstLineChars="200"/>
        <w:rPr>
          <w:color w:val="000000"/>
          <w:sz w:val="24"/>
          <w:szCs w:val="30"/>
        </w:rPr>
      </w:pPr>
      <w:r>
        <w:rPr>
          <w:color w:val="000000"/>
          <w:sz w:val="24"/>
          <w:szCs w:val="30"/>
        </w:rPr>
        <w:t>系统正常运行率   ≥9</w:t>
      </w:r>
      <w:r>
        <w:rPr>
          <w:rFonts w:hint="eastAsia"/>
          <w:color w:val="000000"/>
          <w:sz w:val="24"/>
          <w:szCs w:val="30"/>
        </w:rPr>
        <w:t>7</w:t>
      </w:r>
      <w:r>
        <w:rPr>
          <w:color w:val="000000"/>
          <w:sz w:val="24"/>
          <w:szCs w:val="30"/>
        </w:rPr>
        <w:t xml:space="preserve">% </w:t>
      </w:r>
    </w:p>
    <w:p>
      <w:pPr>
        <w:adjustRightInd w:val="0"/>
        <w:snapToGrid w:val="0"/>
        <w:spacing w:line="360" w:lineRule="auto"/>
        <w:ind w:firstLine="480" w:firstLineChars="200"/>
        <w:rPr>
          <w:color w:val="000000"/>
          <w:sz w:val="24"/>
          <w:szCs w:val="30"/>
        </w:rPr>
      </w:pPr>
      <w:r>
        <w:rPr>
          <w:color w:val="000000"/>
          <w:sz w:val="24"/>
          <w:szCs w:val="30"/>
        </w:rPr>
        <w:t>系统故障率   ≤</w:t>
      </w:r>
      <w:r>
        <w:rPr>
          <w:rFonts w:hint="eastAsia"/>
          <w:color w:val="000000"/>
          <w:sz w:val="24"/>
          <w:szCs w:val="30"/>
        </w:rPr>
        <w:t>3</w:t>
      </w:r>
      <w:r>
        <w:rPr>
          <w:color w:val="000000"/>
          <w:sz w:val="24"/>
          <w:szCs w:val="30"/>
        </w:rPr>
        <w:t xml:space="preserve">% </w:t>
      </w:r>
    </w:p>
    <w:p>
      <w:pPr>
        <w:adjustRightInd w:val="0"/>
        <w:snapToGrid w:val="0"/>
        <w:spacing w:line="360" w:lineRule="auto"/>
        <w:ind w:firstLine="480" w:firstLineChars="200"/>
        <w:rPr>
          <w:color w:val="000000"/>
          <w:sz w:val="24"/>
          <w:szCs w:val="30"/>
        </w:rPr>
      </w:pPr>
      <w:r>
        <w:rPr>
          <w:color w:val="000000"/>
          <w:sz w:val="24"/>
          <w:szCs w:val="30"/>
        </w:rPr>
        <w:t xml:space="preserve">故障响应率   ≥99% </w:t>
      </w:r>
    </w:p>
    <w:p>
      <w:pPr>
        <w:adjustRightInd w:val="0"/>
        <w:snapToGrid w:val="0"/>
        <w:spacing w:line="360" w:lineRule="auto"/>
        <w:ind w:firstLine="480" w:firstLineChars="200"/>
        <w:rPr>
          <w:color w:val="000000"/>
          <w:sz w:val="24"/>
          <w:szCs w:val="30"/>
        </w:rPr>
      </w:pPr>
      <w:r>
        <w:rPr>
          <w:color w:val="000000"/>
          <w:sz w:val="24"/>
          <w:szCs w:val="30"/>
        </w:rPr>
        <w:t xml:space="preserve">故障排除率   100% </w:t>
      </w:r>
    </w:p>
    <w:p>
      <w:pPr>
        <w:adjustRightInd w:val="0"/>
        <w:snapToGrid w:val="0"/>
        <w:spacing w:line="360" w:lineRule="auto"/>
        <w:ind w:firstLine="480" w:firstLineChars="200"/>
        <w:rPr>
          <w:color w:val="000000"/>
          <w:sz w:val="24"/>
          <w:szCs w:val="30"/>
          <w:highlight w:val="none"/>
        </w:rPr>
      </w:pPr>
      <w:r>
        <w:rPr>
          <w:color w:val="000000"/>
          <w:sz w:val="24"/>
          <w:szCs w:val="30"/>
          <w:highlight w:val="none"/>
        </w:rPr>
        <w:t>2.交付形式：计算机光盘和纸介质形式。</w:t>
      </w:r>
    </w:p>
    <w:p>
      <w:pPr>
        <w:spacing w:line="360" w:lineRule="auto"/>
        <w:ind w:firstLine="480" w:firstLineChars="200"/>
        <w:rPr>
          <w:color w:val="000000"/>
          <w:sz w:val="24"/>
        </w:rPr>
      </w:pPr>
      <w:r>
        <w:rPr>
          <w:color w:val="000000"/>
          <w:sz w:val="24"/>
        </w:rPr>
        <w:t>3.交付内容：包括</w:t>
      </w:r>
      <w:bookmarkStart w:id="16" w:name="_Hlk67227698"/>
      <w:r>
        <w:rPr>
          <w:color w:val="000000"/>
          <w:sz w:val="24"/>
        </w:rPr>
        <w:t>在执行过程中形成的一切文档</w:t>
      </w:r>
      <w:bookmarkEnd w:id="16"/>
      <w:r>
        <w:rPr>
          <w:color w:val="000000"/>
          <w:sz w:val="24"/>
        </w:rPr>
        <w:t>。</w:t>
      </w:r>
      <w:r>
        <w:rPr>
          <w:rFonts w:hint="eastAsia"/>
          <w:color w:val="000000"/>
          <w:sz w:val="24"/>
        </w:rPr>
        <w:t>具体要求如下：</w:t>
      </w:r>
    </w:p>
    <w:p>
      <w:pPr>
        <w:spacing w:line="360" w:lineRule="auto"/>
        <w:ind w:firstLine="480" w:firstLineChars="200"/>
        <w:rPr>
          <w:rFonts w:hint="eastAsia" w:eastAsia="宋体"/>
          <w:color w:val="auto"/>
          <w:sz w:val="24"/>
          <w:lang w:eastAsia="zh-CN"/>
        </w:rPr>
      </w:pPr>
      <w:r>
        <w:rPr>
          <w:rFonts w:hint="eastAsia"/>
          <w:color w:val="auto"/>
          <w:sz w:val="24"/>
        </w:rPr>
        <w:t>3.1验收</w:t>
      </w:r>
      <w:r>
        <w:rPr>
          <w:rFonts w:hint="eastAsia"/>
          <w:color w:val="auto"/>
          <w:sz w:val="24"/>
          <w:lang w:eastAsia="zh-CN"/>
        </w:rPr>
        <w:t>要求</w:t>
      </w:r>
    </w:p>
    <w:p>
      <w:pPr>
        <w:spacing w:line="360" w:lineRule="auto"/>
        <w:ind w:firstLine="480" w:firstLineChars="200"/>
        <w:rPr>
          <w:sz w:val="24"/>
        </w:rPr>
      </w:pPr>
      <w:r>
        <w:rPr>
          <w:sz w:val="24"/>
        </w:rPr>
        <w:t>本项目实行中期验收和最终验收两次验收方式，合同签订后5个月和合同完成时，由采购人组织实施验收。产生的所有费用包含在投标报价中。</w:t>
      </w:r>
    </w:p>
    <w:p>
      <w:pPr>
        <w:spacing w:line="360" w:lineRule="auto"/>
        <w:ind w:firstLine="480" w:firstLineChars="200"/>
        <w:rPr>
          <w:sz w:val="24"/>
        </w:rPr>
      </w:pPr>
      <w:r>
        <w:rPr>
          <w:rFonts w:hint="eastAsia"/>
          <w:sz w:val="24"/>
          <w:lang w:val="en-US" w:eastAsia="zh-CN"/>
        </w:rPr>
        <w:t>3.1.1</w:t>
      </w:r>
      <w:r>
        <w:rPr>
          <w:sz w:val="24"/>
        </w:rPr>
        <w:t>中期验收</w:t>
      </w:r>
      <w:r>
        <w:rPr>
          <w:rFonts w:hint="eastAsia"/>
          <w:sz w:val="24"/>
        </w:rPr>
        <w:t>标准</w:t>
      </w:r>
    </w:p>
    <w:p>
      <w:pPr>
        <w:spacing w:line="360" w:lineRule="auto"/>
        <w:ind w:firstLine="480" w:firstLineChars="200"/>
        <w:rPr>
          <w:sz w:val="24"/>
        </w:rPr>
      </w:pPr>
      <w:r>
        <w:rPr>
          <w:rFonts w:hint="eastAsia"/>
          <w:sz w:val="24"/>
        </w:rPr>
        <w:t>（1）</w:t>
      </w:r>
      <w:r>
        <w:rPr>
          <w:sz w:val="24"/>
        </w:rPr>
        <w:t>按照合同运维服务内容服务工作，确保网络环境安全稳定和应用系统的正常运行，5</w:t>
      </w:r>
      <w:r>
        <w:rPr>
          <w:rFonts w:hint="eastAsia"/>
          <w:sz w:val="24"/>
        </w:rPr>
        <w:t>个月内</w:t>
      </w:r>
      <w:r>
        <w:rPr>
          <w:sz w:val="24"/>
        </w:rPr>
        <w:t>未发生重大信息系统及网络安全事件。</w:t>
      </w:r>
    </w:p>
    <w:p>
      <w:pPr>
        <w:spacing w:line="360" w:lineRule="auto"/>
        <w:ind w:firstLine="480" w:firstLineChars="200"/>
        <w:rPr>
          <w:sz w:val="24"/>
        </w:rPr>
      </w:pPr>
      <w:r>
        <w:rPr>
          <w:rFonts w:hint="eastAsia"/>
          <w:sz w:val="24"/>
        </w:rPr>
        <w:t>（2）</w:t>
      </w:r>
      <w:r>
        <w:rPr>
          <w:sz w:val="24"/>
        </w:rPr>
        <w:t>合同期前5个月内，按照合同</w:t>
      </w:r>
      <w:r>
        <w:rPr>
          <w:rFonts w:hint="eastAsia"/>
          <w:sz w:val="24"/>
          <w:lang w:eastAsia="zh-CN"/>
        </w:rPr>
        <w:t>内容开展各项工作及</w:t>
      </w:r>
      <w:r>
        <w:rPr>
          <w:sz w:val="24"/>
        </w:rPr>
        <w:t>培训工作，按采购人要求提交培训资料（含电子版）等文档。</w:t>
      </w:r>
    </w:p>
    <w:p>
      <w:pPr>
        <w:spacing w:line="360" w:lineRule="auto"/>
        <w:ind w:firstLine="480" w:firstLineChars="200"/>
        <w:rPr>
          <w:sz w:val="24"/>
        </w:rPr>
      </w:pPr>
      <w:r>
        <w:rPr>
          <w:rFonts w:hint="eastAsia"/>
          <w:sz w:val="24"/>
        </w:rPr>
        <w:t>（3）</w:t>
      </w:r>
      <w:r>
        <w:rPr>
          <w:sz w:val="24"/>
        </w:rPr>
        <w:t>合同期前5个月内，按照合同要求按时</w:t>
      </w:r>
      <w:r>
        <w:rPr>
          <w:rFonts w:hint="eastAsia"/>
          <w:sz w:val="24"/>
          <w:lang w:eastAsia="zh-CN"/>
        </w:rPr>
        <w:t>提交</w:t>
      </w:r>
      <w:r>
        <w:rPr>
          <w:sz w:val="24"/>
        </w:rPr>
        <w:t>项目成果清单文档，文档要求符合采购人要求，整齐规范，内容详细全面。</w:t>
      </w:r>
    </w:p>
    <w:p>
      <w:pPr>
        <w:spacing w:line="360" w:lineRule="auto"/>
        <w:ind w:firstLine="480" w:firstLineChars="200"/>
        <w:rPr>
          <w:sz w:val="24"/>
        </w:rPr>
      </w:pPr>
      <w:r>
        <w:rPr>
          <w:rFonts w:hint="eastAsia"/>
          <w:sz w:val="24"/>
        </w:rPr>
        <w:t>3</w:t>
      </w:r>
      <w:r>
        <w:rPr>
          <w:sz w:val="24"/>
        </w:rPr>
        <w:t>.</w:t>
      </w:r>
      <w:r>
        <w:rPr>
          <w:rFonts w:hint="eastAsia"/>
          <w:sz w:val="24"/>
          <w:lang w:val="en-US" w:eastAsia="zh-CN"/>
        </w:rPr>
        <w:t>1.2</w:t>
      </w:r>
      <w:r>
        <w:rPr>
          <w:rFonts w:hint="eastAsia"/>
          <w:sz w:val="24"/>
        </w:rPr>
        <w:t>最终</w:t>
      </w:r>
      <w:r>
        <w:rPr>
          <w:sz w:val="24"/>
        </w:rPr>
        <w:t>验收</w:t>
      </w:r>
      <w:r>
        <w:rPr>
          <w:rFonts w:hint="eastAsia"/>
          <w:sz w:val="24"/>
        </w:rPr>
        <w:t>标准</w:t>
      </w:r>
    </w:p>
    <w:p>
      <w:pPr>
        <w:spacing w:line="360" w:lineRule="auto"/>
        <w:ind w:firstLine="480" w:firstLineChars="200"/>
        <w:rPr>
          <w:sz w:val="24"/>
        </w:rPr>
      </w:pPr>
      <w:r>
        <w:rPr>
          <w:rFonts w:hint="eastAsia"/>
          <w:sz w:val="24"/>
        </w:rPr>
        <w:t>（1）</w:t>
      </w:r>
      <w:r>
        <w:rPr>
          <w:sz w:val="24"/>
        </w:rPr>
        <w:t>按照合同运维服务内容服务工作，确保网络环境安全稳定和应用系统的正常运行，全年未发生重大信息系统及网络安全事件。</w:t>
      </w:r>
    </w:p>
    <w:p>
      <w:pPr>
        <w:spacing w:line="360" w:lineRule="auto"/>
        <w:ind w:firstLine="480" w:firstLineChars="200"/>
        <w:rPr>
          <w:sz w:val="24"/>
        </w:rPr>
      </w:pPr>
      <w:r>
        <w:rPr>
          <w:rFonts w:hint="eastAsia"/>
          <w:sz w:val="24"/>
        </w:rPr>
        <w:t>（2）</w:t>
      </w:r>
      <w:r>
        <w:rPr>
          <w:sz w:val="24"/>
        </w:rPr>
        <w:t>按照合同服务内容开展</w:t>
      </w:r>
      <w:r>
        <w:rPr>
          <w:rFonts w:hint="eastAsia"/>
          <w:sz w:val="24"/>
          <w:lang w:eastAsia="zh-CN"/>
        </w:rPr>
        <w:t>各项工作及</w:t>
      </w:r>
      <w:r>
        <w:rPr>
          <w:sz w:val="24"/>
        </w:rPr>
        <w:t>培训工作，按采购人要求提交培训资料（含电子版）等文档。</w:t>
      </w:r>
    </w:p>
    <w:p>
      <w:pPr>
        <w:spacing w:line="360" w:lineRule="auto"/>
        <w:ind w:firstLine="480" w:firstLineChars="200"/>
        <w:rPr>
          <w:sz w:val="24"/>
        </w:rPr>
      </w:pPr>
      <w:r>
        <w:rPr>
          <w:rFonts w:hint="eastAsia"/>
          <w:sz w:val="24"/>
        </w:rPr>
        <w:t>（3）</w:t>
      </w:r>
      <w:r>
        <w:rPr>
          <w:sz w:val="24"/>
        </w:rPr>
        <w:t>按照合同要求按时提交项目成果清单文档，文档要求符合采购人要求，整齐规范，内容详细全面。</w:t>
      </w:r>
    </w:p>
    <w:p>
      <w:pPr>
        <w:spacing w:line="360" w:lineRule="auto"/>
        <w:ind w:firstLine="720" w:firstLineChars="300"/>
        <w:rPr>
          <w:color w:val="auto"/>
          <w:sz w:val="24"/>
        </w:rPr>
      </w:pPr>
      <w:r>
        <w:rPr>
          <w:rFonts w:hint="eastAsia"/>
          <w:color w:val="auto"/>
          <w:sz w:val="24"/>
        </w:rPr>
        <w:t>验收</w:t>
      </w:r>
      <w:r>
        <w:rPr>
          <w:color w:val="auto"/>
          <w:sz w:val="24"/>
        </w:rPr>
        <w:t>文档包括</w:t>
      </w:r>
      <w:r>
        <w:rPr>
          <w:rFonts w:hint="eastAsia"/>
          <w:color w:val="auto"/>
          <w:sz w:val="24"/>
        </w:rPr>
        <w:t>但</w:t>
      </w:r>
      <w:r>
        <w:rPr>
          <w:color w:val="auto"/>
          <w:sz w:val="24"/>
        </w:rPr>
        <w:t>不限于如下内容：</w:t>
      </w:r>
    </w:p>
    <w:tbl>
      <w:tblPr>
        <w:tblStyle w:val="44"/>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4961"/>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blHeader/>
          <w:jc w:val="center"/>
        </w:trPr>
        <w:tc>
          <w:tcPr>
            <w:tcW w:w="1980" w:type="dxa"/>
            <w:tcMar>
              <w:top w:w="15" w:type="dxa"/>
              <w:left w:w="15" w:type="dxa"/>
              <w:bottom w:w="0" w:type="dxa"/>
              <w:right w:w="15" w:type="dxa"/>
            </w:tcMar>
            <w:vAlign w:val="center"/>
          </w:tcPr>
          <w:p>
            <w:pPr>
              <w:jc w:val="center"/>
              <w:rPr>
                <w:b/>
                <w:color w:val="auto"/>
                <w:sz w:val="18"/>
                <w:szCs w:val="18"/>
              </w:rPr>
            </w:pPr>
            <w:r>
              <w:rPr>
                <w:rFonts w:hint="eastAsia"/>
                <w:b/>
                <w:color w:val="auto"/>
                <w:sz w:val="18"/>
                <w:szCs w:val="18"/>
              </w:rPr>
              <w:t>阶段</w:t>
            </w:r>
          </w:p>
        </w:tc>
        <w:tc>
          <w:tcPr>
            <w:tcW w:w="4961" w:type="dxa"/>
            <w:tcMar>
              <w:top w:w="15" w:type="dxa"/>
              <w:left w:w="15" w:type="dxa"/>
              <w:bottom w:w="0" w:type="dxa"/>
              <w:right w:w="15" w:type="dxa"/>
            </w:tcMar>
            <w:vAlign w:val="center"/>
          </w:tcPr>
          <w:p>
            <w:pPr>
              <w:jc w:val="center"/>
              <w:rPr>
                <w:b/>
                <w:color w:val="auto"/>
                <w:sz w:val="18"/>
                <w:szCs w:val="18"/>
              </w:rPr>
            </w:pPr>
            <w:r>
              <w:rPr>
                <w:b/>
                <w:color w:val="auto"/>
                <w:sz w:val="18"/>
                <w:szCs w:val="18"/>
              </w:rPr>
              <w:t>文档名称</w:t>
            </w:r>
          </w:p>
        </w:tc>
        <w:tc>
          <w:tcPr>
            <w:tcW w:w="1833" w:type="dxa"/>
            <w:tcMar>
              <w:top w:w="15" w:type="dxa"/>
              <w:left w:w="15" w:type="dxa"/>
              <w:bottom w:w="0" w:type="dxa"/>
              <w:right w:w="15" w:type="dxa"/>
            </w:tcMar>
            <w:vAlign w:val="center"/>
          </w:tcPr>
          <w:p>
            <w:pPr>
              <w:jc w:val="center"/>
              <w:rPr>
                <w:b/>
                <w:color w:val="auto"/>
                <w:sz w:val="18"/>
                <w:szCs w:val="18"/>
              </w:rPr>
            </w:pPr>
            <w:r>
              <w:rPr>
                <w:b/>
                <w:color w:val="auto"/>
                <w:sz w:val="18"/>
                <w:szCs w:val="18"/>
              </w:rPr>
              <w:t>交付物</w:t>
            </w:r>
          </w:p>
          <w:p>
            <w:pPr>
              <w:jc w:val="center"/>
              <w:rPr>
                <w:b/>
                <w:color w:val="auto"/>
                <w:sz w:val="18"/>
                <w:szCs w:val="18"/>
              </w:rPr>
            </w:pPr>
            <w:r>
              <w:rPr>
                <w:b/>
                <w:color w:val="auto"/>
                <w:sz w:val="18"/>
                <w:szCs w:val="18"/>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80" w:type="dxa"/>
            <w:tcMar>
              <w:top w:w="15" w:type="dxa"/>
              <w:left w:w="15" w:type="dxa"/>
              <w:bottom w:w="0" w:type="dxa"/>
              <w:right w:w="15" w:type="dxa"/>
            </w:tcMar>
            <w:vAlign w:val="center"/>
          </w:tcPr>
          <w:p>
            <w:pPr>
              <w:jc w:val="center"/>
              <w:rPr>
                <w:color w:val="auto"/>
                <w:sz w:val="24"/>
              </w:rPr>
            </w:pPr>
            <w:r>
              <w:rPr>
                <w:color w:val="auto"/>
                <w:sz w:val="24"/>
              </w:rPr>
              <w:t>项目</w:t>
            </w:r>
            <w:r>
              <w:rPr>
                <w:rFonts w:hint="eastAsia"/>
                <w:color w:val="auto"/>
                <w:sz w:val="24"/>
              </w:rPr>
              <w:t>运行阶段</w:t>
            </w:r>
          </w:p>
        </w:tc>
        <w:tc>
          <w:tcPr>
            <w:tcW w:w="4961" w:type="dxa"/>
            <w:tcMar>
              <w:top w:w="15" w:type="dxa"/>
              <w:left w:w="15" w:type="dxa"/>
              <w:bottom w:w="0" w:type="dxa"/>
              <w:right w:w="15" w:type="dxa"/>
            </w:tcMar>
            <w:vAlign w:val="center"/>
          </w:tcPr>
          <w:p>
            <w:pPr>
              <w:autoSpaceDE w:val="0"/>
              <w:autoSpaceDN w:val="0"/>
              <w:adjustRightInd w:val="0"/>
              <w:jc w:val="left"/>
              <w:rPr>
                <w:color w:val="auto"/>
                <w:sz w:val="24"/>
              </w:rPr>
            </w:pPr>
            <w:r>
              <w:rPr>
                <w:rFonts w:hint="eastAsia"/>
                <w:color w:val="auto"/>
                <w:sz w:val="24"/>
              </w:rPr>
              <w:t>《政务云运维团队人员清单》</w:t>
            </w:r>
          </w:p>
          <w:p>
            <w:pPr>
              <w:autoSpaceDE w:val="0"/>
              <w:autoSpaceDN w:val="0"/>
              <w:adjustRightInd w:val="0"/>
              <w:jc w:val="left"/>
              <w:rPr>
                <w:color w:val="auto"/>
                <w:sz w:val="24"/>
              </w:rPr>
            </w:pPr>
            <w:r>
              <w:rPr>
                <w:rFonts w:hint="eastAsia"/>
                <w:color w:val="auto"/>
                <w:sz w:val="24"/>
              </w:rPr>
              <w:t>《政务云资源台账》</w:t>
            </w:r>
          </w:p>
          <w:p>
            <w:pPr>
              <w:pStyle w:val="18"/>
              <w:rPr>
                <w:color w:val="auto"/>
                <w:sz w:val="24"/>
              </w:rPr>
            </w:pPr>
            <w:r>
              <w:rPr>
                <w:rFonts w:hint="eastAsia"/>
                <w:color w:val="auto"/>
                <w:sz w:val="24"/>
              </w:rPr>
              <w:t>《政务云计算资源服务报告》</w:t>
            </w:r>
          </w:p>
          <w:p>
            <w:pPr>
              <w:pStyle w:val="18"/>
              <w:rPr>
                <w:color w:val="auto"/>
              </w:rPr>
            </w:pPr>
            <w:r>
              <w:rPr>
                <w:rFonts w:hint="eastAsia"/>
                <w:color w:val="auto"/>
                <w:sz w:val="24"/>
              </w:rPr>
              <w:t>《政务云存储资源服务报告》</w:t>
            </w:r>
          </w:p>
          <w:p>
            <w:pPr>
              <w:pStyle w:val="18"/>
              <w:rPr>
                <w:color w:val="auto"/>
              </w:rPr>
            </w:pPr>
            <w:r>
              <w:rPr>
                <w:rFonts w:hint="eastAsia"/>
                <w:color w:val="auto"/>
                <w:sz w:val="24"/>
              </w:rPr>
              <w:t>《政务云网络资源服务报告》</w:t>
            </w:r>
          </w:p>
          <w:p>
            <w:pPr>
              <w:pStyle w:val="18"/>
              <w:rPr>
                <w:color w:val="auto"/>
              </w:rPr>
            </w:pPr>
            <w:r>
              <w:rPr>
                <w:rFonts w:hint="eastAsia"/>
                <w:color w:val="auto"/>
                <w:sz w:val="24"/>
              </w:rPr>
              <w:t>《政务云基础软件资源服务报告》</w:t>
            </w:r>
          </w:p>
          <w:p>
            <w:pPr>
              <w:rPr>
                <w:color w:val="auto"/>
              </w:rPr>
            </w:pPr>
            <w:r>
              <w:rPr>
                <w:rFonts w:hint="eastAsia"/>
                <w:color w:val="auto"/>
                <w:sz w:val="24"/>
              </w:rPr>
              <w:t>《定制化服务报告》</w:t>
            </w:r>
          </w:p>
        </w:tc>
        <w:tc>
          <w:tcPr>
            <w:tcW w:w="1833" w:type="dxa"/>
            <w:vMerge w:val="restart"/>
            <w:tcMar>
              <w:top w:w="15" w:type="dxa"/>
              <w:left w:w="15" w:type="dxa"/>
              <w:bottom w:w="0" w:type="dxa"/>
              <w:right w:w="15" w:type="dxa"/>
            </w:tcMar>
            <w:vAlign w:val="center"/>
          </w:tcPr>
          <w:p>
            <w:pPr>
              <w:jc w:val="center"/>
              <w:rPr>
                <w:color w:val="auto"/>
                <w:sz w:val="18"/>
                <w:szCs w:val="18"/>
              </w:rPr>
            </w:pPr>
            <w:r>
              <w:rPr>
                <w:color w:val="auto"/>
                <w:sz w:val="24"/>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80" w:type="dxa"/>
            <w:tcMar>
              <w:top w:w="15" w:type="dxa"/>
              <w:left w:w="15" w:type="dxa"/>
              <w:bottom w:w="0" w:type="dxa"/>
              <w:right w:w="15" w:type="dxa"/>
            </w:tcMar>
            <w:vAlign w:val="center"/>
          </w:tcPr>
          <w:p>
            <w:pPr>
              <w:jc w:val="center"/>
              <w:rPr>
                <w:color w:val="auto"/>
                <w:sz w:val="24"/>
              </w:rPr>
            </w:pPr>
            <w:r>
              <w:rPr>
                <w:rFonts w:hint="eastAsia"/>
                <w:color w:val="auto"/>
                <w:sz w:val="24"/>
              </w:rPr>
              <w:t>项目验收</w:t>
            </w:r>
          </w:p>
        </w:tc>
        <w:tc>
          <w:tcPr>
            <w:tcW w:w="4961" w:type="dxa"/>
            <w:tcMar>
              <w:top w:w="15" w:type="dxa"/>
              <w:left w:w="15" w:type="dxa"/>
              <w:bottom w:w="0" w:type="dxa"/>
              <w:right w:w="15" w:type="dxa"/>
            </w:tcMar>
            <w:vAlign w:val="center"/>
          </w:tcPr>
          <w:p>
            <w:pPr>
              <w:autoSpaceDE w:val="0"/>
              <w:autoSpaceDN w:val="0"/>
              <w:adjustRightInd w:val="0"/>
              <w:jc w:val="left"/>
              <w:rPr>
                <w:color w:val="auto"/>
                <w:kern w:val="0"/>
                <w:sz w:val="24"/>
              </w:rPr>
            </w:pPr>
            <w:r>
              <w:rPr>
                <w:color w:val="auto"/>
                <w:kern w:val="0"/>
                <w:sz w:val="24"/>
              </w:rPr>
              <w:t>《项目</w:t>
            </w:r>
            <w:r>
              <w:rPr>
                <w:rFonts w:hint="eastAsia"/>
                <w:color w:val="auto"/>
                <w:kern w:val="0"/>
                <w:sz w:val="24"/>
              </w:rPr>
              <w:t>实施方案</w:t>
            </w:r>
            <w:r>
              <w:rPr>
                <w:color w:val="auto"/>
                <w:kern w:val="0"/>
                <w:sz w:val="24"/>
              </w:rPr>
              <w:t>》</w:t>
            </w:r>
          </w:p>
          <w:p>
            <w:pPr>
              <w:autoSpaceDE w:val="0"/>
              <w:autoSpaceDN w:val="0"/>
              <w:adjustRightInd w:val="0"/>
              <w:jc w:val="left"/>
              <w:rPr>
                <w:color w:val="auto"/>
                <w:sz w:val="24"/>
              </w:rPr>
            </w:pPr>
            <w:r>
              <w:rPr>
                <w:rFonts w:hint="eastAsia"/>
                <w:color w:val="auto"/>
                <w:sz w:val="24"/>
              </w:rPr>
              <w:t>《服务质量考核表》</w:t>
            </w:r>
          </w:p>
          <w:p>
            <w:pPr>
              <w:autoSpaceDE w:val="0"/>
              <w:autoSpaceDN w:val="0"/>
              <w:adjustRightInd w:val="0"/>
              <w:jc w:val="left"/>
              <w:rPr>
                <w:color w:val="auto"/>
                <w:sz w:val="24"/>
              </w:rPr>
            </w:pPr>
            <w:r>
              <w:rPr>
                <w:rFonts w:hint="eastAsia"/>
                <w:color w:val="auto"/>
                <w:sz w:val="24"/>
              </w:rPr>
              <w:t>《半年服务总结报告》</w:t>
            </w:r>
          </w:p>
          <w:p>
            <w:pPr>
              <w:autoSpaceDE w:val="0"/>
              <w:autoSpaceDN w:val="0"/>
              <w:adjustRightInd w:val="0"/>
              <w:jc w:val="left"/>
              <w:rPr>
                <w:color w:val="auto"/>
                <w:sz w:val="24"/>
              </w:rPr>
            </w:pPr>
            <w:r>
              <w:rPr>
                <w:rFonts w:hint="eastAsia"/>
                <w:color w:val="auto"/>
                <w:sz w:val="24"/>
              </w:rPr>
              <w:t>《全年服务总结报告》</w:t>
            </w:r>
          </w:p>
        </w:tc>
        <w:tc>
          <w:tcPr>
            <w:tcW w:w="1833" w:type="dxa"/>
            <w:vMerge w:val="continue"/>
            <w:tcMar>
              <w:top w:w="15" w:type="dxa"/>
              <w:left w:w="15" w:type="dxa"/>
              <w:bottom w:w="0" w:type="dxa"/>
              <w:right w:w="15" w:type="dxa"/>
            </w:tcMar>
            <w:vAlign w:val="center"/>
          </w:tcPr>
          <w:p>
            <w:pPr>
              <w:jc w:val="center"/>
              <w:rPr>
                <w:color w:val="auto"/>
                <w:sz w:val="18"/>
                <w:szCs w:val="18"/>
              </w:rPr>
            </w:pPr>
          </w:p>
        </w:tc>
      </w:tr>
    </w:tbl>
    <w:p>
      <w:pPr>
        <w:spacing w:line="360" w:lineRule="auto"/>
        <w:rPr>
          <w:b/>
          <w:bCs/>
          <w:sz w:val="24"/>
        </w:rPr>
      </w:pPr>
    </w:p>
    <w:p>
      <w:pPr>
        <w:keepNext/>
        <w:keepLines/>
        <w:adjustRightInd w:val="0"/>
        <w:spacing w:line="360" w:lineRule="auto"/>
        <w:jc w:val="left"/>
        <w:textAlignment w:val="baseline"/>
        <w:outlineLvl w:val="1"/>
        <w:rPr>
          <w:b/>
          <w:bCs/>
          <w:kern w:val="0"/>
          <w:sz w:val="24"/>
          <w:szCs w:val="28"/>
        </w:rPr>
      </w:pPr>
      <w:r>
        <w:rPr>
          <w:rFonts w:hint="eastAsia"/>
          <w:b/>
          <w:bCs/>
          <w:kern w:val="0"/>
          <w:sz w:val="24"/>
          <w:szCs w:val="28"/>
        </w:rPr>
        <w:t xml:space="preserve">第二部分 </w:t>
      </w:r>
      <w:r>
        <w:rPr>
          <w:b/>
          <w:bCs/>
          <w:kern w:val="0"/>
          <w:sz w:val="24"/>
          <w:szCs w:val="28"/>
        </w:rPr>
        <w:t>商务要求</w:t>
      </w:r>
    </w:p>
    <w:p>
      <w:pPr>
        <w:spacing w:line="360" w:lineRule="auto"/>
        <w:rPr>
          <w:rFonts w:eastAsiaTheme="minorEastAsia"/>
          <w:b/>
          <w:i/>
        </w:rPr>
      </w:pPr>
      <w:r>
        <w:rPr>
          <w:rFonts w:hint="eastAsia" w:eastAsiaTheme="minorEastAsia"/>
          <w:b/>
          <w:bCs/>
          <w:sz w:val="24"/>
        </w:rPr>
        <w:t>一、</w:t>
      </w:r>
      <w:r>
        <w:rPr>
          <w:rFonts w:eastAsiaTheme="minorEastAsia"/>
          <w:b/>
          <w:sz w:val="24"/>
        </w:rPr>
        <w:t>实施的时间和地点</w:t>
      </w:r>
    </w:p>
    <w:p>
      <w:pPr>
        <w:spacing w:line="360" w:lineRule="auto"/>
        <w:ind w:firstLine="482"/>
        <w:rPr>
          <w:rFonts w:eastAsiaTheme="minorEastAsia"/>
          <w:snapToGrid w:val="0"/>
          <w:sz w:val="24"/>
        </w:rPr>
      </w:pPr>
      <w:r>
        <w:rPr>
          <w:rFonts w:eastAsiaTheme="minorEastAsia"/>
          <w:snapToGrid w:val="0"/>
          <w:sz w:val="24"/>
        </w:rPr>
        <w:t>实施时间：</w:t>
      </w:r>
      <w:r>
        <w:rPr>
          <w:rFonts w:hint="eastAsia"/>
          <w:sz w:val="24"/>
          <w:lang w:eastAsia="zh-CN"/>
        </w:rPr>
        <w:t>自合同签订之日起</w:t>
      </w:r>
      <w:r>
        <w:rPr>
          <w:rFonts w:hint="eastAsia"/>
          <w:sz w:val="24"/>
          <w:u w:val="single"/>
          <w:lang w:val="en-US" w:eastAsia="zh-CN"/>
        </w:rPr>
        <w:t>12个月</w:t>
      </w:r>
    </w:p>
    <w:p>
      <w:pPr>
        <w:spacing w:line="360" w:lineRule="auto"/>
        <w:ind w:firstLine="482"/>
        <w:rPr>
          <w:rFonts w:eastAsiaTheme="minorEastAsia"/>
          <w:snapToGrid w:val="0"/>
          <w:sz w:val="24"/>
        </w:rPr>
      </w:pPr>
      <w:r>
        <w:rPr>
          <w:rFonts w:eastAsiaTheme="minorEastAsia"/>
          <w:snapToGrid w:val="0"/>
          <w:sz w:val="24"/>
        </w:rPr>
        <w:t>实施地点：</w:t>
      </w:r>
      <w:r>
        <w:rPr>
          <w:rFonts w:hint="eastAsia" w:eastAsiaTheme="minorEastAsia"/>
          <w:snapToGrid w:val="0"/>
          <w:sz w:val="24"/>
        </w:rPr>
        <w:t>采购人指定地点</w:t>
      </w:r>
    </w:p>
    <w:p>
      <w:pPr>
        <w:spacing w:line="360" w:lineRule="auto"/>
        <w:rPr>
          <w:rFonts w:eastAsiaTheme="minorEastAsia"/>
          <w:b/>
        </w:rPr>
      </w:pPr>
      <w:r>
        <w:rPr>
          <w:rFonts w:hint="eastAsia" w:eastAsiaTheme="minorEastAsia"/>
          <w:b/>
          <w:bCs/>
          <w:sz w:val="24"/>
        </w:rPr>
        <w:t>二、</w:t>
      </w:r>
      <w:r>
        <w:rPr>
          <w:rFonts w:eastAsiaTheme="minorEastAsia"/>
          <w:b/>
          <w:sz w:val="24"/>
        </w:rPr>
        <w:t>付款条件</w:t>
      </w:r>
    </w:p>
    <w:p>
      <w:pPr>
        <w:spacing w:line="360" w:lineRule="auto"/>
        <w:ind w:firstLine="482"/>
        <w:rPr>
          <w:rFonts w:eastAsiaTheme="minorEastAsia"/>
          <w:snapToGrid w:val="0"/>
          <w:sz w:val="24"/>
          <w:highlight w:val="none"/>
        </w:rPr>
      </w:pPr>
      <w:r>
        <w:rPr>
          <w:rFonts w:eastAsiaTheme="minorEastAsia"/>
          <w:snapToGrid w:val="0"/>
          <w:sz w:val="24"/>
          <w:highlight w:val="none"/>
        </w:rPr>
        <w:t>详见合同相关规定</w:t>
      </w:r>
    </w:p>
    <w:p>
      <w:pPr>
        <w:spacing w:line="360" w:lineRule="auto"/>
        <w:rPr>
          <w:sz w:val="24"/>
        </w:rPr>
      </w:pPr>
    </w:p>
    <w:p>
      <w:pPr>
        <w:keepNext/>
        <w:keepLines/>
        <w:adjustRightInd w:val="0"/>
        <w:spacing w:line="360" w:lineRule="auto"/>
        <w:jc w:val="left"/>
        <w:textAlignment w:val="baseline"/>
        <w:outlineLvl w:val="1"/>
        <w:rPr>
          <w:b/>
          <w:bCs/>
          <w:kern w:val="0"/>
          <w:sz w:val="24"/>
          <w:szCs w:val="28"/>
        </w:rPr>
      </w:pPr>
      <w:r>
        <w:rPr>
          <w:rFonts w:hint="eastAsia"/>
          <w:b/>
          <w:bCs/>
          <w:kern w:val="0"/>
          <w:sz w:val="24"/>
          <w:szCs w:val="28"/>
        </w:rPr>
        <w:t xml:space="preserve">第三部分 </w:t>
      </w:r>
      <w:r>
        <w:rPr>
          <w:b/>
          <w:bCs/>
          <w:kern w:val="0"/>
          <w:sz w:val="24"/>
          <w:szCs w:val="28"/>
        </w:rPr>
        <w:t>技术要求</w:t>
      </w:r>
    </w:p>
    <w:p>
      <w:pPr>
        <w:tabs>
          <w:tab w:val="left" w:pos="1425"/>
        </w:tabs>
        <w:adjustRightInd w:val="0"/>
        <w:snapToGrid w:val="0"/>
        <w:spacing w:line="360" w:lineRule="auto"/>
        <w:outlineLvl w:val="1"/>
        <w:rPr>
          <w:b/>
          <w:bCs/>
          <w:sz w:val="24"/>
        </w:rPr>
      </w:pPr>
      <w:r>
        <w:rPr>
          <w:rFonts w:hint="eastAsia"/>
          <w:b/>
          <w:bCs/>
          <w:sz w:val="24"/>
        </w:rPr>
        <w:t>一</w:t>
      </w:r>
      <w:r>
        <w:rPr>
          <w:b/>
          <w:bCs/>
          <w:sz w:val="24"/>
        </w:rPr>
        <w:t>、</w:t>
      </w:r>
      <w:r>
        <w:rPr>
          <w:rFonts w:hint="eastAsia"/>
          <w:b/>
          <w:bCs/>
          <w:sz w:val="24"/>
        </w:rPr>
        <w:t>服务总体</w:t>
      </w:r>
      <w:r>
        <w:rPr>
          <w:b/>
          <w:bCs/>
          <w:sz w:val="24"/>
        </w:rPr>
        <w:t>要求</w:t>
      </w:r>
    </w:p>
    <w:p>
      <w:pPr>
        <w:spacing w:line="360" w:lineRule="auto"/>
        <w:rPr>
          <w:sz w:val="24"/>
          <w:lang w:val="zh-CN"/>
        </w:rPr>
      </w:pPr>
      <w:bookmarkStart w:id="17" w:name="_Toc498617601"/>
      <w:bookmarkStart w:id="18" w:name="_Toc526088758"/>
      <w:r>
        <w:rPr>
          <w:sz w:val="24"/>
          <w:lang w:val="zh-CN"/>
        </w:rPr>
        <w:t>1.业务</w:t>
      </w:r>
      <w:bookmarkEnd w:id="17"/>
      <w:bookmarkEnd w:id="18"/>
      <w:r>
        <w:rPr>
          <w:rFonts w:hint="eastAsia"/>
          <w:sz w:val="24"/>
          <w:lang w:val="zh-CN"/>
        </w:rPr>
        <w:t>要求</w:t>
      </w:r>
    </w:p>
    <w:p>
      <w:pPr>
        <w:spacing w:line="360" w:lineRule="auto"/>
        <w:ind w:firstLine="480" w:firstLineChars="200"/>
        <w:rPr>
          <w:sz w:val="24"/>
        </w:rPr>
      </w:pPr>
      <w:r>
        <w:rPr>
          <w:sz w:val="24"/>
        </w:rPr>
        <w:t>结合市生态环境局入云信息系统基础设施资源的现状、业务应用系统部署的需求和北京市政务IT基础设施建设方向的考虑，本项目只涉及互联网业务和政务外网租用第三方电子政务云平台资源的方式建设部署基础资源，通过租用第三方电子政务云平台上的计算资源、存储资源、网络资源，根据业务应用系统需求对其进行集成、整合，为本项目的业务应用系统提供安全、可靠、稳定的系统部署环境。</w:t>
      </w:r>
    </w:p>
    <w:p>
      <w:pPr>
        <w:spacing w:line="360" w:lineRule="auto"/>
        <w:ind w:firstLine="480" w:firstLineChars="200"/>
        <w:rPr>
          <w:sz w:val="24"/>
        </w:rPr>
      </w:pPr>
      <w:r>
        <w:rPr>
          <w:sz w:val="24"/>
        </w:rPr>
        <w:t>1.1</w:t>
      </w:r>
      <w:r>
        <w:rPr>
          <w:rFonts w:hint="eastAsia"/>
          <w:sz w:val="24"/>
        </w:rPr>
        <w:t>政务云资源服务要求</w:t>
      </w:r>
    </w:p>
    <w:p>
      <w:pPr>
        <w:spacing w:line="360" w:lineRule="auto"/>
        <w:ind w:firstLine="480" w:firstLineChars="200"/>
        <w:rPr>
          <w:color w:val="auto"/>
          <w:szCs w:val="21"/>
        </w:rPr>
      </w:pPr>
      <w:r>
        <w:rPr>
          <w:sz w:val="24"/>
        </w:rPr>
        <w:t>为满足北京市生态环境局信息化</w:t>
      </w:r>
      <w:r>
        <w:rPr>
          <w:rFonts w:hint="eastAsia"/>
          <w:sz w:val="24"/>
        </w:rPr>
        <w:t>业务</w:t>
      </w:r>
      <w:r>
        <w:rPr>
          <w:sz w:val="24"/>
        </w:rPr>
        <w:t>需</w:t>
      </w:r>
      <w:r>
        <w:rPr>
          <w:rFonts w:hint="eastAsia"/>
          <w:sz w:val="24"/>
        </w:rPr>
        <w:t>要</w:t>
      </w:r>
      <w:r>
        <w:rPr>
          <w:sz w:val="24"/>
        </w:rPr>
        <w:t>，</w:t>
      </w:r>
      <w:r>
        <w:rPr>
          <w:rFonts w:hint="eastAsia"/>
          <w:sz w:val="24"/>
        </w:rPr>
        <w:t>政务云资源供应商应按照《云租用明细表》中所列项提供资源服务，</w:t>
      </w:r>
      <w:r>
        <w:rPr>
          <w:sz w:val="24"/>
        </w:rPr>
        <w:t>能够提供</w:t>
      </w:r>
      <w:r>
        <w:rPr>
          <w:rFonts w:hint="eastAsia"/>
          <w:sz w:val="24"/>
        </w:rPr>
        <w:t>基础资源服务、</w:t>
      </w:r>
      <w:r>
        <w:rPr>
          <w:bCs/>
          <w:sz w:val="24"/>
        </w:rPr>
        <w:t>基础软件支撑服务、本地备份服务</w:t>
      </w:r>
      <w:r>
        <w:rPr>
          <w:rFonts w:hint="eastAsia"/>
          <w:bCs/>
          <w:sz w:val="24"/>
        </w:rPr>
        <w:t>等</w:t>
      </w:r>
      <w:r>
        <w:rPr>
          <w:sz w:val="24"/>
        </w:rPr>
        <w:t>，以</w:t>
      </w:r>
      <w:r>
        <w:rPr>
          <w:color w:val="auto"/>
          <w:sz w:val="24"/>
        </w:rPr>
        <w:t>及满足个性化业务的定制化资源服务。</w:t>
      </w:r>
    </w:p>
    <w:p>
      <w:pPr>
        <w:spacing w:line="360" w:lineRule="auto"/>
        <w:ind w:firstLine="480" w:firstLineChars="200"/>
        <w:rPr>
          <w:color w:val="auto"/>
          <w:sz w:val="24"/>
        </w:rPr>
      </w:pPr>
      <w:r>
        <w:rPr>
          <w:color w:val="auto"/>
          <w:sz w:val="24"/>
        </w:rPr>
        <w:t>1.2</w:t>
      </w:r>
      <w:r>
        <w:rPr>
          <w:rFonts w:hint="eastAsia"/>
          <w:color w:val="auto"/>
          <w:sz w:val="24"/>
        </w:rPr>
        <w:t>政务云运维团队服务要</w:t>
      </w:r>
      <w:r>
        <w:rPr>
          <w:color w:val="auto"/>
          <w:sz w:val="24"/>
        </w:rPr>
        <w:t>求</w:t>
      </w:r>
    </w:p>
    <w:p>
      <w:pPr>
        <w:spacing w:line="360" w:lineRule="auto"/>
        <w:ind w:firstLine="480" w:firstLineChars="200"/>
        <w:rPr>
          <w:color w:val="auto"/>
          <w:sz w:val="24"/>
        </w:rPr>
      </w:pPr>
      <w:r>
        <w:rPr>
          <w:rFonts w:hint="eastAsia"/>
          <w:color w:val="auto"/>
          <w:sz w:val="24"/>
        </w:rPr>
        <w:t>政务云资源供应商应成立专门运营团队，指定团队负责人，明确计算资源租用，存储资源租用，网络资源租用、基础软件租用、定制化服务五大类具体责任人，负责协调相关运维服务工作。定期提供五大类服务季报、全年政务云资源使用总结等验收报告。</w:t>
      </w:r>
      <w:r>
        <w:rPr>
          <w:color w:val="auto"/>
          <w:sz w:val="24"/>
        </w:rPr>
        <w:t>7x24小时</w:t>
      </w:r>
      <w:r>
        <w:rPr>
          <w:rFonts w:hint="eastAsia"/>
          <w:color w:val="auto"/>
          <w:sz w:val="24"/>
        </w:rPr>
        <w:t>进行</w:t>
      </w:r>
      <w:r>
        <w:rPr>
          <w:color w:val="auto"/>
          <w:sz w:val="24"/>
        </w:rPr>
        <w:t>运维保障</w:t>
      </w:r>
      <w:r>
        <w:rPr>
          <w:rFonts w:hint="eastAsia"/>
          <w:color w:val="auto"/>
          <w:sz w:val="24"/>
        </w:rPr>
        <w:t>，提供</w:t>
      </w:r>
      <w:r>
        <w:rPr>
          <w:color w:val="auto"/>
          <w:sz w:val="24"/>
        </w:rPr>
        <w:t>二线技术专家的支持</w:t>
      </w:r>
      <w:r>
        <w:rPr>
          <w:rFonts w:hint="eastAsia"/>
          <w:color w:val="auto"/>
          <w:sz w:val="24"/>
        </w:rPr>
        <w:t>等服务</w:t>
      </w:r>
      <w:r>
        <w:rPr>
          <w:color w:val="auto"/>
          <w:sz w:val="24"/>
        </w:rPr>
        <w:t>。</w:t>
      </w:r>
    </w:p>
    <w:p>
      <w:pPr>
        <w:spacing w:line="360" w:lineRule="auto"/>
        <w:ind w:firstLine="480" w:firstLineChars="200"/>
        <w:rPr>
          <w:color w:val="auto"/>
          <w:sz w:val="24"/>
        </w:rPr>
      </w:pPr>
      <w:r>
        <w:rPr>
          <w:color w:val="auto"/>
          <w:sz w:val="24"/>
        </w:rPr>
        <w:t>1.3部署</w:t>
      </w:r>
      <w:r>
        <w:rPr>
          <w:rFonts w:hint="eastAsia"/>
          <w:color w:val="auto"/>
          <w:sz w:val="24"/>
        </w:rPr>
        <w:t>要求</w:t>
      </w:r>
    </w:p>
    <w:p>
      <w:pPr>
        <w:spacing w:line="360" w:lineRule="auto"/>
        <w:ind w:firstLine="480" w:firstLineChars="200"/>
        <w:rPr>
          <w:color w:val="auto"/>
          <w:sz w:val="24"/>
        </w:rPr>
      </w:pPr>
      <w:r>
        <w:rPr>
          <w:color w:val="auto"/>
          <w:sz w:val="24"/>
        </w:rPr>
        <w:t>应根据项目现状，结合北京市政务云实际环境，</w:t>
      </w:r>
      <w:r>
        <w:rPr>
          <w:rFonts w:hint="eastAsia"/>
          <w:color w:val="auto"/>
          <w:sz w:val="24"/>
        </w:rPr>
        <w:t>按照北京市生态环境局综合事务中心业务需求安排，</w:t>
      </w:r>
      <w:r>
        <w:rPr>
          <w:color w:val="auto"/>
          <w:sz w:val="24"/>
        </w:rPr>
        <w:t>合理规划和部署业务系统资源，满足应用系统的基础支撑的运行环境需求。</w:t>
      </w:r>
    </w:p>
    <w:p>
      <w:pPr>
        <w:spacing w:line="360" w:lineRule="auto"/>
        <w:rPr>
          <w:color w:val="auto"/>
          <w:sz w:val="24"/>
          <w:lang w:val="zh-CN"/>
        </w:rPr>
      </w:pPr>
      <w:bookmarkStart w:id="19" w:name="_Toc498617604"/>
      <w:bookmarkStart w:id="20" w:name="_Toc526088761"/>
      <w:r>
        <w:rPr>
          <w:color w:val="auto"/>
          <w:sz w:val="24"/>
          <w:lang w:val="zh-CN"/>
        </w:rPr>
        <w:t>2.性能</w:t>
      </w:r>
      <w:bookmarkEnd w:id="19"/>
      <w:bookmarkEnd w:id="20"/>
      <w:r>
        <w:rPr>
          <w:rFonts w:hint="eastAsia"/>
          <w:color w:val="auto"/>
          <w:sz w:val="24"/>
          <w:lang w:val="zh-CN"/>
        </w:rPr>
        <w:t>要求</w:t>
      </w:r>
    </w:p>
    <w:p>
      <w:pPr>
        <w:spacing w:line="360" w:lineRule="auto"/>
        <w:ind w:firstLine="480" w:firstLineChars="200"/>
        <w:rPr>
          <w:color w:val="auto"/>
          <w:sz w:val="24"/>
        </w:rPr>
      </w:pPr>
      <w:bookmarkStart w:id="21" w:name="_Toc498617605"/>
      <w:r>
        <w:rPr>
          <w:color w:val="auto"/>
          <w:sz w:val="24"/>
        </w:rPr>
        <w:t>2.1根据业务需要提供虚拟主机、物理主机的计算资源，并随业务弹性伸缩；</w:t>
      </w:r>
    </w:p>
    <w:p>
      <w:pPr>
        <w:spacing w:line="360" w:lineRule="auto"/>
        <w:ind w:firstLine="480" w:firstLineChars="200"/>
        <w:rPr>
          <w:color w:val="auto"/>
          <w:sz w:val="24"/>
        </w:rPr>
      </w:pPr>
      <w:r>
        <w:rPr>
          <w:color w:val="auto"/>
          <w:sz w:val="24"/>
        </w:rPr>
        <w:t>2.2根据业务需要提供普通存储、高性能储存，并随业务需要弹性扩展。</w:t>
      </w:r>
    </w:p>
    <w:bookmarkEnd w:id="21"/>
    <w:p>
      <w:pPr>
        <w:rPr>
          <w:color w:val="auto"/>
        </w:rPr>
      </w:pPr>
    </w:p>
    <w:p>
      <w:pPr>
        <w:tabs>
          <w:tab w:val="left" w:pos="1425"/>
        </w:tabs>
        <w:adjustRightInd w:val="0"/>
        <w:snapToGrid w:val="0"/>
        <w:spacing w:line="360" w:lineRule="auto"/>
        <w:outlineLvl w:val="1"/>
        <w:rPr>
          <w:b/>
          <w:bCs/>
          <w:color w:val="auto"/>
          <w:sz w:val="24"/>
        </w:rPr>
      </w:pPr>
      <w:r>
        <w:rPr>
          <w:rFonts w:hint="eastAsia"/>
          <w:b/>
          <w:bCs/>
          <w:color w:val="auto"/>
          <w:sz w:val="24"/>
        </w:rPr>
        <w:t>二</w:t>
      </w:r>
      <w:r>
        <w:rPr>
          <w:b/>
          <w:bCs/>
          <w:color w:val="auto"/>
          <w:sz w:val="24"/>
        </w:rPr>
        <w:t>、</w:t>
      </w:r>
      <w:r>
        <w:rPr>
          <w:rFonts w:hint="eastAsia"/>
          <w:b/>
          <w:bCs/>
          <w:color w:val="auto"/>
          <w:sz w:val="24"/>
        </w:rPr>
        <w:t>具体</w:t>
      </w:r>
      <w:r>
        <w:rPr>
          <w:b/>
          <w:bCs/>
          <w:color w:val="auto"/>
          <w:sz w:val="24"/>
        </w:rPr>
        <w:t>服务内容和要求</w:t>
      </w:r>
    </w:p>
    <w:p>
      <w:pPr>
        <w:spacing w:line="360" w:lineRule="auto"/>
        <w:rPr>
          <w:color w:val="auto"/>
          <w:sz w:val="24"/>
        </w:rPr>
      </w:pPr>
      <w:r>
        <w:rPr>
          <w:color w:val="auto"/>
          <w:sz w:val="24"/>
        </w:rPr>
        <w:t>1.</w:t>
      </w:r>
      <w:r>
        <w:rPr>
          <w:rFonts w:hint="eastAsia"/>
          <w:color w:val="auto"/>
          <w:sz w:val="24"/>
        </w:rPr>
        <w:t>服务内容</w:t>
      </w:r>
    </w:p>
    <w:p>
      <w:pPr>
        <w:spacing w:line="360" w:lineRule="auto"/>
        <w:ind w:firstLine="480" w:firstLineChars="200"/>
        <w:rPr>
          <w:color w:val="auto"/>
          <w:sz w:val="24"/>
        </w:rPr>
      </w:pPr>
      <w:r>
        <w:rPr>
          <w:color w:val="auto"/>
          <w:sz w:val="24"/>
        </w:rPr>
        <w:t>为</w:t>
      </w:r>
      <w:r>
        <w:rPr>
          <w:rFonts w:hint="eastAsia"/>
          <w:color w:val="auto"/>
          <w:sz w:val="24"/>
        </w:rPr>
        <w:t>北京市生态环境局</w:t>
      </w:r>
      <w:r>
        <w:rPr>
          <w:color w:val="auto"/>
          <w:sz w:val="24"/>
        </w:rPr>
        <w:t>提供安全、稳定、高效的政务云</w:t>
      </w:r>
      <w:r>
        <w:rPr>
          <w:rFonts w:hint="eastAsia"/>
          <w:color w:val="auto"/>
          <w:sz w:val="24"/>
          <w:lang w:eastAsia="zh-CN"/>
        </w:rPr>
        <w:t>使用</w:t>
      </w:r>
      <w:r>
        <w:rPr>
          <w:color w:val="auto"/>
          <w:sz w:val="24"/>
        </w:rPr>
        <w:t>环境</w:t>
      </w:r>
      <w:r>
        <w:rPr>
          <w:rFonts w:hint="eastAsia"/>
          <w:color w:val="auto"/>
          <w:sz w:val="24"/>
          <w:lang w:eastAsia="zh-CN"/>
        </w:rPr>
        <w:t>。为</w:t>
      </w:r>
      <w:r>
        <w:rPr>
          <w:color w:val="auto"/>
          <w:sz w:val="24"/>
        </w:rPr>
        <w:t>北京市</w:t>
      </w:r>
      <w:r>
        <w:rPr>
          <w:rFonts w:hint="eastAsia"/>
          <w:color w:val="auto"/>
          <w:sz w:val="24"/>
          <w:lang w:eastAsia="zh-CN"/>
        </w:rPr>
        <w:t>生态环境局综合事务中心租用的</w:t>
      </w:r>
      <w:r>
        <w:rPr>
          <w:color w:val="auto"/>
          <w:sz w:val="24"/>
        </w:rPr>
        <w:t>政务云提供的基础软件支撑服务、本地备份服务等各类服务，分别从基础设施安全、人员安全、数据安全等多方面进行保障维护，确保系统安全、稳定地运行。另外还需提供相关的</w:t>
      </w:r>
      <w:r>
        <w:rPr>
          <w:rFonts w:hint="eastAsia"/>
          <w:color w:val="auto"/>
          <w:sz w:val="24"/>
          <w:lang w:eastAsia="zh-CN"/>
        </w:rPr>
        <w:t>定制</w:t>
      </w:r>
      <w:r>
        <w:rPr>
          <w:color w:val="auto"/>
          <w:sz w:val="24"/>
        </w:rPr>
        <w:t>化服务。</w:t>
      </w:r>
    </w:p>
    <w:p>
      <w:pPr>
        <w:pStyle w:val="39"/>
        <w:spacing w:before="0" w:beforeAutospacing="0" w:after="0" w:afterAutospacing="0" w:line="360" w:lineRule="auto"/>
        <w:ind w:firstLine="480" w:firstLineChars="200"/>
        <w:rPr>
          <w:rFonts w:ascii="Times New Roman" w:hAnsi="Times New Roman" w:cs="Times New Roman"/>
          <w:color w:val="auto"/>
        </w:rPr>
      </w:pPr>
      <w:r>
        <w:rPr>
          <w:rFonts w:ascii="Times New Roman" w:hAnsi="Times New Roman" w:cs="Times New Roman"/>
          <w:color w:val="auto"/>
        </w:rPr>
        <w:t>投标人应提供云机房基础环境、承载能力、设计规格、电力配置、网络环境等机房相关参数，同时应提供云机房按照上述服务需求、技术要求、服务要求所设计的基础建设方案，以及与现用机房发生地点变化而产生的后续设备和系统搬迁等相关工作的实施方案。</w:t>
      </w:r>
    </w:p>
    <w:p>
      <w:pPr>
        <w:pStyle w:val="39"/>
        <w:spacing w:before="0" w:beforeAutospacing="0" w:after="0" w:afterAutospacing="0" w:line="360" w:lineRule="auto"/>
        <w:ind w:firstLine="480" w:firstLineChars="200"/>
        <w:rPr>
          <w:rFonts w:ascii="Times New Roman" w:hAnsi="Times New Roman" w:cs="Times New Roman"/>
          <w:color w:val="auto"/>
        </w:rPr>
      </w:pPr>
      <w:r>
        <w:rPr>
          <w:rFonts w:ascii="Times New Roman" w:hAnsi="Times New Roman" w:cs="Times New Roman"/>
          <w:color w:val="auto"/>
        </w:rPr>
        <w:t>提供的云</w:t>
      </w:r>
      <w:r>
        <w:rPr>
          <w:rFonts w:hint="eastAsia" w:ascii="Times New Roman" w:hAnsi="Times New Roman" w:cs="Times New Roman"/>
          <w:color w:val="auto"/>
          <w:lang w:eastAsia="zh-CN"/>
        </w:rPr>
        <w:t>资源</w:t>
      </w:r>
      <w:r>
        <w:rPr>
          <w:rFonts w:ascii="Times New Roman" w:hAnsi="Times New Roman" w:cs="Times New Roman"/>
          <w:color w:val="auto"/>
        </w:rPr>
        <w:t>机房与现用云</w:t>
      </w:r>
      <w:r>
        <w:rPr>
          <w:rFonts w:hint="eastAsia" w:ascii="Times New Roman" w:hAnsi="Times New Roman" w:cs="Times New Roman"/>
          <w:color w:val="auto"/>
          <w:lang w:eastAsia="zh-CN"/>
        </w:rPr>
        <w:t>资源</w:t>
      </w:r>
      <w:r>
        <w:rPr>
          <w:rFonts w:ascii="Times New Roman" w:hAnsi="Times New Roman" w:cs="Times New Roman"/>
          <w:color w:val="auto"/>
        </w:rPr>
        <w:t>机房地点发生变化的，投标人应承担系统迁移和设备搬迁产生的所有费用，并确保在用业务应用系统不间断运行。</w:t>
      </w:r>
    </w:p>
    <w:p>
      <w:pPr>
        <w:spacing w:line="360" w:lineRule="auto"/>
        <w:ind w:firstLine="480" w:firstLineChars="200"/>
        <w:rPr>
          <w:sz w:val="24"/>
        </w:rPr>
      </w:pPr>
    </w:p>
    <w:p>
      <w:pPr>
        <w:spacing w:line="360" w:lineRule="auto"/>
        <w:rPr>
          <w:color w:val="auto"/>
          <w:sz w:val="24"/>
          <w:lang w:val="zh-CN"/>
        </w:rPr>
      </w:pPr>
      <w:r>
        <w:rPr>
          <w:color w:val="auto"/>
          <w:sz w:val="24"/>
          <w:lang w:val="zh-CN"/>
        </w:rPr>
        <w:t>2.服务</w:t>
      </w:r>
      <w:r>
        <w:rPr>
          <w:rFonts w:hint="eastAsia"/>
          <w:color w:val="auto"/>
          <w:sz w:val="24"/>
          <w:lang w:val="zh-CN"/>
        </w:rPr>
        <w:t>整体要求</w:t>
      </w:r>
    </w:p>
    <w:p>
      <w:pPr>
        <w:spacing w:line="360" w:lineRule="auto"/>
        <w:ind w:firstLine="480" w:firstLineChars="200"/>
        <w:rPr>
          <w:color w:val="auto"/>
          <w:sz w:val="24"/>
        </w:rPr>
      </w:pPr>
      <w:r>
        <w:rPr>
          <w:color w:val="auto"/>
          <w:sz w:val="24"/>
        </w:rPr>
        <w:t>2.1云服务提供方提供系统在政务云平台上正常运行所必须的基础</w:t>
      </w:r>
      <w:r>
        <w:rPr>
          <w:rFonts w:hint="eastAsia"/>
          <w:color w:val="auto"/>
          <w:sz w:val="24"/>
        </w:rPr>
        <w:t>资源、基础</w:t>
      </w:r>
      <w:r>
        <w:rPr>
          <w:color w:val="auto"/>
          <w:sz w:val="24"/>
        </w:rPr>
        <w:t>软件</w:t>
      </w:r>
      <w:r>
        <w:rPr>
          <w:rFonts w:hint="eastAsia"/>
          <w:color w:val="auto"/>
          <w:sz w:val="24"/>
          <w:lang w:eastAsia="zh-CN"/>
        </w:rPr>
        <w:t>租用</w:t>
      </w:r>
      <w:r>
        <w:rPr>
          <w:color w:val="auto"/>
          <w:sz w:val="24"/>
        </w:rPr>
        <w:t>服务、本地备份服务等，所需</w:t>
      </w:r>
      <w:r>
        <w:rPr>
          <w:rFonts w:hint="eastAsia"/>
          <w:color w:val="auto"/>
          <w:sz w:val="24"/>
        </w:rPr>
        <w:t>基础</w:t>
      </w:r>
      <w:r>
        <w:rPr>
          <w:color w:val="auto"/>
          <w:sz w:val="24"/>
        </w:rPr>
        <w:t>及其他资源</w:t>
      </w:r>
      <w:r>
        <w:rPr>
          <w:rFonts w:hint="eastAsia"/>
          <w:color w:val="auto"/>
          <w:sz w:val="24"/>
        </w:rPr>
        <w:t>参见《云租用明细表》。</w:t>
      </w:r>
    </w:p>
    <w:p>
      <w:pPr>
        <w:spacing w:line="360" w:lineRule="auto"/>
        <w:rPr>
          <w:color w:val="auto"/>
          <w:sz w:val="24"/>
        </w:rPr>
      </w:pPr>
      <w:r>
        <w:rPr>
          <w:color w:val="auto"/>
          <w:sz w:val="24"/>
        </w:rPr>
        <w:t xml:space="preserve">    2.2 本项目</w:t>
      </w:r>
      <w:r>
        <w:rPr>
          <w:rFonts w:hint="eastAsia"/>
          <w:color w:val="auto"/>
          <w:sz w:val="24"/>
        </w:rPr>
        <w:t>视频会议保障方面，采购人必须具有管理员权限，可以对视频会议的使用达到有效管理，投标人配合实施。</w:t>
      </w:r>
      <w:r>
        <w:rPr>
          <w:color w:val="auto"/>
          <w:sz w:val="24"/>
        </w:rPr>
        <w:t>云视频会议终端的接入服务及技术支持服务，</w:t>
      </w:r>
      <w:r>
        <w:rPr>
          <w:rFonts w:hint="eastAsia"/>
          <w:color w:val="auto"/>
          <w:sz w:val="24"/>
        </w:rPr>
        <w:t>能够达到我局工作人员一个账户能够参加本局组织的政务云视频会议外，还能够参加北京市其他委办局组织的政务云视频会议</w:t>
      </w:r>
      <w:r>
        <w:rPr>
          <w:color w:val="auto"/>
          <w:sz w:val="24"/>
        </w:rPr>
        <w:t>。</w:t>
      </w:r>
    </w:p>
    <w:p>
      <w:pPr>
        <w:pStyle w:val="18"/>
        <w:ind w:firstLine="48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2.3 本项目基础软件租用方面，涉及到的业务系统，均由中标方按照采购人要求提供软件支持，包含中间件、数据库、操作系统等，提供的软件均需得到正版授权，确保软件来源合法合规，满足采购人业务系统的稳定运行。</w:t>
      </w:r>
    </w:p>
    <w:p>
      <w:pPr>
        <w:pStyle w:val="18"/>
        <w:rPr>
          <w:color w:val="auto"/>
        </w:rPr>
      </w:pPr>
    </w:p>
    <w:p/>
    <w:p>
      <w:pPr>
        <w:spacing w:line="360" w:lineRule="auto"/>
        <w:rPr>
          <w:b/>
          <w:bCs/>
          <w:sz w:val="24"/>
        </w:rPr>
      </w:pPr>
      <w:bookmarkStart w:id="22" w:name="_Toc512001029"/>
      <w:r>
        <w:rPr>
          <w:rFonts w:hint="eastAsia"/>
          <w:sz w:val="24"/>
          <w:lang w:val="zh-CN"/>
        </w:rPr>
        <w:t>3.服务人员</w:t>
      </w:r>
      <w:r>
        <w:rPr>
          <w:sz w:val="24"/>
          <w:lang w:val="zh-CN"/>
        </w:rPr>
        <w:t>管理</w:t>
      </w:r>
      <w:bookmarkEnd w:id="22"/>
      <w:r>
        <w:rPr>
          <w:sz w:val="24"/>
          <w:lang w:val="zh-CN"/>
        </w:rPr>
        <w:t>要求</w:t>
      </w:r>
    </w:p>
    <w:p>
      <w:pPr>
        <w:spacing w:line="360" w:lineRule="auto"/>
        <w:rPr>
          <w:sz w:val="24"/>
          <w:lang w:val="zh-CN"/>
        </w:rPr>
      </w:pPr>
      <w:r>
        <w:rPr>
          <w:rFonts w:hint="eastAsia"/>
          <w:sz w:val="24"/>
          <w:lang w:val="zh-CN"/>
        </w:rPr>
        <w:t xml:space="preserve">    3.</w:t>
      </w:r>
      <w:r>
        <w:rPr>
          <w:sz w:val="24"/>
          <w:lang w:val="zh-CN"/>
        </w:rPr>
        <w:t>1项目经理要求</w:t>
      </w:r>
    </w:p>
    <w:p>
      <w:pPr>
        <w:spacing w:line="360" w:lineRule="auto"/>
        <w:ind w:firstLine="480" w:firstLineChars="200"/>
        <w:rPr>
          <w:sz w:val="24"/>
        </w:rPr>
      </w:pPr>
      <w:r>
        <w:rPr>
          <w:rFonts w:hint="eastAsia"/>
          <w:sz w:val="24"/>
          <w:lang w:eastAsia="zh-CN"/>
        </w:rPr>
        <w:t>投标人</w:t>
      </w:r>
      <w:r>
        <w:rPr>
          <w:sz w:val="24"/>
        </w:rPr>
        <w:t>应指定一名项目经理，负责政务云的运维管理工作。</w:t>
      </w:r>
      <w:r>
        <w:rPr>
          <w:rFonts w:hint="eastAsia"/>
          <w:sz w:val="24"/>
        </w:rPr>
        <w:t>项目经理应具</w:t>
      </w:r>
      <w:r>
        <w:rPr>
          <w:rFonts w:hint="eastAsia"/>
          <w:sz w:val="24"/>
          <w:highlight w:val="none"/>
        </w:rPr>
        <w:t>备</w:t>
      </w:r>
      <w:r>
        <w:rPr>
          <w:rFonts w:hint="eastAsia"/>
          <w:sz w:val="24"/>
          <w:highlight w:val="none"/>
          <w:lang w:val="en-US" w:eastAsia="zh-CN"/>
        </w:rPr>
        <w:t>3</w:t>
      </w:r>
      <w:r>
        <w:rPr>
          <w:rFonts w:hint="eastAsia"/>
          <w:sz w:val="24"/>
          <w:highlight w:val="none"/>
        </w:rPr>
        <w:t>年（含）</w:t>
      </w:r>
      <w:r>
        <w:rPr>
          <w:rFonts w:hint="eastAsia"/>
          <w:sz w:val="24"/>
        </w:rPr>
        <w:t>以上工作经验，具有良好的项目管理能力，从业经验丰富且积累雄厚，具备信息系统项目管理师证书，从事过相关类型工作，且作为项目负责人承担过个别同类项目。</w:t>
      </w:r>
    </w:p>
    <w:p>
      <w:pPr>
        <w:spacing w:line="360" w:lineRule="auto"/>
        <w:rPr>
          <w:sz w:val="24"/>
          <w:lang w:val="zh-CN"/>
        </w:rPr>
      </w:pPr>
      <w:bookmarkStart w:id="23" w:name="_Toc512001023"/>
      <w:r>
        <w:rPr>
          <w:rFonts w:hint="eastAsia"/>
          <w:sz w:val="24"/>
          <w:lang w:val="zh-CN"/>
        </w:rPr>
        <w:t xml:space="preserve">    3.</w:t>
      </w:r>
      <w:r>
        <w:rPr>
          <w:sz w:val="24"/>
          <w:lang w:val="zh-CN"/>
        </w:rPr>
        <w:t>2项目团队</w:t>
      </w:r>
      <w:bookmarkEnd w:id="23"/>
      <w:r>
        <w:rPr>
          <w:sz w:val="24"/>
          <w:lang w:val="zh-CN"/>
        </w:rPr>
        <w:t>要求</w:t>
      </w:r>
    </w:p>
    <w:p>
      <w:pPr>
        <w:spacing w:line="360" w:lineRule="auto"/>
        <w:ind w:firstLine="480" w:firstLineChars="200"/>
        <w:rPr>
          <w:sz w:val="24"/>
        </w:rPr>
      </w:pPr>
      <w:bookmarkStart w:id="24" w:name="_Toc512001024"/>
      <w:r>
        <w:rPr>
          <w:rFonts w:hint="eastAsia"/>
          <w:sz w:val="24"/>
          <w:lang w:eastAsia="zh-CN"/>
        </w:rPr>
        <w:t>投标人</w:t>
      </w:r>
      <w:r>
        <w:rPr>
          <w:sz w:val="24"/>
        </w:rPr>
        <w:t>需提供为本项目组建稳定的、专业的、独立的</w:t>
      </w:r>
      <w:r>
        <w:rPr>
          <w:rFonts w:hint="eastAsia"/>
          <w:sz w:val="24"/>
        </w:rPr>
        <w:t>不少于7人的</w:t>
      </w:r>
      <w:r>
        <w:rPr>
          <w:sz w:val="24"/>
        </w:rPr>
        <w:t>项目团队</w:t>
      </w:r>
      <w:r>
        <w:rPr>
          <w:rFonts w:hint="eastAsia"/>
          <w:sz w:val="24"/>
          <w:lang w:eastAsia="zh-CN"/>
        </w:rPr>
        <w:t>（不含项目经理）</w:t>
      </w:r>
      <w:r>
        <w:rPr>
          <w:sz w:val="24"/>
        </w:rPr>
        <w:t>，</w:t>
      </w:r>
      <w:r>
        <w:rPr>
          <w:rFonts w:hint="eastAsia"/>
          <w:sz w:val="24"/>
        </w:rPr>
        <w:t>中标后</w:t>
      </w:r>
      <w:r>
        <w:rPr>
          <w:sz w:val="24"/>
        </w:rPr>
        <w:t>须设立专门的人员队伍</w:t>
      </w:r>
      <w:r>
        <w:rPr>
          <w:rFonts w:hint="eastAsia"/>
          <w:lang w:eastAsia="zh-CN"/>
        </w:rPr>
        <w:t>，</w:t>
      </w:r>
      <w:r>
        <w:rPr>
          <w:rFonts w:hint="eastAsia"/>
          <w:color w:val="000000" w:themeColor="text1"/>
          <w:sz w:val="24"/>
          <w:lang w:eastAsia="zh-CN"/>
          <w14:textFill>
            <w14:solidFill>
              <w14:schemeClr w14:val="tx1"/>
            </w14:solidFill>
          </w14:textFill>
        </w:rPr>
        <w:t>指定一人与采购人对接，开展政务云资源协调及沟通事宜，提供相关云资源运维保障服务，</w:t>
      </w:r>
      <w:r>
        <w:rPr>
          <w:color w:val="000000" w:themeColor="text1"/>
          <w:sz w:val="24"/>
          <w14:textFill>
            <w14:solidFill>
              <w14:schemeClr w14:val="tx1"/>
            </w14:solidFill>
          </w14:textFill>
        </w:rPr>
        <w:t>专门负责本项目工作；</w:t>
      </w:r>
      <w:r>
        <w:rPr>
          <w:sz w:val="24"/>
        </w:rPr>
        <w:t>应严格遵守用户方的各项规章制度和管理规定，爱岗敬业，不得擅离职守或做与工作无关的事情，能够与客户进行很好的沟通，具有很强的工作责任心和客户服务意识。</w:t>
      </w:r>
    </w:p>
    <w:p>
      <w:pPr>
        <w:spacing w:line="360" w:lineRule="auto"/>
        <w:ind w:firstLine="480" w:firstLineChars="200"/>
        <w:rPr>
          <w:color w:val="auto"/>
          <w:sz w:val="24"/>
        </w:rPr>
      </w:pPr>
      <w:r>
        <w:rPr>
          <w:sz w:val="24"/>
        </w:rPr>
        <w:t>提供项目团队的组织结构、项目团队的人员名单、岗位、资质、工作经验等</w:t>
      </w:r>
      <w:r>
        <w:rPr>
          <w:rFonts w:hint="eastAsia"/>
          <w:sz w:val="24"/>
        </w:rPr>
        <w:t>，</w:t>
      </w:r>
      <w:r>
        <w:rPr>
          <w:rFonts w:hint="eastAsia"/>
          <w:color w:val="auto"/>
          <w:sz w:val="24"/>
        </w:rPr>
        <w:t>明确计算资源，存储资源、网络资源、基础软件和定制化服务五大类具体责任人，负责与招标方相关运维服务的沟通及落实工作，并按照招标方的时间提供四大类服务季报、全年租用总结、资源使用优化建议等验收报告</w:t>
      </w:r>
      <w:r>
        <w:rPr>
          <w:color w:val="auto"/>
          <w:sz w:val="24"/>
        </w:rPr>
        <w:t>。</w:t>
      </w:r>
      <w:bookmarkEnd w:id="24"/>
    </w:p>
    <w:p>
      <w:pPr>
        <w:spacing w:line="400" w:lineRule="exact"/>
        <w:rPr>
          <w:color w:val="auto"/>
          <w:sz w:val="24"/>
        </w:rPr>
      </w:pPr>
      <w:r>
        <w:rPr>
          <w:rFonts w:hint="eastAsia"/>
          <w:color w:val="auto"/>
          <w:sz w:val="24"/>
          <w:lang w:val="zh-CN"/>
        </w:rPr>
        <w:t>4</w:t>
      </w:r>
      <w:r>
        <w:rPr>
          <w:color w:val="auto"/>
          <w:sz w:val="24"/>
          <w:lang w:val="zh-CN"/>
        </w:rPr>
        <w:t>.</w:t>
      </w:r>
      <w:r>
        <w:rPr>
          <w:rFonts w:hint="eastAsia"/>
          <w:color w:val="auto"/>
          <w:sz w:val="24"/>
          <w:lang w:val="zh-CN"/>
        </w:rPr>
        <w:t>服务</w:t>
      </w:r>
      <w:r>
        <w:rPr>
          <w:color w:val="auto"/>
          <w:sz w:val="24"/>
          <w:lang w:val="zh-CN"/>
        </w:rPr>
        <w:t>质量</w:t>
      </w:r>
      <w:r>
        <w:rPr>
          <w:rFonts w:hint="eastAsia"/>
          <w:color w:val="auto"/>
          <w:sz w:val="24"/>
          <w:lang w:val="zh-CN"/>
        </w:rPr>
        <w:t>要求</w:t>
      </w:r>
    </w:p>
    <w:p>
      <w:pPr>
        <w:spacing w:line="400" w:lineRule="exact"/>
        <w:ind w:firstLine="480" w:firstLineChars="200"/>
        <w:rPr>
          <w:color w:val="auto"/>
          <w:sz w:val="24"/>
        </w:rPr>
      </w:pPr>
      <w:r>
        <w:rPr>
          <w:rFonts w:hint="eastAsia"/>
          <w:color w:val="auto"/>
          <w:sz w:val="24"/>
        </w:rPr>
        <w:t>4.1政务云资源台账服务：每季度提交政务云资源台账，包含但不限于主机台账（含系统名称、ip地址、操作系统版本、创建时间、资源配置情况、资源使用率等）、物理机数据库台账、VPN账号台账、政务外网映射台账、互联网映射台账、安全策略台账等。</w:t>
      </w:r>
    </w:p>
    <w:p>
      <w:pPr>
        <w:spacing w:line="400" w:lineRule="exact"/>
        <w:ind w:firstLine="480" w:firstLineChars="200"/>
        <w:rPr>
          <w:color w:val="auto"/>
          <w:sz w:val="24"/>
        </w:rPr>
      </w:pPr>
      <w:r>
        <w:rPr>
          <w:rFonts w:hint="eastAsia"/>
          <w:color w:val="auto"/>
          <w:sz w:val="24"/>
        </w:rPr>
        <w:t>4.2政务云资源服务报告：每季度提交政务云资源服务报告，包含但不限于运维总体情况、基础运维情况（工单执行情况、常态化运维情况）、云平台运行情况（网络流速、资源使用情况、主机性能监控情况、主机备份情况）、故障处理情况等。</w:t>
      </w:r>
    </w:p>
    <w:p>
      <w:pPr>
        <w:spacing w:line="400" w:lineRule="exact"/>
        <w:ind w:firstLine="480" w:firstLineChars="200"/>
        <w:rPr>
          <w:color w:val="auto"/>
          <w:sz w:val="24"/>
        </w:rPr>
      </w:pPr>
      <w:r>
        <w:rPr>
          <w:rFonts w:hint="eastAsia"/>
          <w:color w:val="auto"/>
          <w:sz w:val="24"/>
        </w:rPr>
        <w:t>4.3政务云资源监控服务：对云上资源使用情况进行7*24小时的监控，若发现资源使用率长时间较高或故障情况，第一时间通知采购人并协助处理。监控情况应体现在政务云资源报告中。</w:t>
      </w:r>
    </w:p>
    <w:p>
      <w:pPr>
        <w:spacing w:line="400" w:lineRule="exact"/>
        <w:ind w:firstLine="480" w:firstLineChars="200"/>
        <w:rPr>
          <w:color w:val="auto"/>
          <w:sz w:val="24"/>
        </w:rPr>
      </w:pPr>
      <w:r>
        <w:rPr>
          <w:rFonts w:hint="eastAsia"/>
          <w:color w:val="auto"/>
          <w:sz w:val="24"/>
        </w:rPr>
        <w:t>4.4政务云资源故障响应要求：云上资源发生软硬件故障、使用异常时，云服务商应第一时间通知采购人并进行故障排查，影响业务系统正常运行的，故障处理时间不能超过2小时，故障处理过程应体现在政务云资源报告中。</w:t>
      </w:r>
    </w:p>
    <w:p>
      <w:pPr>
        <w:pStyle w:val="18"/>
        <w:spacing w:line="400" w:lineRule="exact"/>
        <w:ind w:firstLine="480" w:firstLineChars="200"/>
        <w:rPr>
          <w:color w:val="auto"/>
          <w:sz w:val="24"/>
        </w:rPr>
      </w:pPr>
      <w:r>
        <w:rPr>
          <w:rFonts w:hint="eastAsia"/>
          <w:color w:val="auto"/>
          <w:sz w:val="24"/>
        </w:rPr>
        <w:t>4.5 在基础资源服务方面，要严格按照招标方在日常使用检查中发现的隐患，及时开展修复和整改工作，招标方在落实上进行检查与监督，结果作为绩效考评重要依据。</w:t>
      </w:r>
    </w:p>
    <w:p>
      <w:pPr>
        <w:pStyle w:val="18"/>
        <w:spacing w:line="400" w:lineRule="exact"/>
        <w:rPr>
          <w:color w:val="auto"/>
          <w:sz w:val="24"/>
        </w:rPr>
      </w:pPr>
      <w:r>
        <w:rPr>
          <w:rFonts w:hint="eastAsia"/>
          <w:color w:val="auto"/>
          <w:sz w:val="24"/>
        </w:rPr>
        <w:t xml:space="preserve">    4.6每季度提交政务云资源操作系统及软件使用服务报告，包含但不限于操作系统总体使用、新增系统及操作系统部署、操作系统故障处理等内容。提交成果：《操作系统及软件租用报告》。</w:t>
      </w:r>
    </w:p>
    <w:p>
      <w:pPr>
        <w:pStyle w:val="18"/>
        <w:spacing w:line="400" w:lineRule="exact"/>
        <w:ind w:firstLine="480" w:firstLineChars="200"/>
        <w:rPr>
          <w:color w:val="auto"/>
          <w:sz w:val="24"/>
        </w:rPr>
      </w:pPr>
      <w:r>
        <w:rPr>
          <w:rFonts w:hint="eastAsia"/>
          <w:color w:val="auto"/>
          <w:sz w:val="24"/>
        </w:rPr>
        <w:t>4.7在基础软件租用服务方面，要严格按照招标方在日常使用检查中发现的隐患，及时开展修复和整改工作，招标方在落实上进行检查与监督，结果作为绩效考评重要依据。</w:t>
      </w:r>
    </w:p>
    <w:p>
      <w:pPr>
        <w:pStyle w:val="18"/>
        <w:spacing w:line="400" w:lineRule="exact"/>
        <w:rPr>
          <w:color w:val="auto"/>
          <w:sz w:val="24"/>
        </w:rPr>
      </w:pPr>
      <w:r>
        <w:rPr>
          <w:rFonts w:hint="eastAsia"/>
          <w:color w:val="auto"/>
          <w:sz w:val="24"/>
        </w:rPr>
        <w:t xml:space="preserve">    4.8每季度提交定制化服务报告，包含6条专用链路运行情况，</w:t>
      </w:r>
      <w:r>
        <w:rPr>
          <w:color w:val="auto"/>
          <w:sz w:val="24"/>
        </w:rPr>
        <w:t>SQL server</w:t>
      </w:r>
      <w:r>
        <w:rPr>
          <w:rFonts w:hint="eastAsia"/>
          <w:color w:val="auto"/>
          <w:sz w:val="24"/>
        </w:rPr>
        <w:t>、</w:t>
      </w:r>
      <w:r>
        <w:rPr>
          <w:color w:val="auto"/>
          <w:sz w:val="24"/>
        </w:rPr>
        <w:t>Oracle</w:t>
      </w:r>
      <w:r>
        <w:rPr>
          <w:rFonts w:hint="eastAsia"/>
          <w:color w:val="auto"/>
          <w:sz w:val="24"/>
        </w:rPr>
        <w:t>等软件部署及使用情况，视频会议保障情况（会议召开次数统计、保障时长、参会人员统计、按照招标方要求配合完成工作次数等），并针对招标方在定制化服务方面存在的不足提出相关改进意见。提交成果：《定制化服务报告》。</w:t>
      </w:r>
    </w:p>
    <w:p>
      <w:pPr>
        <w:pStyle w:val="18"/>
        <w:spacing w:line="400" w:lineRule="exact"/>
        <w:ind w:firstLine="480"/>
        <w:rPr>
          <w:rFonts w:hint="eastAsia"/>
          <w:color w:val="FF0000"/>
          <w:sz w:val="24"/>
        </w:rPr>
      </w:pPr>
      <w:r>
        <w:rPr>
          <w:rFonts w:hint="eastAsia"/>
          <w:color w:val="auto"/>
          <w:sz w:val="24"/>
        </w:rPr>
        <w:t>4.9在定制化服务方面，要严格按照招标方在日常使用检查中发现的隐患，及时开展修复和整改工作，招标方在落实上进行检查与监督，结果作为绩效考评重要依据。</w:t>
      </w:r>
    </w:p>
    <w:p>
      <w:pPr>
        <w:spacing w:line="400" w:lineRule="exact"/>
        <w:ind w:firstLine="480" w:firstLineChars="200"/>
        <w:rPr>
          <w:rFonts w:hint="default" w:eastAsia="宋体"/>
          <w:color w:val="auto"/>
          <w:lang w:val="en-US" w:eastAsia="zh-CN"/>
        </w:rPr>
      </w:pPr>
      <w:r>
        <w:rPr>
          <w:rFonts w:hint="eastAsia"/>
          <w:color w:val="auto"/>
          <w:sz w:val="24"/>
        </w:rPr>
        <w:t>4.</w:t>
      </w:r>
      <w:r>
        <w:rPr>
          <w:rFonts w:hint="eastAsia"/>
          <w:color w:val="auto"/>
          <w:sz w:val="24"/>
          <w:lang w:val="en-US" w:eastAsia="zh-CN"/>
        </w:rPr>
        <w:t>10在政务云网络环境、存储要求等方面，要配合采购人对相关资源配置进行调整，确保采购人租用的云资源能够高效、稳定使用。按照采购人要求，开放相应端口配置，确保采购人对相关参数能够及时进行监控。</w:t>
      </w:r>
    </w:p>
    <w:p>
      <w:pPr>
        <w:spacing w:line="400" w:lineRule="exact"/>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4.1</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在协助服务方面，开展政务云资源协调及沟通事宜，提供相关云资源运维保障服务，重点针对云资源使用效率</w:t>
      </w:r>
      <w:r>
        <w:rPr>
          <w:rFonts w:hint="eastAsia" w:ascii="宋体" w:hAnsi="宋体" w:cs="宋体"/>
          <w:color w:val="000000" w:themeColor="text1"/>
          <w:sz w:val="24"/>
          <w:lang w:eastAsia="zh-CN"/>
          <w14:textFill>
            <w14:solidFill>
              <w14:schemeClr w14:val="tx1"/>
            </w14:solidFill>
          </w14:textFill>
        </w:rPr>
        <w:t>提升、云资源合理分配、软件使用优化、</w:t>
      </w:r>
      <w:r>
        <w:rPr>
          <w:rFonts w:hint="eastAsia"/>
          <w:color w:val="000000" w:themeColor="text1"/>
          <w:sz w:val="24"/>
          <w:lang w:eastAsia="zh-CN"/>
          <w14:textFill>
            <w14:solidFill>
              <w14:schemeClr w14:val="tx1"/>
            </w14:solidFill>
          </w14:textFill>
        </w:rPr>
        <w:t>云基础资源台账建立及更新、云资源服务报告完善等方面</w:t>
      </w:r>
      <w:r>
        <w:rPr>
          <w:color w:val="000000" w:themeColor="text1"/>
          <w:sz w:val="24"/>
          <w14:textFill>
            <w14:solidFill>
              <w14:schemeClr w14:val="tx1"/>
            </w14:solidFill>
          </w14:textFill>
        </w:rPr>
        <w:t>专门负责本项目工作</w:t>
      </w:r>
      <w:r>
        <w:rPr>
          <w:rFonts w:hint="eastAsia"/>
          <w:color w:val="000000" w:themeColor="text1"/>
          <w:sz w:val="24"/>
          <w:lang w:eastAsia="zh-CN"/>
          <w14:textFill>
            <w14:solidFill>
              <w14:schemeClr w14:val="tx1"/>
            </w14:solidFill>
          </w14:textFill>
        </w:rPr>
        <w:t>。</w:t>
      </w:r>
    </w:p>
    <w:p>
      <w:pPr>
        <w:spacing w:line="400" w:lineRule="exact"/>
        <w:ind w:firstLine="480" w:firstLineChars="200"/>
        <w:rPr>
          <w:rFonts w:hint="eastAsia"/>
          <w:color w:val="auto"/>
          <w:sz w:val="24"/>
        </w:rPr>
      </w:pPr>
      <w:r>
        <w:rPr>
          <w:rFonts w:hint="eastAsia"/>
          <w:color w:val="auto"/>
          <w:sz w:val="24"/>
          <w:lang w:val="en-US" w:eastAsia="zh-CN"/>
        </w:rPr>
        <w:t>4.12</w:t>
      </w:r>
      <w:r>
        <w:rPr>
          <w:rFonts w:hint="eastAsia"/>
          <w:color w:val="auto"/>
          <w:sz w:val="24"/>
        </w:rPr>
        <w:t>其他工作：应积极配合采购人安排的其他工作，如问题咨询、培训、政务云资源统计、报表与分析等。提供的政务云机房与现用政务云机房地点发生变化的，</w:t>
      </w:r>
      <w:r>
        <w:rPr>
          <w:rFonts w:hint="eastAsia"/>
          <w:color w:val="auto"/>
          <w:sz w:val="24"/>
          <w:lang w:eastAsia="zh-CN"/>
        </w:rPr>
        <w:t>投标人</w:t>
      </w:r>
      <w:r>
        <w:rPr>
          <w:rFonts w:hint="eastAsia"/>
          <w:color w:val="auto"/>
          <w:sz w:val="24"/>
        </w:rPr>
        <w:t>应承担系统迁移和设备搬迁产生的所有费用，并确保在用业务应用系统不间断运行。</w:t>
      </w:r>
    </w:p>
    <w:p>
      <w:pPr>
        <w:pStyle w:val="18"/>
        <w:rPr>
          <w:rFonts w:hint="default" w:eastAsia="宋体"/>
          <w:lang w:val="en-US" w:eastAsia="zh-CN"/>
        </w:rPr>
      </w:pPr>
    </w:p>
    <w:p>
      <w:pPr>
        <w:spacing w:line="360" w:lineRule="auto"/>
        <w:rPr>
          <w:color w:val="auto"/>
          <w:sz w:val="24"/>
          <w:lang w:val="zh-CN"/>
        </w:rPr>
      </w:pPr>
    </w:p>
    <w:p>
      <w:pPr>
        <w:spacing w:line="360" w:lineRule="auto"/>
        <w:rPr>
          <w:sz w:val="24"/>
          <w:lang w:val="zh-CN"/>
        </w:rPr>
      </w:pPr>
      <w:r>
        <w:rPr>
          <w:rFonts w:hint="eastAsia"/>
          <w:sz w:val="24"/>
          <w:lang w:val="zh-CN"/>
        </w:rPr>
        <w:t>5</w:t>
      </w:r>
      <w:r>
        <w:rPr>
          <w:sz w:val="24"/>
          <w:lang w:val="zh-CN"/>
        </w:rPr>
        <w:t>.服务</w:t>
      </w:r>
      <w:r>
        <w:rPr>
          <w:rFonts w:hint="eastAsia"/>
          <w:sz w:val="24"/>
          <w:lang w:val="zh-CN"/>
        </w:rPr>
        <w:t>风险防范及安全保密</w:t>
      </w:r>
      <w:r>
        <w:rPr>
          <w:sz w:val="24"/>
          <w:lang w:val="zh-CN"/>
        </w:rPr>
        <w:t>要求</w:t>
      </w:r>
    </w:p>
    <w:p>
      <w:pPr>
        <w:spacing w:line="360" w:lineRule="auto"/>
        <w:ind w:firstLine="480" w:firstLineChars="200"/>
        <w:rPr>
          <w:sz w:val="24"/>
        </w:rPr>
      </w:pPr>
      <w:r>
        <w:rPr>
          <w:rFonts w:hint="eastAsia"/>
          <w:sz w:val="24"/>
        </w:rPr>
        <w:t>5</w:t>
      </w:r>
      <w:r>
        <w:rPr>
          <w:sz w:val="24"/>
        </w:rPr>
        <w:t>.1服务</w:t>
      </w:r>
      <w:r>
        <w:rPr>
          <w:rFonts w:hint="eastAsia"/>
          <w:sz w:val="24"/>
        </w:rPr>
        <w:t>风险防范</w:t>
      </w:r>
    </w:p>
    <w:p>
      <w:pPr>
        <w:spacing w:line="360" w:lineRule="auto"/>
        <w:ind w:firstLine="480" w:firstLineChars="200"/>
        <w:rPr>
          <w:sz w:val="24"/>
        </w:rPr>
      </w:pPr>
      <w:r>
        <w:rPr>
          <w:rFonts w:hint="eastAsia"/>
          <w:sz w:val="24"/>
          <w:lang w:eastAsia="zh-CN"/>
        </w:rPr>
        <w:t>投标人</w:t>
      </w:r>
      <w:r>
        <w:rPr>
          <w:sz w:val="24"/>
        </w:rPr>
        <w:t>利用监控系统或人工对硬件设备及应用系统的运行情况进行7*24小时的不间断巡检监控，及时发现安全隐患，通知相关人员及时处理，并形成监控报告。</w:t>
      </w:r>
    </w:p>
    <w:p>
      <w:pPr>
        <w:spacing w:line="360" w:lineRule="auto"/>
        <w:ind w:firstLine="480" w:firstLineChars="200"/>
        <w:rPr>
          <w:sz w:val="24"/>
        </w:rPr>
      </w:pPr>
      <w:r>
        <w:rPr>
          <w:rFonts w:hint="eastAsia"/>
          <w:sz w:val="24"/>
          <w:lang w:eastAsia="zh-CN"/>
        </w:rPr>
        <w:t>投标人</w:t>
      </w:r>
      <w:r>
        <w:rPr>
          <w:sz w:val="24"/>
        </w:rPr>
        <w:t>负责设立技术支持热线，并安排专人值守，为北京市生态环境局提供7*24小时</w:t>
      </w:r>
      <w:bookmarkStart w:id="25" w:name="_Hlk67229252"/>
      <w:r>
        <w:rPr>
          <w:sz w:val="24"/>
        </w:rPr>
        <w:t>热线支持服务</w:t>
      </w:r>
      <w:bookmarkEnd w:id="25"/>
      <w:r>
        <w:rPr>
          <w:sz w:val="24"/>
        </w:rPr>
        <w:t>。投标人针对采购人要求的云平台运维服务相关内容，需指定专业技术能力较强的工程师，根据采购人要求配合开展相关维护服务。</w:t>
      </w:r>
    </w:p>
    <w:p>
      <w:pPr>
        <w:spacing w:line="360" w:lineRule="auto"/>
        <w:ind w:firstLine="480" w:firstLineChars="200"/>
        <w:rPr>
          <w:sz w:val="24"/>
        </w:rPr>
      </w:pPr>
      <w:r>
        <w:rPr>
          <w:rFonts w:hint="eastAsia"/>
          <w:sz w:val="24"/>
        </w:rPr>
        <w:t>5</w:t>
      </w:r>
      <w:r>
        <w:rPr>
          <w:sz w:val="24"/>
        </w:rPr>
        <w:t>.2安全及保密要求</w:t>
      </w:r>
    </w:p>
    <w:p>
      <w:pPr>
        <w:spacing w:line="360" w:lineRule="auto"/>
        <w:ind w:firstLine="480" w:firstLineChars="200"/>
        <w:rPr>
          <w:sz w:val="24"/>
        </w:rPr>
      </w:pPr>
      <w:r>
        <w:rPr>
          <w:rFonts w:hint="eastAsia"/>
          <w:sz w:val="24"/>
          <w:lang w:eastAsia="zh-CN"/>
        </w:rPr>
        <w:t>投标人</w:t>
      </w:r>
      <w:r>
        <w:rPr>
          <w:sz w:val="24"/>
        </w:rPr>
        <w:t>须严格遵守采购人的相关信息安全规定，不得利用系统维护服务时的便利对采购人数据及其他信息擅自修改或透漏给第三方。</w:t>
      </w:r>
    </w:p>
    <w:p>
      <w:pPr>
        <w:spacing w:line="360" w:lineRule="auto"/>
        <w:ind w:firstLine="480" w:firstLineChars="200"/>
        <w:rPr>
          <w:sz w:val="24"/>
        </w:rPr>
      </w:pPr>
      <w:r>
        <w:rPr>
          <w:rFonts w:hint="eastAsia"/>
          <w:sz w:val="24"/>
        </w:rPr>
        <w:t>5</w:t>
      </w:r>
      <w:r>
        <w:rPr>
          <w:sz w:val="24"/>
        </w:rPr>
        <w:t>.3响应的及时性</w:t>
      </w:r>
    </w:p>
    <w:p>
      <w:pPr>
        <w:spacing w:line="360" w:lineRule="auto"/>
        <w:ind w:firstLine="480" w:firstLineChars="200"/>
        <w:rPr>
          <w:sz w:val="24"/>
        </w:rPr>
      </w:pPr>
      <w:r>
        <w:rPr>
          <w:rFonts w:hint="eastAsia"/>
          <w:sz w:val="24"/>
          <w:lang w:eastAsia="zh-CN"/>
        </w:rPr>
        <w:t>投标人</w:t>
      </w:r>
      <w:r>
        <w:rPr>
          <w:sz w:val="24"/>
        </w:rPr>
        <w:t>应当提供高效的系统维护服务，有效防范系统风险，系统对应负责人7*24小时电话畅通，能够在系统发生除宕机外的其他故障问题时，能够协调人力资源在1小时内到达运维现场提供服务。系统发生宕机问题时，投标人应在30分钟内响应，在4个小时之内使系统恢复正常，故障处理完毕后提供相关系统宕机报告。</w:t>
      </w:r>
    </w:p>
    <w:p>
      <w:pPr>
        <w:spacing w:line="360" w:lineRule="auto"/>
        <w:ind w:firstLine="480" w:firstLineChars="200"/>
        <w:rPr>
          <w:sz w:val="24"/>
        </w:rPr>
      </w:pPr>
      <w:r>
        <w:rPr>
          <w:rFonts w:hint="eastAsia"/>
          <w:sz w:val="24"/>
        </w:rPr>
        <w:t>5</w:t>
      </w:r>
      <w:r>
        <w:rPr>
          <w:sz w:val="24"/>
        </w:rPr>
        <w:t>.4重点保障要求</w:t>
      </w:r>
    </w:p>
    <w:p>
      <w:pPr>
        <w:spacing w:line="360" w:lineRule="auto"/>
        <w:ind w:firstLine="480" w:firstLineChars="200"/>
        <w:rPr>
          <w:sz w:val="24"/>
        </w:rPr>
      </w:pPr>
      <w:r>
        <w:rPr>
          <w:sz w:val="24"/>
        </w:rPr>
        <w:t>为保障业务高峰期内系统平稳运行，缓解系统高峰期内因业务发生量增大而带来系统压力风险，要求投标人根据业务周期性特点，加大运维保障力度，保证在业务高峰期内系统平稳运行。</w:t>
      </w:r>
    </w:p>
    <w:p>
      <w:pPr>
        <w:spacing w:line="360" w:lineRule="auto"/>
        <w:ind w:firstLine="480" w:firstLineChars="200"/>
        <w:rPr>
          <w:sz w:val="24"/>
        </w:rPr>
      </w:pPr>
      <w:r>
        <w:rPr>
          <w:rFonts w:hint="eastAsia"/>
          <w:sz w:val="24"/>
        </w:rPr>
        <w:t>5</w:t>
      </w:r>
      <w:r>
        <w:rPr>
          <w:sz w:val="24"/>
        </w:rPr>
        <w:t>.5投标</w:t>
      </w:r>
      <w:r>
        <w:rPr>
          <w:rFonts w:hint="eastAsia"/>
          <w:sz w:val="24"/>
          <w:lang w:eastAsia="zh-CN"/>
        </w:rPr>
        <w:t>人</w:t>
      </w:r>
      <w:r>
        <w:rPr>
          <w:sz w:val="24"/>
        </w:rPr>
        <w:t>运维服务要求</w:t>
      </w:r>
    </w:p>
    <w:p>
      <w:pPr>
        <w:spacing w:line="360" w:lineRule="auto"/>
        <w:ind w:firstLine="420" w:firstLineChars="200"/>
        <w:rPr>
          <w:sz w:val="24"/>
        </w:rPr>
      </w:pPr>
      <w:r>
        <w:rPr>
          <w:rFonts w:hint="eastAsia"/>
          <w:lang w:eastAsia="zh-CN"/>
        </w:rPr>
        <w:t>投标人</w:t>
      </w:r>
      <w:r>
        <w:rPr>
          <w:sz w:val="24"/>
        </w:rPr>
        <w:t>应提供应用系统在政务云的部署上线及运维服务。</w:t>
      </w:r>
    </w:p>
    <w:p>
      <w:pPr>
        <w:spacing w:line="360" w:lineRule="auto"/>
        <w:ind w:firstLine="480" w:firstLineChars="200"/>
        <w:rPr>
          <w:sz w:val="24"/>
        </w:rPr>
      </w:pPr>
      <w:r>
        <w:rPr>
          <w:rFonts w:hint="eastAsia"/>
          <w:sz w:val="24"/>
          <w:lang w:eastAsia="zh-CN"/>
        </w:rPr>
        <w:t>投标人</w:t>
      </w:r>
      <w:r>
        <w:rPr>
          <w:sz w:val="24"/>
        </w:rPr>
        <w:t>应提供政务云应用的整体管理、资源监控服务。</w:t>
      </w:r>
    </w:p>
    <w:p>
      <w:pPr>
        <w:spacing w:line="360" w:lineRule="auto"/>
        <w:ind w:firstLine="480" w:firstLineChars="200"/>
        <w:rPr>
          <w:sz w:val="24"/>
        </w:rPr>
      </w:pPr>
      <w:r>
        <w:rPr>
          <w:rFonts w:hint="eastAsia"/>
          <w:sz w:val="24"/>
          <w:lang w:eastAsia="zh-CN"/>
        </w:rPr>
        <w:t>投标人</w:t>
      </w:r>
      <w:r>
        <w:rPr>
          <w:sz w:val="24"/>
        </w:rPr>
        <w:t>应对政务云服务质量进行评估、监督、检查等工作，确保服务质量满足市生态环境局需求。</w:t>
      </w:r>
    </w:p>
    <w:p>
      <w:pPr>
        <w:spacing w:line="360" w:lineRule="auto"/>
        <w:ind w:firstLine="480" w:firstLineChars="200"/>
        <w:rPr>
          <w:sz w:val="24"/>
        </w:rPr>
      </w:pPr>
      <w:r>
        <w:rPr>
          <w:rFonts w:hint="eastAsia"/>
          <w:sz w:val="24"/>
          <w:lang w:eastAsia="zh-CN"/>
        </w:rPr>
        <w:t>投标人</w:t>
      </w:r>
      <w:r>
        <w:rPr>
          <w:sz w:val="24"/>
        </w:rPr>
        <w:t>应提供市生态环境局政务云应用资源的调整与调配工作。</w:t>
      </w:r>
    </w:p>
    <w:p>
      <w:pPr>
        <w:spacing w:line="360" w:lineRule="auto"/>
        <w:ind w:firstLine="480" w:firstLineChars="200"/>
        <w:rPr>
          <w:sz w:val="24"/>
        </w:rPr>
      </w:pPr>
      <w:r>
        <w:rPr>
          <w:rFonts w:hint="eastAsia"/>
          <w:sz w:val="24"/>
          <w:lang w:eastAsia="zh-CN"/>
        </w:rPr>
        <w:t>投标人</w:t>
      </w:r>
      <w:r>
        <w:rPr>
          <w:sz w:val="24"/>
        </w:rPr>
        <w:t>应提供市生态环境局政务云应用的安全保障工作，包括云资源备份、云资源安全评估等。</w:t>
      </w:r>
    </w:p>
    <w:p>
      <w:pPr>
        <w:spacing w:line="360" w:lineRule="auto"/>
        <w:ind w:firstLine="480" w:firstLineChars="200"/>
        <w:rPr>
          <w:sz w:val="24"/>
        </w:rPr>
      </w:pPr>
      <w:r>
        <w:rPr>
          <w:rFonts w:hint="eastAsia"/>
          <w:sz w:val="24"/>
          <w:lang w:eastAsia="zh-CN"/>
        </w:rPr>
        <w:t>投标人</w:t>
      </w:r>
      <w:r>
        <w:rPr>
          <w:sz w:val="24"/>
        </w:rPr>
        <w:t>对市生态环境局政务云应用运行中遇到的问题、风险、安全等提供安全保障和应急处置工作。</w:t>
      </w:r>
    </w:p>
    <w:p>
      <w:pPr>
        <w:spacing w:line="360" w:lineRule="auto"/>
        <w:ind w:firstLine="480" w:firstLineChars="200"/>
        <w:rPr>
          <w:sz w:val="24"/>
        </w:rPr>
      </w:pPr>
      <w:r>
        <w:rPr>
          <w:rFonts w:hint="eastAsia"/>
          <w:sz w:val="24"/>
          <w:lang w:eastAsia="zh-CN"/>
        </w:rPr>
        <w:t>投标人</w:t>
      </w:r>
      <w:r>
        <w:rPr>
          <w:sz w:val="24"/>
        </w:rPr>
        <w:t>提供的整体运维服务遵循客观、科学、公平、公正原则，符合国家和相关部门、评估专家对该类项目内容和深度规定的要求及市生态环境局的技术、质量要求。</w:t>
      </w:r>
    </w:p>
    <w:p>
      <w:pPr>
        <w:spacing w:line="360" w:lineRule="auto"/>
        <w:ind w:firstLine="480" w:firstLineChars="200"/>
        <w:rPr>
          <w:sz w:val="24"/>
        </w:rPr>
      </w:pPr>
      <w:r>
        <w:rPr>
          <w:rFonts w:hint="eastAsia"/>
          <w:sz w:val="24"/>
          <w:lang w:eastAsia="zh-CN"/>
        </w:rPr>
        <w:t>投标人</w:t>
      </w:r>
      <w:r>
        <w:rPr>
          <w:sz w:val="24"/>
        </w:rPr>
        <w:t>应根据政务云的整体技术架构与标准,其范围内为市生态环境局提供基础设施资源动态调整。</w:t>
      </w:r>
    </w:p>
    <w:p>
      <w:pPr>
        <w:spacing w:line="360" w:lineRule="auto"/>
        <w:ind w:firstLine="480" w:firstLineChars="200"/>
        <w:rPr>
          <w:sz w:val="24"/>
        </w:rPr>
      </w:pPr>
      <w:r>
        <w:rPr>
          <w:rFonts w:hint="eastAsia"/>
          <w:sz w:val="24"/>
          <w:lang w:eastAsia="zh-CN"/>
        </w:rPr>
        <w:t>投标人</w:t>
      </w:r>
      <w:r>
        <w:rPr>
          <w:sz w:val="24"/>
        </w:rPr>
        <w:t>应提供云视频会议的技术支持服务。</w:t>
      </w:r>
    </w:p>
    <w:p>
      <w:pPr>
        <w:spacing w:line="360" w:lineRule="auto"/>
        <w:ind w:firstLine="480" w:firstLineChars="200"/>
        <w:rPr>
          <w:sz w:val="24"/>
        </w:rPr>
      </w:pPr>
      <w:r>
        <w:rPr>
          <w:rFonts w:hint="eastAsia"/>
          <w:sz w:val="24"/>
        </w:rPr>
        <w:t>5</w:t>
      </w:r>
      <w:r>
        <w:rPr>
          <w:sz w:val="24"/>
        </w:rPr>
        <w:t>.6云服务基本运维要求</w:t>
      </w:r>
    </w:p>
    <w:p>
      <w:pPr>
        <w:spacing w:line="360" w:lineRule="auto"/>
        <w:ind w:firstLine="480" w:firstLineChars="200"/>
        <w:rPr>
          <w:sz w:val="24"/>
        </w:rPr>
      </w:pPr>
      <w:r>
        <w:rPr>
          <w:sz w:val="24"/>
        </w:rPr>
        <w:t>云服务提供商的基础运维团队负责资源基础运维工作，开展各项规范化、主动式服务工作。做到运维任务全覆盖，每项工作有责任人和协作者。有完整、科学、合理和可行的服务方案；支撑团队技术能力全面；运维服务组织机构明晰，职责范围明确；应急处置方案可行。</w:t>
      </w:r>
    </w:p>
    <w:p>
      <w:pPr>
        <w:spacing w:line="360" w:lineRule="auto"/>
        <w:ind w:firstLine="480" w:firstLineChars="200"/>
        <w:rPr>
          <w:sz w:val="24"/>
        </w:rPr>
      </w:pPr>
      <w:r>
        <w:rPr>
          <w:rFonts w:hint="eastAsia"/>
          <w:sz w:val="24"/>
        </w:rPr>
        <w:t>5</w:t>
      </w:r>
      <w:r>
        <w:rPr>
          <w:sz w:val="24"/>
        </w:rPr>
        <w:t>.7培训要求</w:t>
      </w:r>
    </w:p>
    <w:p>
      <w:pPr>
        <w:spacing w:line="360" w:lineRule="auto"/>
        <w:ind w:firstLine="480" w:firstLineChars="200"/>
        <w:rPr>
          <w:kern w:val="0"/>
          <w:sz w:val="24"/>
          <w:lang w:val="zh-CN"/>
        </w:rPr>
      </w:pPr>
      <w:r>
        <w:rPr>
          <w:rFonts w:hint="eastAsia"/>
          <w:kern w:val="0"/>
          <w:sz w:val="24"/>
          <w:lang w:eastAsia="zh-CN"/>
        </w:rPr>
        <w:t>投标人</w:t>
      </w:r>
      <w:r>
        <w:rPr>
          <w:rFonts w:hint="eastAsia"/>
          <w:kern w:val="0"/>
          <w:sz w:val="24"/>
          <w:lang w:val="zh-CN"/>
        </w:rPr>
        <w:t>应</w:t>
      </w:r>
      <w:r>
        <w:rPr>
          <w:kern w:val="0"/>
          <w:sz w:val="24"/>
          <w:lang w:val="zh-CN"/>
        </w:rPr>
        <w:t>根据甲方实际需要向系统各类用户免费提供工作的相关培训，培训应根据实际需求，在整个项目建设和运行过程中灵活安排。要求达到用户能够独立操作。</w:t>
      </w:r>
    </w:p>
    <w:p>
      <w:pPr>
        <w:spacing w:line="360" w:lineRule="auto"/>
        <w:ind w:firstLine="480" w:firstLineChars="200"/>
        <w:rPr>
          <w:kern w:val="0"/>
          <w:sz w:val="24"/>
          <w:lang w:val="zh-CN"/>
        </w:rPr>
      </w:pPr>
      <w:r>
        <w:rPr>
          <w:rFonts w:hint="eastAsia"/>
          <w:kern w:val="0"/>
          <w:sz w:val="24"/>
          <w:lang w:eastAsia="zh-CN"/>
        </w:rPr>
        <w:t>投标人</w:t>
      </w:r>
      <w:r>
        <w:rPr>
          <w:kern w:val="0"/>
          <w:sz w:val="24"/>
          <w:lang w:val="zh-CN"/>
        </w:rPr>
        <w:t>应制定人员培训方案，培训方案应包括培训目的、培训对象和范围、培训时间安排、教材编写（列出培训教材基本内容）、培训课程（包括课程介绍）、培训组织方式等。</w:t>
      </w:r>
    </w:p>
    <w:p>
      <w:pPr>
        <w:spacing w:line="360" w:lineRule="auto"/>
        <w:rPr>
          <w:rFonts w:eastAsia="等线"/>
          <w:szCs w:val="22"/>
        </w:rPr>
      </w:pPr>
    </w:p>
    <w:p>
      <w:pPr>
        <w:spacing w:line="360" w:lineRule="auto"/>
        <w:ind w:firstLine="480" w:firstLineChars="200"/>
        <w:rPr>
          <w:sz w:val="24"/>
        </w:rPr>
      </w:pPr>
    </w:p>
    <w:p>
      <w:pPr>
        <w:tabs>
          <w:tab w:val="left" w:pos="1425"/>
        </w:tabs>
        <w:adjustRightInd w:val="0"/>
        <w:snapToGrid w:val="0"/>
        <w:spacing w:line="360" w:lineRule="auto"/>
        <w:outlineLvl w:val="1"/>
        <w:rPr>
          <w:b/>
          <w:bCs/>
          <w:sz w:val="24"/>
        </w:rPr>
      </w:pPr>
      <w:r>
        <w:rPr>
          <w:rFonts w:hint="eastAsia"/>
          <w:b/>
          <w:bCs/>
          <w:sz w:val="24"/>
          <w:lang w:eastAsia="zh-CN"/>
        </w:rPr>
        <w:t>三</w:t>
      </w:r>
      <w:r>
        <w:rPr>
          <w:rFonts w:hint="eastAsia"/>
          <w:b/>
          <w:bCs/>
          <w:sz w:val="24"/>
        </w:rPr>
        <w:t>、需要由供应商提供的设计方案、组织方案、解决方案：</w:t>
      </w:r>
    </w:p>
    <w:p>
      <w:pPr>
        <w:spacing w:line="360" w:lineRule="auto"/>
        <w:ind w:firstLine="480" w:firstLineChars="200"/>
        <w:textAlignment w:val="baseline"/>
        <w:rPr>
          <w:sz w:val="24"/>
        </w:rPr>
      </w:pPr>
      <w:r>
        <w:rPr>
          <w:rFonts w:hint="eastAsia"/>
          <w:sz w:val="24"/>
        </w:rPr>
        <w:t>1、重点难点问题分析及解决方案</w:t>
      </w:r>
    </w:p>
    <w:p>
      <w:pPr>
        <w:spacing w:line="360" w:lineRule="auto"/>
        <w:ind w:firstLine="480" w:firstLineChars="200"/>
        <w:textAlignment w:val="baseline"/>
        <w:rPr>
          <w:sz w:val="24"/>
        </w:rPr>
      </w:pPr>
      <w:r>
        <w:rPr>
          <w:rFonts w:hint="eastAsia"/>
          <w:sz w:val="24"/>
        </w:rPr>
        <w:t>功能、应用场景、目标：供应商应针对本项目实际情况结合过往经验分析并指出项目实施过程中潜在的困难点、风险点，并能够给出妥善的解决方案。</w:t>
      </w:r>
    </w:p>
    <w:p>
      <w:pPr>
        <w:spacing w:line="360" w:lineRule="auto"/>
        <w:ind w:firstLine="480" w:firstLineChars="200"/>
        <w:textAlignment w:val="baseline"/>
        <w:rPr>
          <w:kern w:val="0"/>
          <w:sz w:val="24"/>
          <w:szCs w:val="20"/>
        </w:rPr>
      </w:pPr>
      <w:r>
        <w:rPr>
          <w:rFonts w:hint="eastAsia"/>
          <w:sz w:val="24"/>
        </w:rPr>
        <w:t>2、基础软件支撑服务、安全服务、安全检测监测、审计服务、本地备份服务、定制服务、运维组织方案</w:t>
      </w:r>
    </w:p>
    <w:p>
      <w:pPr>
        <w:spacing w:line="360" w:lineRule="auto"/>
        <w:ind w:firstLine="480" w:firstLineChars="200"/>
        <w:textAlignment w:val="baseline"/>
        <w:rPr>
          <w:sz w:val="24"/>
        </w:rPr>
      </w:pPr>
      <w:r>
        <w:rPr>
          <w:rFonts w:hint="eastAsia"/>
          <w:sz w:val="24"/>
        </w:rPr>
        <w:t>功能、应用场景、目标：详见本章第三部分要求。</w:t>
      </w:r>
    </w:p>
    <w:p>
      <w:pPr>
        <w:spacing w:line="360" w:lineRule="auto"/>
        <w:ind w:firstLine="480" w:firstLineChars="200"/>
        <w:textAlignment w:val="baseline"/>
        <w:rPr>
          <w:kern w:val="0"/>
          <w:sz w:val="24"/>
          <w:szCs w:val="20"/>
        </w:rPr>
      </w:pPr>
      <w:r>
        <w:rPr>
          <w:sz w:val="24"/>
        </w:rPr>
        <w:t>3</w:t>
      </w:r>
      <w:r>
        <w:rPr>
          <w:rFonts w:hint="eastAsia"/>
          <w:sz w:val="24"/>
        </w:rPr>
        <w:t>、应急解决方案</w:t>
      </w:r>
    </w:p>
    <w:p>
      <w:pPr>
        <w:spacing w:line="360" w:lineRule="auto"/>
        <w:ind w:firstLine="480" w:firstLineChars="200"/>
        <w:textAlignment w:val="baseline"/>
        <w:rPr>
          <w:sz w:val="24"/>
        </w:rPr>
      </w:pPr>
      <w:r>
        <w:rPr>
          <w:rFonts w:hint="eastAsia"/>
          <w:sz w:val="24"/>
        </w:rPr>
        <w:t>功能、应用场景、目标：供应商能够针对各类紧急、突发情况提供解决方案，妥善处理各种应急情况。</w:t>
      </w:r>
      <w:bookmarkStart w:id="26" w:name="_Hlk78796819"/>
    </w:p>
    <w:p>
      <w:pPr>
        <w:spacing w:line="360" w:lineRule="auto"/>
        <w:ind w:firstLine="480" w:firstLineChars="200"/>
        <w:textAlignment w:val="baseline"/>
        <w:rPr>
          <w:sz w:val="24"/>
        </w:rPr>
      </w:pPr>
      <w:r>
        <w:rPr>
          <w:rFonts w:hint="eastAsia"/>
          <w:sz w:val="24"/>
        </w:rPr>
        <w:t>4</w:t>
      </w:r>
      <w:r>
        <w:rPr>
          <w:sz w:val="24"/>
        </w:rPr>
        <w:t>.</w:t>
      </w:r>
      <w:r>
        <w:rPr>
          <w:rFonts w:hint="eastAsia"/>
          <w:sz w:val="24"/>
        </w:rPr>
        <w:t>质量保证解决方案</w:t>
      </w:r>
    </w:p>
    <w:bookmarkEnd w:id="26"/>
    <w:p>
      <w:pPr>
        <w:adjustRightInd w:val="0"/>
        <w:snapToGrid w:val="0"/>
        <w:spacing w:line="360" w:lineRule="auto"/>
        <w:ind w:firstLine="480" w:firstLineChars="200"/>
        <w:rPr>
          <w:sz w:val="24"/>
        </w:rPr>
      </w:pPr>
      <w:bookmarkStart w:id="27" w:name="_Hlk78796831"/>
      <w:r>
        <w:rPr>
          <w:rFonts w:hint="eastAsia"/>
          <w:sz w:val="24"/>
        </w:rPr>
        <w:t>功能、应用场景、目标：供应商应制定合理可行的质量保证解决方案，通过制度、辅助措施等手段，确保各项服务能保质保量完成。</w:t>
      </w:r>
      <w:bookmarkStart w:id="28" w:name="_Hlk78796877"/>
    </w:p>
    <w:p>
      <w:pPr>
        <w:adjustRightInd w:val="0"/>
        <w:snapToGrid w:val="0"/>
        <w:spacing w:line="360" w:lineRule="auto"/>
        <w:ind w:firstLine="480" w:firstLineChars="200"/>
        <w:rPr>
          <w:sz w:val="24"/>
        </w:rPr>
      </w:pPr>
      <w:r>
        <w:rPr>
          <w:rFonts w:hint="eastAsia"/>
          <w:sz w:val="24"/>
        </w:rPr>
        <w:t>5</w:t>
      </w:r>
      <w:r>
        <w:rPr>
          <w:sz w:val="24"/>
        </w:rPr>
        <w:t>.</w:t>
      </w:r>
      <w:r>
        <w:rPr>
          <w:rFonts w:hint="eastAsia"/>
          <w:sz w:val="24"/>
        </w:rPr>
        <w:t>保密措施解决方案</w:t>
      </w:r>
    </w:p>
    <w:bookmarkEnd w:id="28"/>
    <w:p>
      <w:pPr>
        <w:adjustRightInd w:val="0"/>
        <w:snapToGrid w:val="0"/>
        <w:spacing w:line="360" w:lineRule="auto"/>
        <w:ind w:firstLine="480" w:firstLineChars="200"/>
        <w:rPr>
          <w:sz w:val="24"/>
        </w:rPr>
      </w:pPr>
      <w:bookmarkStart w:id="29" w:name="_Hlk78796888"/>
      <w:r>
        <w:rPr>
          <w:rFonts w:hint="eastAsia"/>
          <w:sz w:val="24"/>
        </w:rPr>
        <w:t>功能、应用场景、目标：供应商应制定保密措施解决方案，确保项目团队对项目执行中所获知信息保密。</w:t>
      </w:r>
    </w:p>
    <w:bookmarkEnd w:id="29"/>
    <w:p>
      <w:pPr>
        <w:adjustRightInd w:val="0"/>
        <w:snapToGrid w:val="0"/>
        <w:spacing w:line="360" w:lineRule="auto"/>
        <w:ind w:firstLine="480" w:firstLineChars="200"/>
        <w:rPr>
          <w:sz w:val="24"/>
        </w:rPr>
      </w:pPr>
    </w:p>
    <w:bookmarkEnd w:id="27"/>
    <w:p>
      <w:pPr>
        <w:widowControl/>
        <w:jc w:val="left"/>
        <w:rPr>
          <w:color w:val="000000"/>
          <w:sz w:val="36"/>
          <w:szCs w:val="36"/>
        </w:rPr>
      </w:pPr>
    </w:p>
    <w:p/>
    <w:p>
      <w:pPr>
        <w:autoSpaceDE w:val="0"/>
        <w:autoSpaceDN w:val="0"/>
        <w:adjustRightInd w:val="0"/>
        <w:spacing w:line="360" w:lineRule="auto"/>
        <w:ind w:firstLine="723" w:firstLineChars="200"/>
        <w:jc w:val="left"/>
        <w:rPr>
          <w:b/>
          <w:sz w:val="36"/>
          <w:szCs w:val="36"/>
        </w:rPr>
      </w:pPr>
      <w:r>
        <w:rPr>
          <w:b/>
          <w:sz w:val="36"/>
          <w:szCs w:val="36"/>
        </w:rPr>
        <w:br w:type="page"/>
      </w:r>
      <w:bookmarkEnd w:id="1"/>
      <w:bookmarkEnd w:id="2"/>
      <w:bookmarkEnd w:id="3"/>
      <w:bookmarkEnd w:id="4"/>
      <w:bookmarkEnd w:id="5"/>
      <w:bookmarkEnd w:id="6"/>
      <w:bookmarkEnd w:id="7"/>
      <w:bookmarkEnd w:id="8"/>
      <w:bookmarkEnd w:id="9"/>
      <w:bookmarkEnd w:id="10"/>
      <w:bookmarkEnd w:id="11"/>
      <w:bookmarkEnd w:id="12"/>
      <w:bookmarkEnd w:id="13"/>
      <w:bookmarkEnd w:id="14"/>
    </w:p>
    <w:sectPr>
      <w:footerReference r:id="rId3"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69</w:t>
    </w:r>
    <w:r>
      <w:rPr>
        <w:rFonts w:asci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7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4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09"/>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7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68"/>
      <w:lvlText w:val="%1"/>
      <w:lvlJc w:val="left"/>
      <w:pPr>
        <w:ind w:left="680" w:hanging="680"/>
      </w:pPr>
      <w:rPr>
        <w:rFonts w:hint="eastAsia" w:ascii="宋体" w:hAnsi="宋体" w:eastAsia="宋体"/>
      </w:rPr>
    </w:lvl>
    <w:lvl w:ilvl="1" w:tentative="0">
      <w:start w:val="1"/>
      <w:numFmt w:val="decimal"/>
      <w:pStyle w:val="169"/>
      <w:lvlText w:val="%1.%2"/>
      <w:lvlJc w:val="left"/>
      <w:pPr>
        <w:ind w:left="851" w:hanging="851"/>
      </w:pPr>
      <w:rPr>
        <w:rFonts w:hint="eastAsia" w:ascii="宋体" w:hAnsi="宋体" w:eastAsia="宋体"/>
        <w:color w:val="auto"/>
      </w:rPr>
    </w:lvl>
    <w:lvl w:ilvl="2" w:tentative="0">
      <w:start w:val="1"/>
      <w:numFmt w:val="decimal"/>
      <w:pStyle w:val="17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F36417"/>
    <w:rsid w:val="0AEE26D6"/>
    <w:rsid w:val="0B660C1A"/>
    <w:rsid w:val="0D9D24E2"/>
    <w:rsid w:val="0FBACA58"/>
    <w:rsid w:val="11407952"/>
    <w:rsid w:val="14625AD7"/>
    <w:rsid w:val="17F93E0B"/>
    <w:rsid w:val="196B04A0"/>
    <w:rsid w:val="1C455CA5"/>
    <w:rsid w:val="1D2C69D2"/>
    <w:rsid w:val="211D2A9C"/>
    <w:rsid w:val="217C0935"/>
    <w:rsid w:val="239E00B4"/>
    <w:rsid w:val="251E74A4"/>
    <w:rsid w:val="26831BBC"/>
    <w:rsid w:val="27843CE5"/>
    <w:rsid w:val="2B9845BD"/>
    <w:rsid w:val="2D0622FA"/>
    <w:rsid w:val="31754DFF"/>
    <w:rsid w:val="321715DC"/>
    <w:rsid w:val="32EB653A"/>
    <w:rsid w:val="37B21971"/>
    <w:rsid w:val="398F586D"/>
    <w:rsid w:val="3A1D2F94"/>
    <w:rsid w:val="3BCB6780"/>
    <w:rsid w:val="3C1A5F98"/>
    <w:rsid w:val="3CC85B63"/>
    <w:rsid w:val="3E9D15FB"/>
    <w:rsid w:val="3F44558A"/>
    <w:rsid w:val="3FC44B7C"/>
    <w:rsid w:val="402A14E2"/>
    <w:rsid w:val="425A2175"/>
    <w:rsid w:val="42CD0A98"/>
    <w:rsid w:val="42E30F76"/>
    <w:rsid w:val="431A0C09"/>
    <w:rsid w:val="44023687"/>
    <w:rsid w:val="47133828"/>
    <w:rsid w:val="480E2158"/>
    <w:rsid w:val="4B65373A"/>
    <w:rsid w:val="4C327140"/>
    <w:rsid w:val="4D00163A"/>
    <w:rsid w:val="4D754103"/>
    <w:rsid w:val="4F0F5BE3"/>
    <w:rsid w:val="50055E16"/>
    <w:rsid w:val="501945E3"/>
    <w:rsid w:val="52422029"/>
    <w:rsid w:val="52C77F85"/>
    <w:rsid w:val="545455E7"/>
    <w:rsid w:val="55040901"/>
    <w:rsid w:val="56245862"/>
    <w:rsid w:val="56DF05DE"/>
    <w:rsid w:val="5745D218"/>
    <w:rsid w:val="57FC6189"/>
    <w:rsid w:val="58E00503"/>
    <w:rsid w:val="59303544"/>
    <w:rsid w:val="59FFF289"/>
    <w:rsid w:val="5A0D7420"/>
    <w:rsid w:val="5B9205D4"/>
    <w:rsid w:val="5D370EBC"/>
    <w:rsid w:val="5F073306"/>
    <w:rsid w:val="5F434264"/>
    <w:rsid w:val="5F5F73B9"/>
    <w:rsid w:val="5F9F619A"/>
    <w:rsid w:val="6465428E"/>
    <w:rsid w:val="67817BD3"/>
    <w:rsid w:val="6838144E"/>
    <w:rsid w:val="68AA7398"/>
    <w:rsid w:val="6C3A7C17"/>
    <w:rsid w:val="6C8F0AAC"/>
    <w:rsid w:val="6EAB6FA9"/>
    <w:rsid w:val="6F7FE632"/>
    <w:rsid w:val="73037F0B"/>
    <w:rsid w:val="73A53748"/>
    <w:rsid w:val="742C597A"/>
    <w:rsid w:val="77521CC0"/>
    <w:rsid w:val="77E57869"/>
    <w:rsid w:val="77FECAD3"/>
    <w:rsid w:val="7A674C7C"/>
    <w:rsid w:val="7AB9666E"/>
    <w:rsid w:val="7BFB237A"/>
    <w:rsid w:val="7EFF0C22"/>
    <w:rsid w:val="7F7F34EC"/>
    <w:rsid w:val="99663E05"/>
    <w:rsid w:val="AD764E27"/>
    <w:rsid w:val="BBE98387"/>
    <w:rsid w:val="BCBD7523"/>
    <w:rsid w:val="DF3DAE1D"/>
    <w:rsid w:val="EFFF1710"/>
    <w:rsid w:val="F7F74EFB"/>
    <w:rsid w:val="F7FFE87C"/>
    <w:rsid w:val="FF379F73"/>
    <w:rsid w:val="FF5D819B"/>
    <w:rsid w:val="FF76B5A6"/>
    <w:rsid w:val="FFAD64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18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18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189"/>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190"/>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19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192"/>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19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9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98"/>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jc w:val="both"/>
    </w:pPr>
    <w:rPr>
      <w:rFonts w:ascii="Calibri" w:hAnsi="Calibri" w:eastAsia="宋体" w:cs="Calibri"/>
      <w:sz w:val="21"/>
      <w:szCs w:val="22"/>
      <w:lang w:val="en-US" w:eastAsia="zh-CN" w:bidi="ar-SA"/>
    </w:rPr>
  </w:style>
  <w:style w:type="paragraph" w:styleId="7">
    <w:name w:val="Normal Indent"/>
    <w:basedOn w:val="1"/>
    <w:link w:val="18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195"/>
    <w:qFormat/>
    <w:uiPriority w:val="0"/>
    <w:pPr>
      <w:shd w:val="clear" w:color="auto" w:fill="000080"/>
    </w:pPr>
  </w:style>
  <w:style w:type="paragraph" w:styleId="17">
    <w:name w:val="annotation text"/>
    <w:basedOn w:val="1"/>
    <w:link w:val="196"/>
    <w:qFormat/>
    <w:uiPriority w:val="99"/>
    <w:pPr>
      <w:jc w:val="left"/>
    </w:pPr>
  </w:style>
  <w:style w:type="paragraph" w:styleId="18">
    <w:name w:val="Salutation"/>
    <w:basedOn w:val="1"/>
    <w:next w:val="1"/>
    <w:qFormat/>
    <w:uiPriority w:val="0"/>
  </w:style>
  <w:style w:type="paragraph" w:styleId="19">
    <w:name w:val="Body Text 3"/>
    <w:basedOn w:val="1"/>
    <w:link w:val="197"/>
    <w:qFormat/>
    <w:uiPriority w:val="0"/>
    <w:pPr>
      <w:spacing w:after="120"/>
    </w:pPr>
    <w:rPr>
      <w:sz w:val="16"/>
      <w:szCs w:val="16"/>
    </w:rPr>
  </w:style>
  <w:style w:type="paragraph" w:styleId="20">
    <w:name w:val="Body Text Indent"/>
    <w:basedOn w:val="1"/>
    <w:link w:val="199"/>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00"/>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01"/>
    <w:qFormat/>
    <w:uiPriority w:val="0"/>
    <w:pPr>
      <w:ind w:left="100" w:leftChars="2500"/>
    </w:pPr>
    <w:rPr>
      <w:rFonts w:ascii="仿宋_GB2312" w:hAnsi="宋体" w:eastAsia="仿宋_GB2312"/>
      <w:color w:val="000000"/>
      <w:sz w:val="24"/>
    </w:rPr>
  </w:style>
  <w:style w:type="paragraph" w:styleId="28">
    <w:name w:val="Body Text Indent 2"/>
    <w:basedOn w:val="1"/>
    <w:link w:val="202"/>
    <w:qFormat/>
    <w:uiPriority w:val="0"/>
    <w:pPr>
      <w:ind w:firstLine="480" w:firstLineChars="200"/>
    </w:pPr>
    <w:rPr>
      <w:rFonts w:ascii="仿宋_GB2312" w:eastAsia="仿宋_GB2312"/>
      <w:sz w:val="24"/>
    </w:rPr>
  </w:style>
  <w:style w:type="paragraph" w:styleId="29">
    <w:name w:val="Balloon Text"/>
    <w:basedOn w:val="1"/>
    <w:link w:val="203"/>
    <w:qFormat/>
    <w:uiPriority w:val="0"/>
    <w:rPr>
      <w:sz w:val="18"/>
      <w:szCs w:val="18"/>
    </w:rPr>
  </w:style>
  <w:style w:type="paragraph" w:styleId="30">
    <w:name w:val="footer"/>
    <w:basedOn w:val="1"/>
    <w:link w:val="20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0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208"/>
    <w:qFormat/>
    <w:uiPriority w:val="0"/>
    <w:pPr>
      <w:jc w:val="center"/>
      <w:outlineLvl w:val="0"/>
    </w:pPr>
    <w:rPr>
      <w:b/>
      <w:sz w:val="32"/>
      <w:szCs w:val="20"/>
    </w:rPr>
  </w:style>
  <w:style w:type="paragraph" w:styleId="42">
    <w:name w:val="annotation subject"/>
    <w:basedOn w:val="17"/>
    <w:next w:val="17"/>
    <w:link w:val="209"/>
    <w:qFormat/>
    <w:uiPriority w:val="0"/>
    <w:rPr>
      <w:b/>
      <w:bCs/>
    </w:rPr>
  </w:style>
  <w:style w:type="paragraph" w:styleId="43">
    <w:name w:val="Body Text First Indent 2"/>
    <w:basedOn w:val="20"/>
    <w:link w:val="210"/>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注释"/>
    <w:basedOn w:val="1"/>
    <w:link w:val="214"/>
    <w:qFormat/>
    <w:uiPriority w:val="0"/>
    <w:pPr>
      <w:adjustRightInd w:val="0"/>
      <w:snapToGrid w:val="0"/>
      <w:ind w:left="420" w:hanging="420" w:hangingChars="200"/>
      <w:jc w:val="left"/>
    </w:pPr>
    <w:rPr>
      <w:rFonts w:ascii="宋体" w:hAnsi="宋体"/>
      <w:szCs w:val="21"/>
    </w:rPr>
  </w:style>
  <w:style w:type="paragraph" w:customStyle="1" w:styleId="56">
    <w:name w:val="正文文本缩进1"/>
    <w:basedOn w:val="1"/>
    <w:link w:val="220"/>
    <w:qFormat/>
    <w:uiPriority w:val="0"/>
    <w:pPr>
      <w:spacing w:line="480" w:lineRule="exact"/>
      <w:ind w:firstLine="480" w:firstLineChars="200"/>
    </w:pPr>
    <w:rPr>
      <w:rFonts w:ascii="宋体" w:hAnsi="宋体"/>
      <w:kern w:val="0"/>
      <w:sz w:val="24"/>
    </w:rPr>
  </w:style>
  <w:style w:type="paragraph" w:customStyle="1" w:styleId="57">
    <w:name w:val="正文大标题"/>
    <w:basedOn w:val="58"/>
    <w:next w:val="7"/>
    <w:link w:val="223"/>
    <w:qFormat/>
    <w:uiPriority w:val="0"/>
    <w:pPr>
      <w:jc w:val="center"/>
    </w:pPr>
    <w:rPr>
      <w:i w:val="0"/>
      <w:color w:val="000000"/>
      <w:sz w:val="28"/>
      <w:szCs w:val="21"/>
    </w:rPr>
  </w:style>
  <w:style w:type="paragraph" w:customStyle="1" w:styleId="58">
    <w:name w:val="正文小标题"/>
    <w:basedOn w:val="1"/>
    <w:next w:val="7"/>
    <w:link w:val="22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styleId="59">
    <w:name w:val="List Paragraph"/>
    <w:basedOn w:val="1"/>
    <w:link w:val="226"/>
    <w:qFormat/>
    <w:uiPriority w:val="34"/>
    <w:pPr>
      <w:ind w:firstLine="420" w:firstLineChars="200"/>
    </w:pPr>
    <w:rPr>
      <w:rFonts w:ascii="Calibri" w:hAnsi="Calibri"/>
      <w:szCs w:val="22"/>
    </w:rPr>
  </w:style>
  <w:style w:type="paragraph" w:customStyle="1" w:styleId="60">
    <w:name w:val="正文格式"/>
    <w:basedOn w:val="1"/>
    <w:link w:val="227"/>
    <w:qFormat/>
    <w:uiPriority w:val="0"/>
    <w:pPr>
      <w:spacing w:beforeLines="50" w:line="360" w:lineRule="auto"/>
      <w:ind w:firstLine="480" w:firstLineChars="200"/>
    </w:pPr>
    <w:rPr>
      <w:rFonts w:ascii="宋体" w:hAnsi="宋体"/>
      <w:kern w:val="0"/>
      <w:sz w:val="24"/>
      <w:lang w:val="en-GB"/>
    </w:rPr>
  </w:style>
  <w:style w:type="paragraph" w:customStyle="1" w:styleId="61">
    <w:name w:val="正文缩进1"/>
    <w:basedOn w:val="1"/>
    <w:link w:val="235"/>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2">
    <w:name w:val="正文表格"/>
    <w:basedOn w:val="1"/>
    <w:link w:val="238"/>
    <w:qFormat/>
    <w:uiPriority w:val="0"/>
    <w:pPr>
      <w:adjustRightInd w:val="0"/>
      <w:snapToGrid w:val="0"/>
      <w:jc w:val="left"/>
    </w:pPr>
    <w:rPr>
      <w:rFonts w:ascii="宋体" w:hAnsi="宋体"/>
      <w:color w:val="000000"/>
      <w:szCs w:val="21"/>
    </w:rPr>
  </w:style>
  <w:style w:type="paragraph" w:customStyle="1" w:styleId="63">
    <w:name w:val="正文重点"/>
    <w:basedOn w:val="1"/>
    <w:link w:val="239"/>
    <w:qFormat/>
    <w:uiPriority w:val="0"/>
    <w:pPr>
      <w:adjustRightInd w:val="0"/>
      <w:spacing w:line="360" w:lineRule="auto"/>
      <w:ind w:firstLine="482" w:firstLineChars="200"/>
      <w:jc w:val="left"/>
      <w:textAlignment w:val="baseline"/>
    </w:pPr>
    <w:rPr>
      <w:b/>
      <w:kern w:val="0"/>
      <w:sz w:val="24"/>
      <w:szCs w:val="20"/>
    </w:rPr>
  </w:style>
  <w:style w:type="paragraph" w:customStyle="1" w:styleId="64">
    <w:name w:val="1"/>
    <w:link w:val="251"/>
    <w:qFormat/>
    <w:uiPriority w:val="0"/>
    <w:rPr>
      <w:rFonts w:ascii="Times New Roman" w:hAnsi="Times New Roman" w:eastAsia="宋体" w:cs="Times New Roman"/>
      <w:kern w:val="2"/>
      <w:sz w:val="21"/>
      <w:szCs w:val="24"/>
      <w:lang w:val="zh-CN" w:eastAsia="zh-CN" w:bidi="ar-SA"/>
    </w:rPr>
  </w:style>
  <w:style w:type="paragraph" w:customStyle="1" w:styleId="65">
    <w:name w:val="Char Char Char1"/>
    <w:basedOn w:val="1"/>
    <w:qFormat/>
    <w:uiPriority w:val="0"/>
    <w:rPr>
      <w:rFonts w:ascii="Tahoma" w:hAnsi="Tahoma"/>
      <w:sz w:val="24"/>
      <w:szCs w:val="20"/>
    </w:rPr>
  </w:style>
  <w:style w:type="paragraph" w:customStyle="1" w:styleId="66">
    <w:name w:val="Char3 Char Char Char"/>
    <w:basedOn w:val="1"/>
    <w:qFormat/>
    <w:uiPriority w:val="0"/>
    <w:rPr>
      <w:rFonts w:ascii="Tahoma" w:hAnsi="Tahoma"/>
      <w:sz w:val="24"/>
      <w:szCs w:val="20"/>
    </w:rPr>
  </w:style>
  <w:style w:type="paragraph" w:customStyle="1" w:styleId="67">
    <w:name w:val="一级条标题"/>
    <w:basedOn w:val="68"/>
    <w:next w:val="1"/>
    <w:qFormat/>
    <w:uiPriority w:val="0"/>
    <w:pPr>
      <w:numPr>
        <w:ilvl w:val="1"/>
      </w:numPr>
      <w:tabs>
        <w:tab w:val="left" w:pos="360"/>
        <w:tab w:val="left" w:pos="840"/>
      </w:tabs>
      <w:ind w:left="0" w:hanging="840"/>
      <w:outlineLvl w:val="1"/>
    </w:pPr>
  </w:style>
  <w:style w:type="paragraph" w:customStyle="1" w:styleId="6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71">
    <w:name w:val="默认段落字体 Para Char Char Char Char"/>
    <w:basedOn w:val="1"/>
    <w:qFormat/>
    <w:uiPriority w:val="0"/>
    <w:rPr>
      <w:rFonts w:ascii="Arial" w:hAnsi="Arial" w:cs="Arial"/>
      <w:szCs w:val="21"/>
    </w:rPr>
  </w:style>
  <w:style w:type="paragraph" w:customStyle="1" w:styleId="72">
    <w:name w:val="二级条标题"/>
    <w:basedOn w:val="67"/>
    <w:next w:val="1"/>
    <w:qFormat/>
    <w:uiPriority w:val="0"/>
    <w:pPr>
      <w:numPr>
        <w:ilvl w:val="0"/>
        <w:numId w:val="0"/>
      </w:numPr>
      <w:ind w:hanging="840"/>
      <w:outlineLvl w:val="2"/>
    </w:pPr>
    <w:rPr>
      <w:rFonts w:ascii="宋体" w:eastAsia="宋体"/>
      <w:b w:val="0"/>
    </w:rPr>
  </w:style>
  <w:style w:type="paragraph" w:customStyle="1" w:styleId="7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4">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7">
    <w:name w:val="缺省文本"/>
    <w:basedOn w:val="1"/>
    <w:qFormat/>
    <w:uiPriority w:val="0"/>
    <w:pPr>
      <w:autoSpaceDE w:val="0"/>
      <w:autoSpaceDN w:val="0"/>
      <w:adjustRightInd w:val="0"/>
      <w:jc w:val="left"/>
    </w:pPr>
    <w:rPr>
      <w:kern w:val="0"/>
      <w:sz w:val="24"/>
    </w:rPr>
  </w:style>
  <w:style w:type="paragraph" w:customStyle="1" w:styleId="78">
    <w:name w:val="项目编号2"/>
    <w:basedOn w:val="74"/>
    <w:qFormat/>
    <w:uiPriority w:val="0"/>
    <w:pPr>
      <w:numPr>
        <w:numId w:val="3"/>
      </w:numPr>
    </w:pPr>
  </w:style>
  <w:style w:type="paragraph" w:customStyle="1" w:styleId="7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80">
    <w:name w:val="字元 字元"/>
    <w:basedOn w:val="1"/>
    <w:qFormat/>
    <w:uiPriority w:val="0"/>
    <w:rPr>
      <w:rFonts w:ascii="Tahoma" w:hAnsi="Tahoma"/>
      <w:sz w:val="24"/>
      <w:szCs w:val="20"/>
    </w:rPr>
  </w:style>
  <w:style w:type="paragraph" w:customStyle="1" w:styleId="8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2">
    <w:name w:val="图中文字"/>
    <w:basedOn w:val="1"/>
    <w:qFormat/>
    <w:uiPriority w:val="0"/>
    <w:pPr>
      <w:adjustRightInd w:val="0"/>
      <w:snapToGrid w:val="0"/>
      <w:spacing w:line="0" w:lineRule="atLeast"/>
      <w:jc w:val="center"/>
    </w:pPr>
    <w:rPr>
      <w:sz w:val="24"/>
      <w:szCs w:val="20"/>
    </w:rPr>
  </w:style>
  <w:style w:type="paragraph" w:customStyle="1" w:styleId="83">
    <w:name w:val="Char Char Char"/>
    <w:basedOn w:val="1"/>
    <w:qFormat/>
    <w:uiPriority w:val="0"/>
    <w:rPr>
      <w:rFonts w:ascii="Tahoma" w:hAnsi="Tahoma"/>
      <w:sz w:val="24"/>
      <w:szCs w:val="20"/>
    </w:rPr>
  </w:style>
  <w:style w:type="paragraph" w:customStyle="1" w:styleId="8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5">
    <w:name w:val="四级条标题"/>
    <w:basedOn w:val="86"/>
    <w:next w:val="1"/>
    <w:qFormat/>
    <w:uiPriority w:val="0"/>
    <w:pPr>
      <w:numPr>
        <w:ilvl w:val="4"/>
      </w:numPr>
      <w:tabs>
        <w:tab w:val="left" w:pos="360"/>
        <w:tab w:val="left" w:pos="840"/>
      </w:tabs>
      <w:ind w:left="0" w:hanging="840"/>
      <w:outlineLvl w:val="4"/>
    </w:pPr>
  </w:style>
  <w:style w:type="paragraph" w:customStyle="1" w:styleId="86">
    <w:name w:val="三级条标题"/>
    <w:basedOn w:val="72"/>
    <w:next w:val="1"/>
    <w:qFormat/>
    <w:uiPriority w:val="0"/>
    <w:pPr>
      <w:numPr>
        <w:ilvl w:val="3"/>
        <w:numId w:val="1"/>
      </w:numPr>
      <w:ind w:left="0" w:hanging="840"/>
      <w:outlineLvl w:val="3"/>
    </w:pPr>
  </w:style>
  <w:style w:type="paragraph" w:customStyle="1" w:styleId="8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Char2"/>
    <w:basedOn w:val="1"/>
    <w:qFormat/>
    <w:uiPriority w:val="0"/>
    <w:rPr>
      <w:rFonts w:ascii="Tahoma" w:hAnsi="Tahoma"/>
      <w:sz w:val="24"/>
      <w:szCs w:val="20"/>
    </w:rPr>
  </w:style>
  <w:style w:type="paragraph" w:customStyle="1" w:styleId="9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2">
    <w:name w:val="样式2"/>
    <w:basedOn w:val="40"/>
    <w:qFormat/>
    <w:uiPriority w:val="0"/>
    <w:pPr>
      <w:spacing w:line="360" w:lineRule="auto"/>
      <w:jc w:val="center"/>
    </w:pPr>
    <w:rPr>
      <w:sz w:val="24"/>
    </w:rPr>
  </w:style>
  <w:style w:type="paragraph" w:customStyle="1" w:styleId="9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五级条标题"/>
    <w:basedOn w:val="85"/>
    <w:next w:val="1"/>
    <w:qFormat/>
    <w:uiPriority w:val="0"/>
    <w:pPr>
      <w:numPr>
        <w:ilvl w:val="5"/>
      </w:numPr>
      <w:ind w:left="0" w:hanging="840"/>
      <w:outlineLvl w:val="5"/>
    </w:p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项目符号1"/>
    <w:basedOn w:val="99"/>
    <w:qFormat/>
    <w:uiPriority w:val="0"/>
    <w:pPr>
      <w:ind w:left="-25" w:firstLine="0"/>
    </w:pPr>
  </w:style>
  <w:style w:type="paragraph" w:customStyle="1" w:styleId="99">
    <w:name w:val="正文文本样式"/>
    <w:basedOn w:val="1"/>
    <w:qFormat/>
    <w:uiPriority w:val="0"/>
    <w:pPr>
      <w:spacing w:line="360" w:lineRule="auto"/>
      <w:ind w:firstLine="482"/>
    </w:pPr>
    <w:rPr>
      <w:rFonts w:cs="宋体"/>
      <w:sz w:val="24"/>
      <w:szCs w:val="20"/>
    </w:rPr>
  </w:style>
  <w:style w:type="paragraph" w:customStyle="1" w:styleId="10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9">
    <w:name w:val="1名"/>
    <w:basedOn w:val="1"/>
    <w:qFormat/>
    <w:uiPriority w:val="0"/>
    <w:pPr>
      <w:numPr>
        <w:ilvl w:val="0"/>
        <w:numId w:val="4"/>
      </w:numPr>
      <w:spacing w:before="120"/>
    </w:pPr>
    <w:rPr>
      <w:rFonts w:ascii="宋体"/>
      <w:sz w:val="28"/>
      <w:szCs w:val="20"/>
    </w:rPr>
  </w:style>
  <w:style w:type="paragraph" w:customStyle="1" w:styleId="11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2">
    <w:name w:val="font8"/>
    <w:basedOn w:val="1"/>
    <w:qFormat/>
    <w:uiPriority w:val="0"/>
    <w:pPr>
      <w:widowControl/>
      <w:spacing w:before="100" w:beforeAutospacing="1" w:after="100" w:afterAutospacing="1"/>
      <w:jc w:val="left"/>
    </w:pPr>
    <w:rPr>
      <w:kern w:val="0"/>
      <w:sz w:val="36"/>
      <w:szCs w:val="36"/>
    </w:rPr>
  </w:style>
  <w:style w:type="paragraph" w:customStyle="1" w:styleId="113">
    <w:name w:val="Char Char Char Char Char Char Char Char Char Char"/>
    <w:basedOn w:val="1"/>
    <w:qFormat/>
    <w:uiPriority w:val="0"/>
  </w:style>
  <w:style w:type="paragraph" w:customStyle="1" w:styleId="114">
    <w:name w:val="Char"/>
    <w:basedOn w:val="1"/>
    <w:qFormat/>
    <w:uiPriority w:val="0"/>
    <w:pPr>
      <w:tabs>
        <w:tab w:val="left" w:pos="360"/>
      </w:tabs>
    </w:pPr>
    <w:rPr>
      <w:sz w:val="24"/>
    </w:rPr>
  </w:style>
  <w:style w:type="paragraph" w:customStyle="1" w:styleId="11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1"/>
    <w:basedOn w:val="16"/>
    <w:qFormat/>
    <w:uiPriority w:val="0"/>
    <w:rPr>
      <w:rFonts w:ascii="Tahoma" w:hAnsi="Tahoma"/>
      <w:sz w:val="24"/>
    </w:rPr>
  </w:style>
  <w:style w:type="paragraph" w:customStyle="1" w:styleId="11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Char1 Char Char Char1"/>
    <w:basedOn w:val="1"/>
    <w:qFormat/>
    <w:uiPriority w:val="0"/>
    <w:rPr>
      <w:rFonts w:ascii="Tahoma" w:hAnsi="Tahoma" w:cs="仿宋_GB2312"/>
      <w:sz w:val="24"/>
      <w:szCs w:val="28"/>
    </w:rPr>
  </w:style>
  <w:style w:type="paragraph" w:customStyle="1" w:styleId="12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21">
    <w:name w:val="样式 标题 2 + 宋体 五号 行距: 单倍行距"/>
    <w:basedOn w:val="5"/>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9">
    <w:name w:val="Char Char Char1 Char"/>
    <w:basedOn w:val="1"/>
    <w:qFormat/>
    <w:uiPriority w:val="0"/>
    <w:rPr>
      <w:rFonts w:ascii="Tahoma" w:hAnsi="Tahoma"/>
      <w:sz w:val="24"/>
      <w:szCs w:val="20"/>
    </w:rPr>
  </w:style>
  <w:style w:type="paragraph" w:customStyle="1" w:styleId="130">
    <w:name w:val="Char Char Char1 Char1"/>
    <w:basedOn w:val="1"/>
    <w:qFormat/>
    <w:uiPriority w:val="0"/>
    <w:rPr>
      <w:rFonts w:ascii="Tahoma" w:hAnsi="Tahoma"/>
      <w:sz w:val="24"/>
      <w:szCs w:val="20"/>
    </w:rPr>
  </w:style>
  <w:style w:type="paragraph" w:customStyle="1" w:styleId="131">
    <w:name w:val="Char1"/>
    <w:basedOn w:val="1"/>
    <w:qFormat/>
    <w:uiPriority w:val="0"/>
    <w:pPr>
      <w:tabs>
        <w:tab w:val="left" w:pos="360"/>
      </w:tabs>
    </w:pPr>
    <w:rPr>
      <w:sz w:val="24"/>
    </w:rPr>
  </w:style>
  <w:style w:type="paragraph" w:customStyle="1" w:styleId="13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0">
    <w:name w:val="正文 + 楷体_GB2312"/>
    <w:basedOn w:val="1"/>
    <w:qFormat/>
    <w:uiPriority w:val="0"/>
    <w:pPr>
      <w:widowControl/>
      <w:jc w:val="left"/>
    </w:pPr>
    <w:rPr>
      <w:rFonts w:ascii="楷体_GB2312" w:eastAsia="楷体_GB2312" w:cs="Arial"/>
      <w:kern w:val="0"/>
      <w:sz w:val="24"/>
    </w:rPr>
  </w:style>
  <w:style w:type="paragraph" w:customStyle="1" w:styleId="1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2">
    <w:name w:val="1 Char Char Char Char"/>
    <w:basedOn w:val="1"/>
    <w:qFormat/>
    <w:uiPriority w:val="0"/>
    <w:rPr>
      <w:rFonts w:ascii="Tahoma" w:hAnsi="Tahoma"/>
      <w:sz w:val="24"/>
      <w:szCs w:val="20"/>
    </w:rPr>
  </w:style>
  <w:style w:type="paragraph" w:customStyle="1" w:styleId="143">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5">
    <w:name w:val="列出段落1"/>
    <w:basedOn w:val="1"/>
    <w:qFormat/>
    <w:uiPriority w:val="0"/>
    <w:pPr>
      <w:ind w:firstLine="420" w:firstLineChars="200"/>
    </w:pPr>
    <w:rPr>
      <w:rFonts w:ascii="Calibri" w:hAnsi="Calibri"/>
      <w:szCs w:val="22"/>
    </w:rPr>
  </w:style>
  <w:style w:type="paragraph" w:customStyle="1" w:styleId="14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字元 字元1"/>
    <w:basedOn w:val="1"/>
    <w:qFormat/>
    <w:uiPriority w:val="0"/>
    <w:rPr>
      <w:rFonts w:ascii="Tahoma" w:hAnsi="Tahoma"/>
      <w:sz w:val="24"/>
      <w:szCs w:val="20"/>
    </w:rPr>
  </w:style>
  <w:style w:type="paragraph" w:customStyle="1" w:styleId="148">
    <w:name w:val="_Style 160"/>
    <w:qFormat/>
    <w:uiPriority w:val="0"/>
    <w:rPr>
      <w:rFonts w:ascii="Times New Roman" w:hAnsi="Times New Roman" w:eastAsia="宋体" w:cs="Times New Roman"/>
      <w:kern w:val="2"/>
      <w:sz w:val="21"/>
      <w:szCs w:val="24"/>
      <w:lang w:val="en-US" w:eastAsia="zh-CN" w:bidi="ar-SA"/>
    </w:rPr>
  </w:style>
  <w:style w:type="paragraph" w:customStyle="1" w:styleId="149">
    <w:name w:val="项目编号3"/>
    <w:basedOn w:val="99"/>
    <w:qFormat/>
    <w:uiPriority w:val="0"/>
    <w:pPr>
      <w:numPr>
        <w:ilvl w:val="0"/>
        <w:numId w:val="6"/>
      </w:numPr>
    </w:pPr>
  </w:style>
  <w:style w:type="paragraph" w:customStyle="1" w:styleId="150">
    <w:name w:val="Char21"/>
    <w:basedOn w:val="1"/>
    <w:qFormat/>
    <w:uiPriority w:val="0"/>
    <w:rPr>
      <w:rFonts w:ascii="Tahoma" w:hAnsi="Tahoma"/>
      <w:sz w:val="24"/>
      <w:szCs w:val="20"/>
    </w:rPr>
  </w:style>
  <w:style w:type="paragraph" w:customStyle="1" w:styleId="15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52">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53">
    <w:name w:val="Char Char Char Char Char Char Char Char Char Char1"/>
    <w:basedOn w:val="1"/>
    <w:qFormat/>
    <w:uiPriority w:val="0"/>
    <w:rPr>
      <w:rFonts w:ascii="宋体" w:hAnsi="宋体" w:cs="Courier New"/>
      <w:sz w:val="32"/>
      <w:szCs w:val="32"/>
    </w:rPr>
  </w:style>
  <w:style w:type="paragraph" w:customStyle="1" w:styleId="154">
    <w:name w:val="正文文本样式 加粗"/>
    <w:basedOn w:val="99"/>
    <w:qFormat/>
    <w:uiPriority w:val="0"/>
    <w:rPr>
      <w:b/>
    </w:rPr>
  </w:style>
  <w:style w:type="paragraph" w:customStyle="1" w:styleId="15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Char2 Char Char Char Char Char Char"/>
    <w:basedOn w:val="1"/>
    <w:qFormat/>
    <w:uiPriority w:val="0"/>
    <w:pPr>
      <w:widowControl/>
      <w:spacing w:line="400" w:lineRule="exact"/>
      <w:jc w:val="center"/>
    </w:pPr>
  </w:style>
  <w:style w:type="paragraph" w:customStyle="1" w:styleId="157">
    <w:name w:val="Char Char4"/>
    <w:basedOn w:val="1"/>
    <w:qFormat/>
    <w:uiPriority w:val="0"/>
    <w:pPr>
      <w:widowControl/>
      <w:spacing w:line="400" w:lineRule="exact"/>
      <w:jc w:val="center"/>
    </w:pPr>
  </w:style>
  <w:style w:type="paragraph" w:customStyle="1" w:styleId="158">
    <w:name w:val="Char3 Char Char Char1"/>
    <w:basedOn w:val="1"/>
    <w:qFormat/>
    <w:uiPriority w:val="0"/>
    <w:rPr>
      <w:rFonts w:ascii="Tahoma" w:hAnsi="Tahoma"/>
      <w:sz w:val="24"/>
      <w:szCs w:val="20"/>
    </w:rPr>
  </w:style>
  <w:style w:type="paragraph" w:styleId="15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61">
    <w:name w:val="图例"/>
    <w:basedOn w:val="1"/>
    <w:qFormat/>
    <w:uiPriority w:val="0"/>
    <w:pPr>
      <w:spacing w:before="120" w:after="120" w:line="360" w:lineRule="auto"/>
      <w:jc w:val="center"/>
    </w:pPr>
    <w:rPr>
      <w:rFonts w:eastAsia="仿宋_GB2312"/>
      <w:b/>
      <w:sz w:val="24"/>
      <w:szCs w:val="20"/>
    </w:rPr>
  </w:style>
  <w:style w:type="paragraph" w:customStyle="1" w:styleId="162">
    <w:name w:val="图文"/>
    <w:basedOn w:val="1"/>
    <w:qFormat/>
    <w:uiPriority w:val="0"/>
    <w:pPr>
      <w:adjustRightInd w:val="0"/>
      <w:snapToGrid w:val="0"/>
      <w:spacing w:after="50" w:line="360" w:lineRule="auto"/>
    </w:pPr>
    <w:rPr>
      <w:sz w:val="24"/>
    </w:rPr>
  </w:style>
  <w:style w:type="paragraph" w:customStyle="1" w:styleId="163">
    <w:name w:val="Char22"/>
    <w:basedOn w:val="1"/>
    <w:qFormat/>
    <w:uiPriority w:val="0"/>
    <w:rPr>
      <w:rFonts w:ascii="Tahoma" w:hAnsi="Tahoma"/>
      <w:sz w:val="24"/>
      <w:szCs w:val="20"/>
    </w:rPr>
  </w:style>
  <w:style w:type="paragraph" w:customStyle="1" w:styleId="16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5">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标题1-附件"/>
    <w:basedOn w:val="4"/>
    <w:qFormat/>
    <w:uiPriority w:val="0"/>
    <w:pPr>
      <w:jc w:val="left"/>
    </w:pPr>
    <w:rPr>
      <w:sz w:val="24"/>
      <w:szCs w:val="24"/>
    </w:rPr>
  </w:style>
  <w:style w:type="paragraph" w:customStyle="1" w:styleId="167">
    <w:name w:val="Char3"/>
    <w:basedOn w:val="1"/>
    <w:qFormat/>
    <w:uiPriority w:val="0"/>
    <w:pPr>
      <w:tabs>
        <w:tab w:val="left" w:pos="360"/>
      </w:tabs>
    </w:pPr>
    <w:rPr>
      <w:sz w:val="24"/>
    </w:rPr>
  </w:style>
  <w:style w:type="paragraph" w:customStyle="1" w:styleId="16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6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7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171">
    <w:name w:val="表格1"/>
    <w:basedOn w:val="1"/>
    <w:qFormat/>
    <w:uiPriority w:val="0"/>
    <w:pPr>
      <w:ind w:firstLine="480" w:firstLineChars="200"/>
      <w:jc w:val="center"/>
    </w:pPr>
    <w:rPr>
      <w:sz w:val="24"/>
      <w:szCs w:val="20"/>
    </w:rPr>
  </w:style>
  <w:style w:type="paragraph" w:customStyle="1" w:styleId="172">
    <w:name w:val="字元 字元2"/>
    <w:basedOn w:val="1"/>
    <w:qFormat/>
    <w:uiPriority w:val="0"/>
    <w:rPr>
      <w:rFonts w:ascii="Tahoma" w:hAnsi="Tahoma"/>
      <w:sz w:val="24"/>
      <w:szCs w:val="20"/>
    </w:rPr>
  </w:style>
  <w:style w:type="paragraph" w:customStyle="1" w:styleId="173">
    <w:name w:val="Char3 Char Char Char2"/>
    <w:basedOn w:val="1"/>
    <w:qFormat/>
    <w:uiPriority w:val="0"/>
    <w:rPr>
      <w:rFonts w:ascii="Tahoma" w:hAnsi="Tahoma"/>
      <w:sz w:val="24"/>
      <w:szCs w:val="20"/>
    </w:rPr>
  </w:style>
  <w:style w:type="paragraph" w:customStyle="1" w:styleId="17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5">
    <w:name w:val="列出段落2"/>
    <w:basedOn w:val="1"/>
    <w:qFormat/>
    <w:uiPriority w:val="0"/>
    <w:pPr>
      <w:ind w:firstLine="420" w:firstLineChars="200"/>
    </w:pPr>
    <w:rPr>
      <w:rFonts w:ascii="Calibri" w:hAnsi="Calibri"/>
      <w:szCs w:val="22"/>
    </w:rPr>
  </w:style>
  <w:style w:type="paragraph" w:customStyle="1" w:styleId="176">
    <w:name w:val="Char Char Char1 Char2"/>
    <w:basedOn w:val="1"/>
    <w:qFormat/>
    <w:uiPriority w:val="0"/>
    <w:rPr>
      <w:rFonts w:ascii="Tahoma" w:hAnsi="Tahoma"/>
      <w:sz w:val="24"/>
      <w:szCs w:val="20"/>
    </w:rPr>
  </w:style>
  <w:style w:type="paragraph" w:customStyle="1" w:styleId="177">
    <w:name w:val="Char Char Char2"/>
    <w:basedOn w:val="1"/>
    <w:qFormat/>
    <w:uiPriority w:val="0"/>
    <w:rPr>
      <w:rFonts w:ascii="Tahoma" w:hAnsi="Tahoma"/>
      <w:sz w:val="24"/>
      <w:szCs w:val="20"/>
    </w:rPr>
  </w:style>
  <w:style w:type="paragraph" w:customStyle="1" w:styleId="17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180">
    <w:name w:val="Revision"/>
    <w:qFormat/>
    <w:uiPriority w:val="0"/>
    <w:rPr>
      <w:rFonts w:ascii="Times New Roman" w:hAnsi="Times New Roman" w:eastAsia="宋体" w:cs="Times New Roman"/>
      <w:kern w:val="2"/>
      <w:sz w:val="21"/>
      <w:szCs w:val="24"/>
      <w:lang w:val="en-US" w:eastAsia="zh-CN" w:bidi="ar-SA"/>
    </w:rPr>
  </w:style>
  <w:style w:type="paragraph" w:customStyle="1" w:styleId="181">
    <w:name w:val="Char Char Char Char Char Char Char Char Char Char2"/>
    <w:basedOn w:val="1"/>
    <w:qFormat/>
    <w:uiPriority w:val="0"/>
    <w:rPr>
      <w:rFonts w:ascii="宋体" w:hAnsi="宋体" w:cs="Courier New"/>
      <w:sz w:val="32"/>
      <w:szCs w:val="32"/>
    </w:rPr>
  </w:style>
  <w:style w:type="paragraph" w:customStyle="1" w:styleId="182">
    <w:name w:val="Char2 Char Char Char Char Char Char1"/>
    <w:basedOn w:val="1"/>
    <w:qFormat/>
    <w:uiPriority w:val="0"/>
    <w:pPr>
      <w:widowControl/>
      <w:spacing w:line="400" w:lineRule="exact"/>
      <w:jc w:val="center"/>
    </w:pPr>
  </w:style>
  <w:style w:type="paragraph" w:customStyle="1" w:styleId="183">
    <w:name w:val="Char Char41"/>
    <w:basedOn w:val="1"/>
    <w:qFormat/>
    <w:uiPriority w:val="0"/>
    <w:pPr>
      <w:widowControl/>
      <w:spacing w:line="400" w:lineRule="exact"/>
      <w:jc w:val="center"/>
    </w:pPr>
  </w:style>
  <w:style w:type="paragraph" w:customStyle="1" w:styleId="184">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85">
    <w:name w:val="标题 1 Char"/>
    <w:link w:val="4"/>
    <w:qFormat/>
    <w:uiPriority w:val="0"/>
    <w:rPr>
      <w:rFonts w:ascii="宋体"/>
      <w:b/>
      <w:kern w:val="44"/>
      <w:sz w:val="32"/>
    </w:rPr>
  </w:style>
  <w:style w:type="character" w:customStyle="1" w:styleId="186">
    <w:name w:val="标题 2 Char1"/>
    <w:link w:val="5"/>
    <w:qFormat/>
    <w:uiPriority w:val="0"/>
    <w:rPr>
      <w:rFonts w:ascii="Arial" w:hAnsi="Arial" w:eastAsia="黑体"/>
      <w:b/>
      <w:sz w:val="30"/>
      <w:lang w:val="en-US" w:eastAsia="zh-CN" w:bidi="ar-SA"/>
    </w:rPr>
  </w:style>
  <w:style w:type="character" w:customStyle="1" w:styleId="187">
    <w:name w:val="标题 3 Char1"/>
    <w:link w:val="6"/>
    <w:qFormat/>
    <w:uiPriority w:val="0"/>
    <w:rPr>
      <w:rFonts w:ascii="宋体" w:eastAsia="宋体"/>
      <w:b/>
      <w:sz w:val="24"/>
      <w:u w:val="single"/>
      <w:lang w:val="en-US" w:eastAsia="zh-CN" w:bidi="ar-SA"/>
    </w:rPr>
  </w:style>
  <w:style w:type="character" w:customStyle="1" w:styleId="188">
    <w:name w:val="正文缩进 Char1"/>
    <w:link w:val="7"/>
    <w:qFormat/>
    <w:uiPriority w:val="0"/>
    <w:rPr>
      <w:rFonts w:ascii="宋体" w:eastAsia="宋体"/>
      <w:kern w:val="2"/>
      <w:sz w:val="24"/>
      <w:szCs w:val="24"/>
      <w:lang w:val="en-US" w:eastAsia="zh-CN" w:bidi="ar-SA"/>
    </w:rPr>
  </w:style>
  <w:style w:type="character" w:customStyle="1" w:styleId="189">
    <w:name w:val="标题 4 Char"/>
    <w:link w:val="8"/>
    <w:qFormat/>
    <w:uiPriority w:val="0"/>
    <w:rPr>
      <w:sz w:val="24"/>
    </w:rPr>
  </w:style>
  <w:style w:type="character" w:customStyle="1" w:styleId="190">
    <w:name w:val="标题 5 Char"/>
    <w:link w:val="9"/>
    <w:qFormat/>
    <w:uiPriority w:val="0"/>
    <w:rPr>
      <w:b/>
      <w:sz w:val="28"/>
    </w:rPr>
  </w:style>
  <w:style w:type="character" w:customStyle="1" w:styleId="191">
    <w:name w:val="标题 6 Char"/>
    <w:link w:val="10"/>
    <w:qFormat/>
    <w:uiPriority w:val="0"/>
    <w:rPr>
      <w:rFonts w:ascii="Arial" w:hAnsi="Arial" w:eastAsia="黑体"/>
      <w:b/>
      <w:sz w:val="24"/>
    </w:rPr>
  </w:style>
  <w:style w:type="character" w:customStyle="1" w:styleId="192">
    <w:name w:val="标题 7 Char"/>
    <w:link w:val="11"/>
    <w:qFormat/>
    <w:uiPriority w:val="0"/>
    <w:rPr>
      <w:b/>
      <w:sz w:val="24"/>
    </w:rPr>
  </w:style>
  <w:style w:type="character" w:customStyle="1" w:styleId="193">
    <w:name w:val="标题 8 Char"/>
    <w:link w:val="12"/>
    <w:qFormat/>
    <w:uiPriority w:val="0"/>
    <w:rPr>
      <w:rFonts w:ascii="Arial" w:hAnsi="Arial" w:eastAsia="黑体"/>
      <w:sz w:val="24"/>
    </w:rPr>
  </w:style>
  <w:style w:type="character" w:customStyle="1" w:styleId="194">
    <w:name w:val="标题 9 Char"/>
    <w:link w:val="13"/>
    <w:qFormat/>
    <w:uiPriority w:val="0"/>
    <w:rPr>
      <w:rFonts w:ascii="Arial" w:hAnsi="Arial" w:eastAsia="黑体"/>
      <w:sz w:val="21"/>
    </w:rPr>
  </w:style>
  <w:style w:type="character" w:customStyle="1" w:styleId="195">
    <w:name w:val="文档结构图 Char"/>
    <w:link w:val="16"/>
    <w:qFormat/>
    <w:uiPriority w:val="0"/>
    <w:rPr>
      <w:kern w:val="2"/>
      <w:sz w:val="21"/>
      <w:szCs w:val="24"/>
      <w:shd w:val="clear" w:color="auto" w:fill="000080"/>
    </w:rPr>
  </w:style>
  <w:style w:type="character" w:customStyle="1" w:styleId="196">
    <w:name w:val="批注文字 Char1"/>
    <w:link w:val="17"/>
    <w:qFormat/>
    <w:uiPriority w:val="99"/>
    <w:rPr>
      <w:kern w:val="2"/>
      <w:sz w:val="21"/>
      <w:szCs w:val="24"/>
    </w:rPr>
  </w:style>
  <w:style w:type="character" w:customStyle="1" w:styleId="197">
    <w:name w:val="正文文本 3 Char"/>
    <w:link w:val="19"/>
    <w:qFormat/>
    <w:uiPriority w:val="0"/>
    <w:rPr>
      <w:kern w:val="2"/>
      <w:sz w:val="16"/>
      <w:szCs w:val="16"/>
    </w:rPr>
  </w:style>
  <w:style w:type="character" w:customStyle="1" w:styleId="198">
    <w:name w:val="正文文本 Char"/>
    <w:link w:val="2"/>
    <w:qFormat/>
    <w:uiPriority w:val="0"/>
    <w:rPr>
      <w:rFonts w:ascii="宋体" w:hAnsi="宋体"/>
      <w:kern w:val="2"/>
      <w:sz w:val="24"/>
      <w:szCs w:val="24"/>
    </w:rPr>
  </w:style>
  <w:style w:type="character" w:customStyle="1" w:styleId="199">
    <w:name w:val="正文文本缩进 Char2"/>
    <w:link w:val="20"/>
    <w:qFormat/>
    <w:uiPriority w:val="0"/>
    <w:rPr>
      <w:rFonts w:eastAsia="宋体"/>
      <w:kern w:val="2"/>
      <w:sz w:val="24"/>
      <w:szCs w:val="24"/>
      <w:lang w:val="en-US" w:eastAsia="zh-CN" w:bidi="ar-SA"/>
    </w:rPr>
  </w:style>
  <w:style w:type="character" w:customStyle="1" w:styleId="200">
    <w:name w:val="纯文本 Char"/>
    <w:link w:val="25"/>
    <w:qFormat/>
    <w:uiPriority w:val="0"/>
    <w:rPr>
      <w:rFonts w:hint="eastAsia" w:ascii="宋体" w:hAnsi="Courier New" w:eastAsia="宋体" w:cs="宋体"/>
      <w:kern w:val="2"/>
      <w:sz w:val="21"/>
    </w:rPr>
  </w:style>
  <w:style w:type="character" w:customStyle="1" w:styleId="201">
    <w:name w:val="日期 Char"/>
    <w:link w:val="27"/>
    <w:qFormat/>
    <w:uiPriority w:val="0"/>
    <w:rPr>
      <w:rFonts w:ascii="仿宋_GB2312" w:hAnsi="宋体" w:eastAsia="仿宋_GB2312"/>
      <w:color w:val="000000"/>
      <w:kern w:val="2"/>
      <w:sz w:val="24"/>
      <w:szCs w:val="24"/>
    </w:rPr>
  </w:style>
  <w:style w:type="character" w:customStyle="1" w:styleId="202">
    <w:name w:val="正文文本缩进 2 Char"/>
    <w:link w:val="28"/>
    <w:qFormat/>
    <w:uiPriority w:val="0"/>
    <w:rPr>
      <w:rFonts w:ascii="仿宋_GB2312" w:eastAsia="仿宋_GB2312"/>
      <w:kern w:val="2"/>
      <w:sz w:val="24"/>
      <w:szCs w:val="24"/>
    </w:rPr>
  </w:style>
  <w:style w:type="character" w:customStyle="1" w:styleId="203">
    <w:name w:val="批注框文本 Char"/>
    <w:link w:val="29"/>
    <w:qFormat/>
    <w:uiPriority w:val="0"/>
    <w:rPr>
      <w:kern w:val="2"/>
      <w:sz w:val="18"/>
      <w:szCs w:val="18"/>
    </w:rPr>
  </w:style>
  <w:style w:type="character" w:customStyle="1" w:styleId="204">
    <w:name w:val="页脚 Char1"/>
    <w:link w:val="30"/>
    <w:qFormat/>
    <w:uiPriority w:val="99"/>
    <w:rPr>
      <w:rFonts w:ascii="宋体" w:eastAsia="宋体"/>
      <w:sz w:val="18"/>
      <w:lang w:val="en-US" w:eastAsia="zh-CN" w:bidi="ar-SA"/>
    </w:rPr>
  </w:style>
  <w:style w:type="character" w:customStyle="1" w:styleId="205">
    <w:name w:val="页眉 Char1"/>
    <w:link w:val="31"/>
    <w:qFormat/>
    <w:uiPriority w:val="0"/>
    <w:rPr>
      <w:rFonts w:eastAsia="宋体"/>
      <w:kern w:val="2"/>
      <w:sz w:val="18"/>
      <w:szCs w:val="18"/>
      <w:lang w:val="en-US" w:eastAsia="zh-CN" w:bidi="ar-SA"/>
    </w:rPr>
  </w:style>
  <w:style w:type="character" w:customStyle="1" w:styleId="206">
    <w:name w:val="正文文本缩进 3 Char"/>
    <w:link w:val="35"/>
    <w:qFormat/>
    <w:uiPriority w:val="0"/>
    <w:rPr>
      <w:rFonts w:ascii="宋体"/>
      <w:sz w:val="24"/>
    </w:rPr>
  </w:style>
  <w:style w:type="character" w:customStyle="1" w:styleId="207">
    <w:name w:val="HTML 预设格式 Char"/>
    <w:link w:val="38"/>
    <w:qFormat/>
    <w:uiPriority w:val="0"/>
    <w:rPr>
      <w:rFonts w:ascii="宋体" w:hAnsi="宋体" w:cs="宋体"/>
      <w:sz w:val="24"/>
      <w:szCs w:val="24"/>
    </w:rPr>
  </w:style>
  <w:style w:type="character" w:customStyle="1" w:styleId="208">
    <w:name w:val="标题 Char1"/>
    <w:link w:val="41"/>
    <w:qFormat/>
    <w:uiPriority w:val="0"/>
    <w:rPr>
      <w:b/>
      <w:kern w:val="2"/>
      <w:sz w:val="32"/>
    </w:rPr>
  </w:style>
  <w:style w:type="character" w:customStyle="1" w:styleId="209">
    <w:name w:val="批注主题 Char"/>
    <w:link w:val="42"/>
    <w:qFormat/>
    <w:uiPriority w:val="0"/>
    <w:rPr>
      <w:rFonts w:ascii="Times New Roman" w:hAnsi="Times New Roman" w:eastAsia="宋体" w:cs="Times New Roman"/>
      <w:b/>
      <w:bCs/>
      <w:kern w:val="2"/>
      <w:sz w:val="21"/>
      <w:szCs w:val="24"/>
      <w:lang w:val="en-US" w:eastAsia="zh-CN" w:bidi="ar-SA"/>
    </w:rPr>
  </w:style>
  <w:style w:type="character" w:customStyle="1" w:styleId="210">
    <w:name w:val="正文首行缩进 2 Char"/>
    <w:link w:val="43"/>
    <w:qFormat/>
    <w:uiPriority w:val="0"/>
    <w:rPr>
      <w:rFonts w:eastAsia="宋体"/>
      <w:kern w:val="2"/>
      <w:sz w:val="24"/>
      <w:szCs w:val="24"/>
      <w:lang w:val="en-US" w:eastAsia="zh-CN" w:bidi="ar-SA"/>
    </w:rPr>
  </w:style>
  <w:style w:type="character" w:customStyle="1" w:styleId="211">
    <w:name w:val="c21"/>
    <w:qFormat/>
    <w:uiPriority w:val="0"/>
    <w:rPr>
      <w:rFonts w:hint="default" w:ascii="ˎ̥" w:hAnsi="ˎ̥"/>
      <w:color w:val="000000"/>
      <w:sz w:val="20"/>
      <w:szCs w:val="20"/>
      <w:u w:val="none"/>
    </w:rPr>
  </w:style>
  <w:style w:type="character" w:customStyle="1" w:styleId="212">
    <w:name w:val="批注文字 Char"/>
    <w:qFormat/>
    <w:uiPriority w:val="99"/>
    <w:rPr>
      <w:kern w:val="2"/>
      <w:sz w:val="21"/>
      <w:szCs w:val="24"/>
    </w:rPr>
  </w:style>
  <w:style w:type="character" w:customStyle="1" w:styleId="213">
    <w:name w:val="页眉 Char"/>
    <w:qFormat/>
    <w:uiPriority w:val="0"/>
    <w:rPr>
      <w:rFonts w:eastAsia="宋体"/>
      <w:kern w:val="2"/>
      <w:sz w:val="18"/>
      <w:szCs w:val="18"/>
      <w:lang w:val="en-US" w:eastAsia="zh-CN" w:bidi="ar-SA"/>
    </w:rPr>
  </w:style>
  <w:style w:type="character" w:customStyle="1" w:styleId="214">
    <w:name w:val="注释 Char"/>
    <w:link w:val="55"/>
    <w:qFormat/>
    <w:uiPriority w:val="0"/>
    <w:rPr>
      <w:rFonts w:ascii="宋体" w:hAnsi="宋体"/>
      <w:kern w:val="2"/>
      <w:sz w:val="21"/>
      <w:szCs w:val="21"/>
    </w:rPr>
  </w:style>
  <w:style w:type="character" w:customStyle="1" w:styleId="215">
    <w:name w:val="cf01"/>
    <w:qFormat/>
    <w:uiPriority w:val="0"/>
    <w:rPr>
      <w:rFonts w:hint="eastAsia" w:ascii="Microsoft YaHei UI" w:hAnsi="Microsoft YaHei UI" w:eastAsia="Microsoft YaHei UI"/>
      <w:sz w:val="18"/>
      <w:szCs w:val="18"/>
    </w:rPr>
  </w:style>
  <w:style w:type="character" w:customStyle="1" w:styleId="216">
    <w:name w:val="批注文字 字符"/>
    <w:qFormat/>
    <w:uiPriority w:val="99"/>
    <w:rPr>
      <w:rFonts w:ascii="Times New Roman" w:hAnsi="Times New Roman" w:eastAsia="宋体" w:cs="Times New Roman"/>
      <w:sz w:val="24"/>
      <w:lang w:val="en-US" w:eastAsia="zh-CN" w:bidi="ar-SA"/>
    </w:rPr>
  </w:style>
  <w:style w:type="character" w:customStyle="1" w:styleId="217">
    <w:name w:val="标题 2 Char Char"/>
    <w:qFormat/>
    <w:uiPriority w:val="0"/>
    <w:rPr>
      <w:rFonts w:ascii="Arial" w:hAnsi="Arial" w:eastAsia="黑体"/>
      <w:b/>
      <w:bCs/>
      <w:kern w:val="2"/>
      <w:sz w:val="32"/>
      <w:szCs w:val="32"/>
      <w:lang w:val="en-US" w:eastAsia="zh-CN" w:bidi="ar-SA"/>
    </w:rPr>
  </w:style>
  <w:style w:type="character" w:customStyle="1" w:styleId="218">
    <w:name w:val="chanpin1"/>
    <w:qFormat/>
    <w:uiPriority w:val="0"/>
    <w:rPr>
      <w:rFonts w:hint="default" w:ascii="ˎ̥" w:hAnsi="ˎ̥"/>
      <w:color w:val="000000"/>
      <w:sz w:val="20"/>
      <w:szCs w:val="20"/>
      <w:u w:val="none"/>
    </w:rPr>
  </w:style>
  <w:style w:type="character" w:customStyle="1" w:styleId="219">
    <w:name w:val="txt"/>
    <w:qFormat/>
    <w:uiPriority w:val="0"/>
  </w:style>
  <w:style w:type="character" w:customStyle="1" w:styleId="220">
    <w:name w:val="正文文本缩进 Char1"/>
    <w:link w:val="56"/>
    <w:qFormat/>
    <w:uiPriority w:val="0"/>
    <w:rPr>
      <w:rFonts w:ascii="宋体" w:hAnsi="宋体" w:eastAsia="宋体"/>
      <w:sz w:val="24"/>
      <w:szCs w:val="24"/>
      <w:lang w:bidi="ar-SA"/>
    </w:rPr>
  </w:style>
  <w:style w:type="character" w:customStyle="1" w:styleId="221">
    <w:name w:val="普通文字1 Char1"/>
    <w:qFormat/>
    <w:uiPriority w:val="0"/>
    <w:rPr>
      <w:rFonts w:ascii="宋体" w:hAnsi="Courier New" w:eastAsia="宋体"/>
      <w:kern w:val="2"/>
      <w:sz w:val="21"/>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大标题 Char"/>
    <w:link w:val="57"/>
    <w:qFormat/>
    <w:uiPriority w:val="0"/>
    <w:rPr>
      <w:rFonts w:ascii="宋体" w:hAnsi="宋体"/>
      <w:b/>
      <w:color w:val="000000"/>
      <w:kern w:val="2"/>
      <w:sz w:val="28"/>
      <w:szCs w:val="21"/>
    </w:rPr>
  </w:style>
  <w:style w:type="character" w:customStyle="1" w:styleId="224">
    <w:name w:val="正文小标题 Char"/>
    <w:link w:val="58"/>
    <w:qFormat/>
    <w:uiPriority w:val="0"/>
    <w:rPr>
      <w:rFonts w:ascii="宋体" w:hAnsi="宋体"/>
      <w:b/>
      <w:i/>
      <w:color w:val="FF0000"/>
      <w:kern w:val="2"/>
      <w:sz w:val="24"/>
    </w:rPr>
  </w:style>
  <w:style w:type="character" w:customStyle="1" w:styleId="225">
    <w:name w:val="纯文本 Char1"/>
    <w:qFormat/>
    <w:uiPriority w:val="0"/>
    <w:rPr>
      <w:rFonts w:ascii="宋体" w:hAnsi="Courier New" w:eastAsia="宋体"/>
      <w:kern w:val="2"/>
      <w:sz w:val="21"/>
      <w:lang w:val="en-US" w:eastAsia="zh-CN" w:bidi="ar-SA"/>
    </w:rPr>
  </w:style>
  <w:style w:type="character" w:customStyle="1" w:styleId="226">
    <w:name w:val="列出段落 Char1"/>
    <w:link w:val="59"/>
    <w:qFormat/>
    <w:uiPriority w:val="34"/>
    <w:rPr>
      <w:rFonts w:ascii="Calibri" w:hAnsi="Calibri" w:eastAsia="宋体"/>
      <w:kern w:val="2"/>
      <w:sz w:val="21"/>
      <w:szCs w:val="22"/>
      <w:lang w:val="en-US" w:eastAsia="zh-CN" w:bidi="ar-SA"/>
    </w:rPr>
  </w:style>
  <w:style w:type="character" w:customStyle="1" w:styleId="227">
    <w:name w:val="正文格式 Char"/>
    <w:link w:val="60"/>
    <w:qFormat/>
    <w:locked/>
    <w:uiPriority w:val="0"/>
    <w:rPr>
      <w:rFonts w:ascii="宋体" w:hAnsi="宋体"/>
      <w:sz w:val="24"/>
      <w:szCs w:val="24"/>
      <w:lang w:val="en-GB"/>
    </w:rPr>
  </w:style>
  <w:style w:type="character" w:customStyle="1" w:styleId="228">
    <w:name w:val="纯文本 字符1"/>
    <w:qFormat/>
    <w:uiPriority w:val="0"/>
    <w:rPr>
      <w:rFonts w:ascii="宋体" w:hAnsi="Courier New"/>
    </w:rPr>
  </w:style>
  <w:style w:type="character" w:customStyle="1" w:styleId="229">
    <w:name w:val="bjh-p"/>
    <w:qFormat/>
    <w:uiPriority w:val="0"/>
  </w:style>
  <w:style w:type="character" w:customStyle="1" w:styleId="230">
    <w:name w:val="正文缩进 Char"/>
    <w:qFormat/>
    <w:uiPriority w:val="0"/>
    <w:rPr>
      <w:rFonts w:ascii="宋体" w:eastAsia="宋体"/>
      <w:kern w:val="2"/>
      <w:sz w:val="24"/>
      <w:szCs w:val="24"/>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页脚 Char"/>
    <w:qFormat/>
    <w:uiPriority w:val="0"/>
    <w:rPr>
      <w:rFonts w:ascii="宋体" w:eastAsia="宋体"/>
      <w:sz w:val="18"/>
      <w:lang w:val="en-US" w:eastAsia="zh-CN" w:bidi="ar-SA"/>
    </w:rPr>
  </w:style>
  <w:style w:type="character" w:customStyle="1" w:styleId="233">
    <w:name w:val="cf21"/>
    <w:qFormat/>
    <w:uiPriority w:val="0"/>
    <w:rPr>
      <w:rFonts w:hint="eastAsia" w:ascii="Microsoft YaHei UI" w:hAnsi="Microsoft YaHei UI" w:eastAsia="Microsoft YaHei UI"/>
      <w:sz w:val="18"/>
      <w:szCs w:val="18"/>
      <w:shd w:val="clear" w:color="auto" w:fill="FFFFFF"/>
    </w:rPr>
  </w:style>
  <w:style w:type="character" w:customStyle="1" w:styleId="234">
    <w:name w:val="street-address"/>
    <w:qFormat/>
    <w:uiPriority w:val="0"/>
  </w:style>
  <w:style w:type="character" w:customStyle="1" w:styleId="235">
    <w:name w:val="正文缩进 Char Char"/>
    <w:link w:val="61"/>
    <w:qFormat/>
    <w:uiPriority w:val="0"/>
    <w:rPr>
      <w:rFonts w:ascii="宋体" w:eastAsia="宋体"/>
      <w:snapToGrid w:val="0"/>
      <w:color w:val="000000"/>
      <w:kern w:val="28"/>
      <w:sz w:val="28"/>
      <w:lang w:bidi="ar-SA"/>
    </w:rPr>
  </w:style>
  <w:style w:type="character" w:customStyle="1" w:styleId="236">
    <w:name w:val="Char Char11"/>
    <w:qFormat/>
    <w:uiPriority w:val="0"/>
    <w:rPr>
      <w:rFonts w:ascii="宋体" w:eastAsia="宋体"/>
      <w:b/>
      <w:sz w:val="24"/>
      <w:u w:val="single"/>
      <w:lang w:val="en-US" w:eastAsia="zh-CN" w:bidi="ar-SA"/>
    </w:rPr>
  </w:style>
  <w:style w:type="character" w:customStyle="1" w:styleId="237">
    <w:name w:val="title4"/>
    <w:qFormat/>
    <w:uiPriority w:val="0"/>
    <w:rPr>
      <w:b/>
      <w:bCs/>
      <w:color w:val="1D87B3"/>
      <w:sz w:val="15"/>
      <w:szCs w:val="15"/>
    </w:rPr>
  </w:style>
  <w:style w:type="character" w:customStyle="1" w:styleId="238">
    <w:name w:val="正文表格 Char"/>
    <w:link w:val="62"/>
    <w:qFormat/>
    <w:uiPriority w:val="0"/>
    <w:rPr>
      <w:rFonts w:ascii="宋体" w:hAnsi="宋体"/>
      <w:color w:val="000000"/>
      <w:kern w:val="2"/>
      <w:sz w:val="21"/>
      <w:szCs w:val="21"/>
    </w:rPr>
  </w:style>
  <w:style w:type="character" w:customStyle="1" w:styleId="239">
    <w:name w:val="正文重点 Char"/>
    <w:link w:val="63"/>
    <w:qFormat/>
    <w:uiPriority w:val="0"/>
    <w:rPr>
      <w:b/>
      <w:sz w:val="24"/>
    </w:rPr>
  </w:style>
  <w:style w:type="character" w:customStyle="1" w:styleId="240">
    <w:name w:val="标题 2 Char"/>
    <w:qFormat/>
    <w:uiPriority w:val="0"/>
    <w:rPr>
      <w:rFonts w:ascii="Arial" w:hAnsi="Arial" w:eastAsia="黑体"/>
      <w:b/>
      <w:sz w:val="30"/>
      <w:lang w:val="en-US" w:eastAsia="zh-CN" w:bidi="ar-SA"/>
    </w:rPr>
  </w:style>
  <w:style w:type="character" w:customStyle="1" w:styleId="241">
    <w:name w:val="标题 3 Char"/>
    <w:qFormat/>
    <w:uiPriority w:val="0"/>
    <w:rPr>
      <w:rFonts w:ascii="宋体" w:eastAsia="宋体"/>
      <w:b/>
      <w:sz w:val="24"/>
      <w:u w:val="single"/>
      <w:lang w:val="en-US" w:eastAsia="zh-CN" w:bidi="ar-SA"/>
    </w:rPr>
  </w:style>
  <w:style w:type="character" w:customStyle="1" w:styleId="242">
    <w:name w:val="纯文本 字符"/>
    <w:qFormat/>
    <w:uiPriority w:val="99"/>
    <w:rPr>
      <w:rFonts w:ascii="宋体" w:hAnsi="Courier New" w:eastAsia="宋体" w:cs="Times New Roman"/>
      <w:kern w:val="2"/>
      <w:sz w:val="21"/>
      <w:szCs w:val="21"/>
      <w:lang w:val="en-US" w:eastAsia="zh-CN" w:bidi="ar-SA"/>
    </w:rPr>
  </w:style>
  <w:style w:type="character" w:customStyle="1" w:styleId="243">
    <w:name w:val="列出段落 Char"/>
    <w:qFormat/>
    <w:uiPriority w:val="0"/>
    <w:rPr>
      <w:rFonts w:ascii="Calibri" w:hAnsi="Calibri" w:eastAsia="宋体"/>
      <w:kern w:val="2"/>
      <w:sz w:val="21"/>
      <w:szCs w:val="22"/>
      <w:lang w:val="en-US" w:eastAsia="zh-CN" w:bidi="ar-SA"/>
    </w:rPr>
  </w:style>
  <w:style w:type="character" w:customStyle="1" w:styleId="244">
    <w:name w:val="cf11"/>
    <w:qFormat/>
    <w:uiPriority w:val="0"/>
    <w:rPr>
      <w:rFonts w:hint="eastAsia" w:ascii="Microsoft YaHei UI" w:hAnsi="Microsoft YaHei UI" w:eastAsia="Microsoft YaHei UI"/>
      <w:sz w:val="18"/>
      <w:szCs w:val="18"/>
    </w:rPr>
  </w:style>
  <w:style w:type="character" w:customStyle="1" w:styleId="245">
    <w:name w:val="black1"/>
    <w:qFormat/>
    <w:uiPriority w:val="0"/>
    <w:rPr>
      <w:color w:val="000000"/>
    </w:rPr>
  </w:style>
  <w:style w:type="character" w:customStyle="1" w:styleId="246">
    <w:name w:val="locality"/>
    <w:qFormat/>
    <w:uiPriority w:val="0"/>
  </w:style>
  <w:style w:type="character" w:customStyle="1" w:styleId="247">
    <w:name w:val="标题 3 Char Char"/>
    <w:qFormat/>
    <w:uiPriority w:val="0"/>
    <w:rPr>
      <w:rFonts w:eastAsia="宋体"/>
      <w:b/>
      <w:bCs/>
      <w:kern w:val="2"/>
      <w:sz w:val="32"/>
      <w:szCs w:val="32"/>
      <w:lang w:val="en-US" w:eastAsia="zh-CN" w:bidi="ar-SA"/>
    </w:rPr>
  </w:style>
  <w:style w:type="character" w:customStyle="1" w:styleId="248">
    <w:name w:val="段1 Char"/>
    <w:qFormat/>
    <w:uiPriority w:val="0"/>
    <w:rPr>
      <w:rFonts w:ascii="宋体" w:eastAsia="宋体"/>
      <w:sz w:val="24"/>
      <w:lang w:val="en-US" w:eastAsia="zh-CN" w:bidi="ar-SA"/>
    </w:rPr>
  </w:style>
  <w:style w:type="character" w:customStyle="1" w:styleId="249">
    <w:name w:val="chanpin拷贝"/>
    <w:qFormat/>
    <w:uiPriority w:val="0"/>
  </w:style>
  <w:style w:type="character" w:customStyle="1" w:styleId="250">
    <w:name w:val="apple-style-span"/>
    <w:qFormat/>
    <w:uiPriority w:val="0"/>
    <w:rPr>
      <w:rFonts w:cs="Times New Roman"/>
    </w:rPr>
  </w:style>
  <w:style w:type="character" w:customStyle="1" w:styleId="251">
    <w:name w:val="中等深浅网格 1 - 强调文字颜色 2 Char"/>
    <w:link w:val="64"/>
    <w:qFormat/>
    <w:uiPriority w:val="0"/>
    <w:rPr>
      <w:kern w:val="2"/>
      <w:sz w:val="21"/>
      <w:szCs w:val="24"/>
      <w:lang w:val="zh-CN" w:eastAsia="zh-CN"/>
    </w:rPr>
  </w:style>
  <w:style w:type="character" w:customStyle="1" w:styleId="252">
    <w:name w:val="标题 Char"/>
    <w:qFormat/>
    <w:uiPriority w:val="0"/>
    <w:rPr>
      <w:b/>
      <w:kern w:val="2"/>
      <w:sz w:val="32"/>
    </w:rPr>
  </w:style>
  <w:style w:type="table" w:customStyle="1" w:styleId="253">
    <w:name w:val="Table Normal"/>
    <w:unhideWhenUsed/>
    <w:qFormat/>
    <w:uiPriority w:val="2"/>
    <w:pPr>
      <w:widowControl w:val="0"/>
      <w:autoSpaceDE w:val="0"/>
      <w:autoSpaceDN w:val="0"/>
    </w:pPr>
    <w:rPr>
      <w:rFonts w:ascii="Calibri" w:hAnsi="Calibri"/>
      <w:sz w:val="22"/>
      <w:szCs w:val="22"/>
      <w:lang w:val="en-US" w:eastAsia="en-US"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5322</Words>
  <Characters>30339</Characters>
  <Lines>252</Lines>
  <Paragraphs>71</Paragraphs>
  <TotalTime>50</TotalTime>
  <ScaleCrop>false</ScaleCrop>
  <LinksUpToDate>false</LinksUpToDate>
  <CharactersWithSpaces>35590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2024-06-06T09:36:00Z</dcterms:created>
  <dc:creator>Yin Hao</dc:creator>
  <cp:lastModifiedBy>user</cp:lastModifiedBy>
  <cp:lastPrinted>2020-04-03T03:13:00Z</cp:lastPrinted>
  <dcterms:modified xsi:type="dcterms:W3CDTF">2025-04-30T03:27:45Z</dcterms:modified>
  <dc:title>政府采购示范文本（2023）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BABC10992FBC09DC603F0F680C84C8D7_43</vt:lpwstr>
  </property>
  <property fmtid="{D5CDD505-2E9C-101B-9397-08002B2CF9AE}" pid="4" name="KSOTemplateDocerSaveRecord">
    <vt:lpwstr>eyJoZGlkIjoiZGUyZDIxOWVmZjQ4NmU5NjE5ODUyZmZhYTkxMTE0OGQiLCJ1c2VySWQiOiI1NjU0OTIxNzIifQ==</vt:lpwstr>
  </property>
</Properties>
</file>