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B24FF">
      <w:pPr>
        <w:spacing w:line="360" w:lineRule="auto"/>
        <w:jc w:val="center"/>
        <w:outlineLvl w:val="0"/>
        <w:rPr>
          <w:b/>
          <w:color w:val="auto"/>
          <w:sz w:val="36"/>
          <w:szCs w:val="36"/>
          <w:highlight w:val="none"/>
        </w:rPr>
      </w:pPr>
      <w:r>
        <w:rPr>
          <w:b/>
          <w:color w:val="auto"/>
          <w:sz w:val="36"/>
          <w:szCs w:val="36"/>
          <w:highlight w:val="none"/>
        </w:rPr>
        <w:t>第四章   采购需求</w:t>
      </w:r>
    </w:p>
    <w:p w14:paraId="23B73F48">
      <w:pPr>
        <w:pStyle w:val="3"/>
        <w:rPr>
          <w:rFonts w:ascii="楷体" w:hAnsi="楷体" w:eastAsia="楷体" w:cs="楷体"/>
          <w:color w:val="auto"/>
          <w:sz w:val="24"/>
          <w:highlight w:val="none"/>
        </w:rPr>
      </w:pPr>
      <w:r>
        <w:rPr>
          <w:rFonts w:hint="eastAsia" w:ascii="楷体" w:hAnsi="楷体" w:eastAsia="楷体" w:cs="楷体"/>
          <w:color w:val="auto"/>
          <w:sz w:val="24"/>
          <w:highlight w:val="none"/>
        </w:rPr>
        <w:t>第01包：机关政务外网云基础服务</w:t>
      </w:r>
    </w:p>
    <w:p w14:paraId="200244C2">
      <w:pPr>
        <w:pStyle w:val="2"/>
        <w:numPr>
          <w:ilvl w:val="0"/>
          <w:numId w:val="0"/>
        </w:numPr>
        <w:ind w:left="0" w:firstLine="0"/>
        <w:jc w:val="both"/>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lang w:val="en-US" w:eastAsia="zh-CN"/>
        </w:rPr>
        <w:t>一、</w:t>
      </w:r>
      <w:r>
        <w:rPr>
          <w:rFonts w:hint="eastAsia" w:ascii="黑体" w:hAnsi="黑体" w:eastAsia="黑体" w:cs="黑体"/>
          <w:b w:val="0"/>
          <w:bCs/>
          <w:color w:val="auto"/>
          <w:sz w:val="24"/>
          <w:highlight w:val="none"/>
        </w:rPr>
        <w:t>采购</w:t>
      </w:r>
      <w:r>
        <w:rPr>
          <w:rFonts w:hint="eastAsia" w:ascii="黑体" w:hAnsi="黑体" w:eastAsia="黑体" w:cs="黑体"/>
          <w:b w:val="0"/>
          <w:bCs/>
          <w:color w:val="auto"/>
          <w:sz w:val="24"/>
          <w:highlight w:val="none"/>
          <w:lang w:val="en-US" w:eastAsia="zh-CN"/>
        </w:rPr>
        <w:t>标的</w:t>
      </w:r>
    </w:p>
    <w:p w14:paraId="79AD3A55">
      <w:pPr>
        <w:pStyle w:val="2"/>
        <w:numPr>
          <w:ilvl w:val="0"/>
          <w:numId w:val="0"/>
        </w:numPr>
        <w:ind w:left="0" w:firstLine="480" w:firstLineChars="200"/>
        <w:jc w:val="both"/>
        <w:rPr>
          <w:rFonts w:hint="eastAsia" w:ascii="黑体" w:hAnsi="黑体" w:eastAsia="黑体" w:cs="黑体"/>
          <w:b w:val="0"/>
          <w:bCs/>
          <w:color w:val="auto"/>
          <w:sz w:val="24"/>
          <w:highlight w:val="none"/>
          <w:lang w:val="en-US" w:eastAsia="zh-CN"/>
        </w:rPr>
      </w:pPr>
      <w:r>
        <w:rPr>
          <w:rFonts w:hint="eastAsia" w:ascii="黑体" w:hAnsi="黑体" w:eastAsia="黑体" w:cs="黑体"/>
          <w:b w:val="0"/>
          <w:bCs/>
          <w:color w:val="auto"/>
          <w:sz w:val="24"/>
          <w:highlight w:val="none"/>
          <w:lang w:val="en-US" w:eastAsia="zh-CN"/>
        </w:rPr>
        <w:t>1.采购标的</w:t>
      </w:r>
    </w:p>
    <w:tbl>
      <w:tblPr>
        <w:tblStyle w:val="9"/>
        <w:tblpPr w:leftFromText="180" w:rightFromText="180" w:vertAnchor="text" w:horzAnchor="page" w:tblpX="1572" w:tblpY="211"/>
        <w:tblOverlap w:val="never"/>
        <w:tblW w:w="0" w:type="auto"/>
        <w:tblInd w:w="0" w:type="dxa"/>
        <w:tblLayout w:type="fixed"/>
        <w:tblCellMar>
          <w:top w:w="0" w:type="dxa"/>
          <w:left w:w="108" w:type="dxa"/>
          <w:bottom w:w="0" w:type="dxa"/>
          <w:right w:w="108" w:type="dxa"/>
        </w:tblCellMar>
      </w:tblPr>
      <w:tblGrid>
        <w:gridCol w:w="1836"/>
        <w:gridCol w:w="3282"/>
        <w:gridCol w:w="855"/>
        <w:gridCol w:w="850"/>
        <w:gridCol w:w="1253"/>
        <w:gridCol w:w="860"/>
      </w:tblGrid>
      <w:tr w14:paraId="055BEA9C">
        <w:tblPrEx>
          <w:tblCellMar>
            <w:top w:w="0" w:type="dxa"/>
            <w:left w:w="108" w:type="dxa"/>
            <w:bottom w:w="0" w:type="dxa"/>
            <w:right w:w="108" w:type="dxa"/>
          </w:tblCellMar>
        </w:tblPrEx>
        <w:trPr>
          <w:trHeight w:val="811" w:hRule="atLeast"/>
        </w:trPr>
        <w:tc>
          <w:tcPr>
            <w:tcW w:w="183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1716C8F">
            <w:pPr>
              <w:pStyle w:val="2"/>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服务子类</w:t>
            </w:r>
          </w:p>
        </w:tc>
        <w:tc>
          <w:tcPr>
            <w:tcW w:w="328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F5AAA49">
            <w:pPr>
              <w:pStyle w:val="2"/>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服务项</w:t>
            </w:r>
          </w:p>
        </w:tc>
        <w:tc>
          <w:tcPr>
            <w:tcW w:w="85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3B02360">
            <w:pPr>
              <w:pStyle w:val="2"/>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计价单位</w:t>
            </w:r>
          </w:p>
        </w:tc>
        <w:tc>
          <w:tcPr>
            <w:tcW w:w="85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DDC75C8">
            <w:pPr>
              <w:pStyle w:val="2"/>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报价单位</w:t>
            </w:r>
          </w:p>
        </w:tc>
        <w:tc>
          <w:tcPr>
            <w:tcW w:w="125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403D0EA">
            <w:pPr>
              <w:pStyle w:val="2"/>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86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B4F29E4">
            <w:pPr>
              <w:pStyle w:val="2"/>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期限（月）</w:t>
            </w:r>
          </w:p>
        </w:tc>
      </w:tr>
      <w:tr w14:paraId="5BAEB950">
        <w:tblPrEx>
          <w:tblCellMar>
            <w:top w:w="0" w:type="dxa"/>
            <w:left w:w="108" w:type="dxa"/>
            <w:bottom w:w="0" w:type="dxa"/>
            <w:right w:w="108" w:type="dxa"/>
          </w:tblCellMar>
        </w:tblPrEx>
        <w:trPr>
          <w:trHeight w:val="349" w:hRule="atLeast"/>
        </w:trPr>
        <w:tc>
          <w:tcPr>
            <w:tcW w:w="1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B8EC64">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x86平台云主机服务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7984D974">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vCPU（主频不低于2.4GHz）</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EAE06B9">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1CPU</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9DC8FD1">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A74AD41">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932</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2568BD8">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4AE77690">
        <w:tblPrEx>
          <w:tblCellMar>
            <w:top w:w="0" w:type="dxa"/>
            <w:left w:w="108" w:type="dxa"/>
            <w:bottom w:w="0" w:type="dxa"/>
            <w:right w:w="108" w:type="dxa"/>
          </w:tblCellMar>
        </w:tblPrEx>
        <w:trPr>
          <w:trHeight w:val="325" w:hRule="atLeast"/>
        </w:trPr>
        <w:tc>
          <w:tcPr>
            <w:tcW w:w="1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E0027">
            <w:pPr>
              <w:spacing w:line="240" w:lineRule="auto"/>
              <w:jc w:val="center"/>
              <w:rPr>
                <w:rFonts w:hint="eastAsia" w:ascii="宋体" w:hAnsi="宋体" w:eastAsia="宋体" w:cs="宋体"/>
                <w:color w:val="auto"/>
                <w:sz w:val="24"/>
                <w:highlight w:val="none"/>
              </w:rPr>
            </w:pP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6F547552">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内存</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79E428C">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1GB</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7E110C3">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CBD6212">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1792</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B733D9C">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3254BBB2">
        <w:tblPrEx>
          <w:tblCellMar>
            <w:top w:w="0" w:type="dxa"/>
            <w:left w:w="108" w:type="dxa"/>
            <w:bottom w:w="0" w:type="dxa"/>
            <w:right w:w="108" w:type="dxa"/>
          </w:tblCellMar>
        </w:tblPrEx>
        <w:trPr>
          <w:trHeight w:val="620" w:hRule="atLeast"/>
        </w:trPr>
        <w:tc>
          <w:tcPr>
            <w:tcW w:w="1836" w:type="dxa"/>
            <w:tcBorders>
              <w:top w:val="single" w:color="000000" w:sz="4" w:space="0"/>
              <w:left w:val="single" w:color="000000" w:sz="4" w:space="0"/>
              <w:bottom w:val="single" w:color="000000" w:sz="4" w:space="0"/>
              <w:right w:val="single" w:color="000000" w:sz="4" w:space="0"/>
            </w:tcBorders>
            <w:noWrap w:val="0"/>
            <w:vAlign w:val="center"/>
          </w:tcPr>
          <w:p w14:paraId="0FCB0BCE">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图形图像计算服务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66407A5C">
            <w:pPr>
              <w:widowControl/>
              <w:spacing w:line="240" w:lineRule="auto"/>
              <w:jc w:val="center"/>
              <w:textAlignment w:val="center"/>
              <w:rPr>
                <w:rFonts w:hint="eastAsia" w:ascii="宋体" w:hAnsi="宋体" w:eastAsia="宋体" w:cs="宋体"/>
                <w:color w:val="auto"/>
                <w:sz w:val="24"/>
                <w:highlight w:val="none"/>
              </w:rPr>
            </w:pPr>
            <w:r>
              <w:rPr>
                <w:rStyle w:val="11"/>
                <w:rFonts w:hint="eastAsia" w:ascii="宋体" w:hAnsi="宋体" w:eastAsia="宋体" w:cs="宋体"/>
                <w:color w:val="auto"/>
                <w:sz w:val="24"/>
                <w:szCs w:val="24"/>
                <w:highlight w:val="none"/>
                <w:lang w:bidi="ar"/>
              </w:rPr>
              <w:t>GPU显存不低于12G，最大单精度浮点计算能力不低于5TFLOPS</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B603571">
            <w:pPr>
              <w:widowControl/>
              <w:spacing w:line="240" w:lineRule="auto"/>
              <w:jc w:val="center"/>
              <w:textAlignment w:val="center"/>
              <w:rPr>
                <w:rFonts w:hint="eastAsia" w:ascii="宋体" w:hAnsi="宋体" w:eastAsia="宋体" w:cs="宋体"/>
                <w:color w:val="auto"/>
                <w:sz w:val="24"/>
                <w:highlight w:val="none"/>
              </w:rPr>
            </w:pPr>
            <w:r>
              <w:rPr>
                <w:rStyle w:val="11"/>
                <w:rFonts w:hint="eastAsia" w:ascii="宋体" w:hAnsi="宋体" w:eastAsia="宋体" w:cs="宋体"/>
                <w:color w:val="auto"/>
                <w:sz w:val="24"/>
                <w:szCs w:val="24"/>
                <w:highlight w:val="none"/>
                <w:lang w:bidi="ar"/>
              </w:rPr>
              <w:t>1GPU</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8A811A0">
            <w:pPr>
              <w:widowControl/>
              <w:spacing w:line="240" w:lineRule="auto"/>
              <w:jc w:val="center"/>
              <w:textAlignment w:val="center"/>
              <w:rPr>
                <w:rFonts w:hint="eastAsia" w:ascii="宋体" w:hAnsi="宋体" w:eastAsia="宋体" w:cs="宋体"/>
                <w:color w:val="auto"/>
                <w:sz w:val="24"/>
                <w:highlight w:val="none"/>
              </w:rPr>
            </w:pPr>
            <w:r>
              <w:rPr>
                <w:rStyle w:val="11"/>
                <w:rFonts w:hint="eastAsia" w:ascii="宋体" w:hAnsi="宋体" w:eastAsia="宋体" w:cs="宋体"/>
                <w:color w:val="auto"/>
                <w:sz w:val="24"/>
                <w:szCs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94100B0">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9B1D95F">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35E0E780">
        <w:tblPrEx>
          <w:tblCellMar>
            <w:top w:w="0" w:type="dxa"/>
            <w:left w:w="108" w:type="dxa"/>
            <w:bottom w:w="0" w:type="dxa"/>
            <w:right w:w="108" w:type="dxa"/>
          </w:tblCellMar>
        </w:tblPrEx>
        <w:trPr>
          <w:trHeight w:val="525" w:hRule="atLeast"/>
        </w:trPr>
        <w:tc>
          <w:tcPr>
            <w:tcW w:w="1836" w:type="dxa"/>
            <w:tcBorders>
              <w:top w:val="single" w:color="000000" w:sz="4" w:space="0"/>
              <w:left w:val="single" w:color="000000" w:sz="4" w:space="0"/>
              <w:bottom w:val="single" w:color="000000" w:sz="4" w:space="0"/>
              <w:right w:val="single" w:color="000000" w:sz="4" w:space="0"/>
            </w:tcBorders>
            <w:noWrap w:val="0"/>
            <w:vAlign w:val="center"/>
          </w:tcPr>
          <w:p w14:paraId="33A4D9A1">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高性能存储</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7CC73D0B">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高性能存储（单盘技术指标：单盘IOPS 3000-20000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3BEF02F">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1GB</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D8956AE">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9FCF35F">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56680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81B6CAE">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3FF91112">
        <w:tblPrEx>
          <w:tblCellMar>
            <w:top w:w="0" w:type="dxa"/>
            <w:left w:w="108" w:type="dxa"/>
            <w:bottom w:w="0" w:type="dxa"/>
            <w:right w:w="108" w:type="dxa"/>
          </w:tblCellMar>
        </w:tblPrEx>
        <w:trPr>
          <w:trHeight w:val="525" w:hRule="atLeast"/>
        </w:trPr>
        <w:tc>
          <w:tcPr>
            <w:tcW w:w="1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1BDF910">
            <w:pPr>
              <w:widowControl/>
              <w:spacing w:line="240" w:lineRule="auto"/>
              <w:jc w:val="center"/>
              <w:textAlignment w:val="center"/>
              <w:rPr>
                <w:rFonts w:hint="default" w:ascii="宋体" w:hAnsi="宋体" w:eastAsia="宋体" w:cs="宋体"/>
                <w:color w:val="auto"/>
                <w:sz w:val="24"/>
                <w:highlight w:val="none"/>
              </w:rPr>
            </w:pPr>
            <w:r>
              <w:rPr>
                <w:rFonts w:hint="eastAsia" w:ascii="宋体" w:hAnsi="宋体" w:eastAsia="宋体" w:cs="宋体"/>
                <w:color w:val="auto"/>
                <w:kern w:val="0"/>
                <w:sz w:val="24"/>
                <w:highlight w:val="none"/>
                <w:lang w:bidi="ar"/>
              </w:rPr>
              <w:t>本地备份</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473CF5E3">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普通性能存储（单盘技术指标: 单盘IOPS 1000-3000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4675A34">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1GB</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5259900">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5A5F291">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56680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8B500FE">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036D6856">
        <w:tblPrEx>
          <w:tblCellMar>
            <w:top w:w="0" w:type="dxa"/>
            <w:left w:w="108" w:type="dxa"/>
            <w:bottom w:w="0" w:type="dxa"/>
            <w:right w:w="108" w:type="dxa"/>
          </w:tblCellMar>
        </w:tblPrEx>
        <w:trPr>
          <w:trHeight w:val="500" w:hRule="atLeast"/>
        </w:trPr>
        <w:tc>
          <w:tcPr>
            <w:tcW w:w="1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E14A5">
            <w:pPr>
              <w:spacing w:line="240" w:lineRule="auto"/>
              <w:jc w:val="center"/>
              <w:rPr>
                <w:rFonts w:hint="eastAsia" w:ascii="宋体" w:hAnsi="宋体" w:eastAsia="宋体" w:cs="宋体"/>
                <w:color w:val="auto"/>
                <w:sz w:val="24"/>
                <w:highlight w:val="none"/>
              </w:rPr>
            </w:pP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32B096D7">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本地备份服务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C6FDAFD">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1GB</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E71BF8">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B5B0288">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56680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88DD358">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196A9808">
        <w:tblPrEx>
          <w:tblCellMar>
            <w:top w:w="0" w:type="dxa"/>
            <w:left w:w="108" w:type="dxa"/>
            <w:bottom w:w="0" w:type="dxa"/>
            <w:right w:w="108" w:type="dxa"/>
          </w:tblCellMar>
        </w:tblPrEx>
        <w:trPr>
          <w:trHeight w:val="568" w:hRule="atLeast"/>
        </w:trPr>
        <w:tc>
          <w:tcPr>
            <w:tcW w:w="1836" w:type="dxa"/>
            <w:vMerge w:val="restart"/>
            <w:tcBorders>
              <w:top w:val="single" w:color="000000" w:sz="4" w:space="0"/>
              <w:left w:val="single" w:color="000000" w:sz="4" w:space="0"/>
              <w:right w:val="single" w:color="000000" w:sz="4" w:space="0"/>
            </w:tcBorders>
            <w:noWrap w:val="0"/>
            <w:vAlign w:val="center"/>
          </w:tcPr>
          <w:p w14:paraId="018F1688">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互联网链路服务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0AF28439">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互联网链路带宽（共享）</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757E44A">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1Mb</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FA75437">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0F1F76F">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AD37ABB">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42616A04">
        <w:tblPrEx>
          <w:tblCellMar>
            <w:top w:w="0" w:type="dxa"/>
            <w:left w:w="108" w:type="dxa"/>
            <w:bottom w:w="0" w:type="dxa"/>
            <w:right w:w="108" w:type="dxa"/>
          </w:tblCellMar>
        </w:tblPrEx>
        <w:trPr>
          <w:trHeight w:val="600" w:hRule="atLeast"/>
        </w:trPr>
        <w:tc>
          <w:tcPr>
            <w:tcW w:w="1836" w:type="dxa"/>
            <w:vMerge w:val="continue"/>
            <w:tcBorders>
              <w:left w:val="single" w:color="000000" w:sz="4" w:space="0"/>
              <w:bottom w:val="single" w:color="000000" w:sz="4" w:space="0"/>
              <w:right w:val="single" w:color="000000" w:sz="4" w:space="0"/>
            </w:tcBorders>
            <w:noWrap w:val="0"/>
            <w:vAlign w:val="center"/>
          </w:tcPr>
          <w:p w14:paraId="4996A799">
            <w:pPr>
              <w:widowControl/>
              <w:spacing w:line="240" w:lineRule="auto"/>
              <w:jc w:val="center"/>
              <w:textAlignment w:val="center"/>
              <w:rPr>
                <w:rFonts w:hint="eastAsia" w:ascii="宋体" w:hAnsi="宋体" w:eastAsia="宋体" w:cs="宋体"/>
                <w:color w:val="auto"/>
                <w:sz w:val="24"/>
                <w:highlight w:val="none"/>
              </w:rPr>
            </w:pP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7F59AD52">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互联网IP地址租用服务、并提供备案服务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D20F6A9">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1IP</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6186323">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7CB5342">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6D89E73">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01DDCC9A">
        <w:tblPrEx>
          <w:tblCellMar>
            <w:top w:w="0" w:type="dxa"/>
            <w:left w:w="108" w:type="dxa"/>
            <w:bottom w:w="0" w:type="dxa"/>
            <w:right w:w="108" w:type="dxa"/>
          </w:tblCellMar>
        </w:tblPrEx>
        <w:trPr>
          <w:trHeight w:val="640" w:hRule="atLeast"/>
        </w:trPr>
        <w:tc>
          <w:tcPr>
            <w:tcW w:w="1836" w:type="dxa"/>
            <w:tcBorders>
              <w:top w:val="single" w:color="000000" w:sz="4" w:space="0"/>
              <w:left w:val="single" w:color="000000" w:sz="4" w:space="0"/>
              <w:bottom w:val="single" w:color="000000" w:sz="4" w:space="0"/>
              <w:right w:val="single" w:color="000000" w:sz="4" w:space="0"/>
            </w:tcBorders>
            <w:noWrap w:val="0"/>
            <w:vAlign w:val="center"/>
          </w:tcPr>
          <w:p w14:paraId="2A4344E6">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远程接入服务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1F4223B7">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远程接入服务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05F046E">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1账号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99FF7A9">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2ADE22C">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7356E8A">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6D0867CC">
        <w:tblPrEx>
          <w:tblCellMar>
            <w:top w:w="0" w:type="dxa"/>
            <w:left w:w="108" w:type="dxa"/>
            <w:bottom w:w="0" w:type="dxa"/>
            <w:right w:w="108" w:type="dxa"/>
          </w:tblCellMar>
        </w:tblPrEx>
        <w:trPr>
          <w:trHeight w:val="641" w:hRule="atLeast"/>
        </w:trPr>
        <w:tc>
          <w:tcPr>
            <w:tcW w:w="1836" w:type="dxa"/>
            <w:tcBorders>
              <w:top w:val="single" w:color="000000" w:sz="4" w:space="0"/>
              <w:left w:val="single" w:color="000000" w:sz="4" w:space="0"/>
              <w:bottom w:val="single" w:color="000000" w:sz="4" w:space="0"/>
              <w:right w:val="single" w:color="000000" w:sz="4" w:space="0"/>
            </w:tcBorders>
            <w:noWrap w:val="0"/>
            <w:vAlign w:val="center"/>
          </w:tcPr>
          <w:p w14:paraId="5BA4F481">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WAF防护</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1E7ED0BB">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互联网web应用防火墙服务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8596410">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1IP</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E6C71AA">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1314E9E">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30FF8B7">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r w14:paraId="79EEBDBB">
        <w:tblPrEx>
          <w:tblCellMar>
            <w:top w:w="0" w:type="dxa"/>
            <w:left w:w="108" w:type="dxa"/>
            <w:bottom w:w="0" w:type="dxa"/>
            <w:right w:w="108" w:type="dxa"/>
          </w:tblCellMar>
        </w:tblPrEx>
        <w:trPr>
          <w:trHeight w:val="820" w:hRule="atLeast"/>
        </w:trPr>
        <w:tc>
          <w:tcPr>
            <w:tcW w:w="1836" w:type="dxa"/>
            <w:tcBorders>
              <w:top w:val="single" w:color="000000" w:sz="4" w:space="0"/>
              <w:left w:val="single" w:color="000000" w:sz="4" w:space="0"/>
              <w:bottom w:val="single" w:color="000000" w:sz="4" w:space="0"/>
              <w:right w:val="single" w:color="000000" w:sz="4" w:space="0"/>
            </w:tcBorders>
            <w:noWrap w:val="0"/>
            <w:vAlign w:val="center"/>
          </w:tcPr>
          <w:p w14:paraId="1EBBE92C">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特定云主机深度监控及运维保障服务（7*24小时值守）</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6F838358">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7*24小时深度监测云主机资源、硬件设备监控、云平台层应急处置等内容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302C896">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1主机</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B7E24DA">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元/月</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1926D51">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80FA83F">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r>
    </w:tbl>
    <w:p w14:paraId="1281BF5E">
      <w:pPr>
        <w:rPr>
          <w:rFonts w:ascii="宋体" w:hAnsi="宋体" w:cs="宋体"/>
          <w:color w:val="auto"/>
          <w:sz w:val="24"/>
          <w:highlight w:val="none"/>
        </w:rPr>
      </w:pPr>
    </w:p>
    <w:p w14:paraId="0CA22C8F">
      <w:pPr>
        <w:pStyle w:val="2"/>
        <w:spacing w:before="0" w:after="0"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项目背景或概况</w:t>
      </w:r>
    </w:p>
    <w:p w14:paraId="4150F701">
      <w:pPr>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为贯彻落实北京市经济和信息化局关于印发《北京市市级政务云管理办法的通知》（京经信委函（2019）150号）文件的要求，</w:t>
      </w:r>
      <w:r>
        <w:rPr>
          <w:rFonts w:hint="eastAsia" w:ascii="宋体" w:hAnsi="宋体" w:cs="宋体"/>
          <w:bCs/>
          <w:color w:val="auto"/>
          <w:sz w:val="24"/>
          <w:highlight w:val="none"/>
        </w:rPr>
        <w:t>北京市人大常委会机关政务外网系统</w:t>
      </w:r>
      <w:r>
        <w:rPr>
          <w:rFonts w:hint="eastAsia" w:ascii="宋体" w:hAnsi="宋体" w:eastAsia="宋体" w:cs="宋体"/>
          <w:bCs/>
          <w:color w:val="auto"/>
          <w:sz w:val="24"/>
          <w:highlight w:val="none"/>
        </w:rPr>
        <w:t>自2018年起迁入市政务云。</w:t>
      </w:r>
      <w:r>
        <w:rPr>
          <w:rFonts w:hint="eastAsia" w:ascii="宋体" w:hAnsi="宋体" w:eastAsia="宋体" w:cs="宋体"/>
          <w:bCs/>
          <w:color w:val="auto"/>
          <w:sz w:val="24"/>
          <w:highlight w:val="none"/>
          <w:lang w:val="en-US" w:eastAsia="zh-CN"/>
        </w:rPr>
        <w:t>本项目</w:t>
      </w:r>
      <w:r>
        <w:rPr>
          <w:rFonts w:hint="eastAsia" w:ascii="宋体" w:hAnsi="宋体" w:cs="宋体"/>
          <w:bCs/>
          <w:color w:val="auto"/>
          <w:sz w:val="24"/>
          <w:highlight w:val="none"/>
        </w:rPr>
        <w:t>通过租用政务云平台基础服务，</w:t>
      </w:r>
      <w:r>
        <w:rPr>
          <w:rFonts w:hint="eastAsia" w:ascii="宋体" w:hAnsi="宋体" w:cs="宋体"/>
          <w:bCs/>
          <w:color w:val="auto"/>
          <w:sz w:val="24"/>
          <w:highlight w:val="none"/>
          <w:lang w:val="en-US" w:eastAsia="zh-CN"/>
        </w:rPr>
        <w:t>对系统</w:t>
      </w:r>
      <w:r>
        <w:rPr>
          <w:rFonts w:hint="eastAsia" w:ascii="宋体" w:hAnsi="宋体" w:cs="宋体"/>
          <w:bCs/>
          <w:color w:val="auto"/>
          <w:sz w:val="24"/>
          <w:highlight w:val="none"/>
        </w:rPr>
        <w:t>运行环境进行持续优化，提供可靠、稳定、安全的政务云基础服务</w:t>
      </w:r>
      <w:r>
        <w:rPr>
          <w:rFonts w:hint="eastAsia" w:ascii="宋体" w:hAnsi="宋体" w:cs="宋体"/>
          <w:bCs/>
          <w:color w:val="auto"/>
          <w:sz w:val="24"/>
          <w:highlight w:val="none"/>
          <w:lang w:eastAsia="zh-CN"/>
        </w:rPr>
        <w:t>。</w:t>
      </w:r>
    </w:p>
    <w:p w14:paraId="5CACAAB5">
      <w:pPr>
        <w:pStyle w:val="2"/>
        <w:numPr>
          <w:ilvl w:val="0"/>
          <w:numId w:val="0"/>
        </w:numPr>
        <w:spacing w:before="0" w:after="0" w:line="240" w:lineRule="auto"/>
        <w:ind w:leftChars="0"/>
        <w:jc w:val="both"/>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二、</w:t>
      </w:r>
      <w:r>
        <w:rPr>
          <w:rFonts w:hint="eastAsia" w:ascii="黑体" w:hAnsi="黑体" w:eastAsia="黑体" w:cs="黑体"/>
          <w:color w:val="auto"/>
          <w:sz w:val="24"/>
          <w:highlight w:val="none"/>
        </w:rPr>
        <w:t>商务要求</w:t>
      </w:r>
    </w:p>
    <w:p w14:paraId="13DFC95A">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（一）服务地点</w:t>
      </w:r>
    </w:p>
    <w:p w14:paraId="766C32E4">
      <w:pPr>
        <w:pStyle w:val="7"/>
        <w:adjustRightInd w:val="0"/>
        <w:snapToGrid w:val="0"/>
        <w:spacing w:before="0" w:line="240" w:lineRule="auto"/>
        <w:ind w:firstLine="480"/>
        <w:textAlignment w:val="baseline"/>
        <w:rPr>
          <w:rFonts w:cs="宋体"/>
          <w:color w:val="auto"/>
          <w:highlight w:val="none"/>
        </w:rPr>
      </w:pPr>
      <w:r>
        <w:rPr>
          <w:rFonts w:hint="eastAsia" w:cs="宋体"/>
          <w:color w:val="auto"/>
          <w:highlight w:val="none"/>
        </w:rPr>
        <w:t>北京市政务云机房</w:t>
      </w:r>
    </w:p>
    <w:p w14:paraId="7E570003">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（二）服务期限</w:t>
      </w:r>
    </w:p>
    <w:p w14:paraId="6C0A8CC9">
      <w:pPr>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自合同签订之日起</w:t>
      </w:r>
      <w:r>
        <w:rPr>
          <w:rFonts w:hint="eastAsia" w:ascii="宋体" w:hAnsi="宋体" w:cs="宋体"/>
          <w:color w:val="auto"/>
          <w:sz w:val="24"/>
          <w:highlight w:val="none"/>
        </w:rPr>
        <w:t>12个月</w:t>
      </w:r>
    </w:p>
    <w:p w14:paraId="271DFA2B">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（三）支付方式</w:t>
      </w:r>
    </w:p>
    <w:p w14:paraId="10C7A011">
      <w:pPr>
        <w:adjustRightInd w:val="0"/>
        <w:snapToGrid w:val="0"/>
        <w:spacing w:line="240" w:lineRule="auto"/>
        <w:ind w:firstLine="480" w:firstLineChars="200"/>
        <w:contextualSpacing/>
        <w:textAlignment w:val="baseline"/>
        <w:rPr>
          <w:rFonts w:ascii="宋体" w:hAnsi="宋体" w:cs="宋体"/>
          <w:bCs/>
          <w:color w:val="auto"/>
          <w:sz w:val="24"/>
          <w:highlight w:val="none"/>
        </w:rPr>
      </w:pPr>
      <w:r>
        <w:rPr>
          <w:rFonts w:hint="eastAsia" w:ascii="宋体" w:hAnsi="宋体" w:cs="宋体"/>
          <w:bCs/>
          <w:color w:val="auto"/>
          <w:sz w:val="24"/>
          <w:highlight w:val="none"/>
        </w:rPr>
        <w:t>服务费用分三笔支付：</w:t>
      </w:r>
    </w:p>
    <w:p w14:paraId="42A42408">
      <w:pPr>
        <w:adjustRightInd w:val="0"/>
        <w:snapToGrid w:val="0"/>
        <w:spacing w:line="240" w:lineRule="auto"/>
        <w:ind w:firstLine="480" w:firstLineChars="200"/>
        <w:contextualSpacing/>
        <w:textAlignment w:val="baseline"/>
        <w:rPr>
          <w:rFonts w:ascii="宋体" w:hAnsi="宋体" w:cs="宋体"/>
          <w:bCs/>
          <w:color w:val="auto"/>
          <w:sz w:val="24"/>
          <w:highlight w:val="none"/>
        </w:rPr>
      </w:pPr>
      <w:r>
        <w:rPr>
          <w:rFonts w:hint="eastAsia" w:ascii="宋体" w:hAnsi="宋体" w:cs="宋体"/>
          <w:bCs/>
          <w:color w:val="auto"/>
          <w:sz w:val="24"/>
          <w:highlight w:val="none"/>
        </w:rPr>
        <w:t>第一笔：双方签订合同且财政资金下达（具体时间以采购人确认的情况为准）后30个工作日内，支付合同总额的40%；</w:t>
      </w:r>
    </w:p>
    <w:p w14:paraId="193E2C01">
      <w:pPr>
        <w:adjustRightInd w:val="0"/>
        <w:snapToGrid w:val="0"/>
        <w:spacing w:line="240" w:lineRule="auto"/>
        <w:ind w:firstLine="480" w:firstLineChars="200"/>
        <w:contextualSpacing/>
        <w:textAlignment w:val="baseline"/>
        <w:rPr>
          <w:rFonts w:ascii="宋体" w:hAnsi="宋体" w:cs="宋体"/>
          <w:bCs/>
          <w:color w:val="auto"/>
          <w:sz w:val="24"/>
          <w:highlight w:val="none"/>
        </w:rPr>
      </w:pPr>
      <w:r>
        <w:rPr>
          <w:rFonts w:hint="eastAsia" w:ascii="宋体" w:hAnsi="宋体" w:cs="宋体"/>
          <w:bCs/>
          <w:color w:val="auto"/>
          <w:sz w:val="24"/>
          <w:highlight w:val="none"/>
        </w:rPr>
        <w:t>第二笔：2025年9月底前，采购人对项目进行阶段性验收，验收通过后支付合同总额的40%；</w:t>
      </w:r>
    </w:p>
    <w:p w14:paraId="6F8E8310">
      <w:pPr>
        <w:adjustRightInd w:val="0"/>
        <w:snapToGrid w:val="0"/>
        <w:spacing w:line="240" w:lineRule="auto"/>
        <w:ind w:firstLine="480" w:firstLineChars="200"/>
        <w:contextualSpacing/>
        <w:textAlignment w:val="baseline"/>
        <w:rPr>
          <w:rFonts w:ascii="宋体" w:hAnsi="宋体" w:cs="宋体"/>
          <w:bCs/>
          <w:color w:val="auto"/>
          <w:sz w:val="24"/>
          <w:highlight w:val="none"/>
        </w:rPr>
      </w:pPr>
      <w:r>
        <w:rPr>
          <w:rFonts w:hint="eastAsia" w:ascii="宋体" w:hAnsi="宋体" w:cs="宋体"/>
          <w:bCs/>
          <w:color w:val="auto"/>
          <w:sz w:val="24"/>
          <w:highlight w:val="none"/>
        </w:rPr>
        <w:t>第三笔：服务期满，采购人对项目进行竣工验收，验收通过后支付合同总额的20%。</w:t>
      </w:r>
    </w:p>
    <w:p w14:paraId="38681F62">
      <w:pPr>
        <w:pStyle w:val="2"/>
        <w:numPr>
          <w:ilvl w:val="0"/>
          <w:numId w:val="0"/>
        </w:numPr>
        <w:spacing w:before="0" w:after="0" w:line="240" w:lineRule="auto"/>
        <w:ind w:left="0" w:firstLine="0"/>
        <w:jc w:val="both"/>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三、技术要求</w:t>
      </w:r>
    </w:p>
    <w:p w14:paraId="06E12452">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（一）云主机服务</w:t>
      </w:r>
    </w:p>
    <w:p w14:paraId="2F9E66FF">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1.1服务内容</w:t>
      </w:r>
    </w:p>
    <w:p w14:paraId="32B1D032">
      <w:pPr>
        <w:snapToGrid w:val="0"/>
        <w:spacing w:line="24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按照采购人的具体需求，提供云主机服务，按需求对CPU及内存进行动态调整，实现合理的计算资源配置。在提供政务云主机的服务过程中做好与采购人和对应项目应用开发厂商的协调沟通工作。</w:t>
      </w:r>
    </w:p>
    <w:p w14:paraId="2037EFC9">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1.2服务标准</w:t>
      </w:r>
    </w:p>
    <w:p w14:paraId="0608A233">
      <w:pPr>
        <w:pStyle w:val="4"/>
        <w:snapToGrid w:val="0"/>
        <w:ind w:firstLine="480"/>
        <w:rPr>
          <w:rFonts w:hAnsi="宋体" w:cs="宋体"/>
          <w:color w:val="auto"/>
          <w:highlight w:val="none"/>
        </w:rPr>
      </w:pPr>
      <w:r>
        <w:rPr>
          <w:rFonts w:hint="eastAsia" w:hAnsi="宋体" w:cs="宋体"/>
          <w:color w:val="auto"/>
          <w:highlight w:val="none"/>
        </w:rPr>
        <w:t>1.2.1 云主机应实现物理机的全部功能，如具有CPU、存储、内存、网卡等资源，可以指定单独的IP地址等；</w:t>
      </w:r>
    </w:p>
    <w:p w14:paraId="69B83D0F">
      <w:pPr>
        <w:pStyle w:val="4"/>
        <w:snapToGrid w:val="0"/>
        <w:ind w:firstLine="480"/>
        <w:rPr>
          <w:rFonts w:hAnsi="宋体" w:cs="宋体"/>
          <w:color w:val="auto"/>
          <w:highlight w:val="none"/>
        </w:rPr>
      </w:pPr>
      <w:r>
        <w:rPr>
          <w:rFonts w:hint="eastAsia" w:hAnsi="宋体" w:cs="宋体"/>
          <w:color w:val="auto"/>
          <w:highlight w:val="none"/>
        </w:rPr>
        <w:t>1.2.2 支持存储裸设备映射（RDM），可以将存储设备上的LUN直接映射给虚拟机使用，并且支持SCSI指令使用透传模式或者非透传模式；</w:t>
      </w:r>
    </w:p>
    <w:p w14:paraId="01132CF1">
      <w:pPr>
        <w:pStyle w:val="4"/>
        <w:snapToGrid w:val="0"/>
        <w:ind w:firstLine="480"/>
        <w:rPr>
          <w:rFonts w:hAnsi="宋体" w:cs="宋体"/>
          <w:color w:val="auto"/>
          <w:highlight w:val="none"/>
        </w:rPr>
      </w:pPr>
      <w:r>
        <w:rPr>
          <w:rFonts w:hint="eastAsia" w:hAnsi="宋体" w:cs="宋体"/>
          <w:color w:val="auto"/>
          <w:highlight w:val="none"/>
        </w:rPr>
        <w:t>1.2.3 云主机提供基于GPU图形图像计算服务；</w:t>
      </w:r>
    </w:p>
    <w:p w14:paraId="56362276">
      <w:pPr>
        <w:pStyle w:val="4"/>
        <w:snapToGrid w:val="0"/>
        <w:ind w:firstLine="480"/>
        <w:rPr>
          <w:rFonts w:hAnsi="宋体" w:cs="宋体"/>
          <w:color w:val="auto"/>
          <w:highlight w:val="none"/>
        </w:rPr>
      </w:pPr>
      <w:r>
        <w:rPr>
          <w:rFonts w:hint="eastAsia" w:hAnsi="宋体" w:cs="宋体"/>
          <w:color w:val="auto"/>
          <w:highlight w:val="none"/>
        </w:rPr>
        <w:t>1.2.4 应满足云主机之间、CPU之间隔离保护要求；</w:t>
      </w:r>
    </w:p>
    <w:p w14:paraId="4ED21B5D">
      <w:pPr>
        <w:pStyle w:val="4"/>
        <w:snapToGrid w:val="0"/>
        <w:ind w:firstLine="480"/>
        <w:rPr>
          <w:rFonts w:hAnsi="宋体" w:cs="宋体"/>
          <w:color w:val="auto"/>
          <w:highlight w:val="none"/>
        </w:rPr>
      </w:pPr>
      <w:r>
        <w:rPr>
          <w:rFonts w:hint="eastAsia" w:hAnsi="宋体" w:cs="宋体"/>
          <w:color w:val="auto"/>
          <w:highlight w:val="none"/>
        </w:rPr>
        <w:t>1.2.5 支持资源的动态调整，根据业务的负载情况实现业务系统虚拟机的动态扩展和回收；</w:t>
      </w:r>
    </w:p>
    <w:p w14:paraId="7EF58EC1">
      <w:pPr>
        <w:pStyle w:val="4"/>
        <w:snapToGrid w:val="0"/>
        <w:ind w:firstLine="480"/>
        <w:rPr>
          <w:rFonts w:hAnsi="宋体" w:cs="宋体"/>
          <w:color w:val="auto"/>
          <w:highlight w:val="none"/>
        </w:rPr>
      </w:pPr>
      <w:r>
        <w:rPr>
          <w:rFonts w:hint="eastAsia" w:hAnsi="宋体" w:cs="宋体"/>
          <w:color w:val="auto"/>
          <w:highlight w:val="none"/>
        </w:rPr>
        <w:t>1.2.6 支持在线进行虚拟化软件版本升级，不同版本之间可以相互兼容；</w:t>
      </w:r>
    </w:p>
    <w:p w14:paraId="7155D1CC">
      <w:pPr>
        <w:pStyle w:val="4"/>
        <w:snapToGrid w:val="0"/>
        <w:ind w:firstLine="480"/>
        <w:rPr>
          <w:rFonts w:hAnsi="宋体" w:cs="宋体"/>
          <w:color w:val="auto"/>
          <w:highlight w:val="none"/>
        </w:rPr>
      </w:pPr>
      <w:r>
        <w:rPr>
          <w:rFonts w:hint="eastAsia" w:hAnsi="宋体" w:cs="宋体"/>
          <w:color w:val="auto"/>
          <w:highlight w:val="none"/>
        </w:rPr>
        <w:t>1.2.7 支持异构虚拟化能力，如KVM等多种虚拟化技术；</w:t>
      </w:r>
    </w:p>
    <w:p w14:paraId="5C193ABA">
      <w:pPr>
        <w:pStyle w:val="4"/>
        <w:snapToGrid w:val="0"/>
        <w:ind w:firstLine="480"/>
        <w:rPr>
          <w:rFonts w:hAnsi="宋体" w:cs="宋体"/>
          <w:color w:val="auto"/>
          <w:highlight w:val="none"/>
        </w:rPr>
      </w:pPr>
      <w:r>
        <w:rPr>
          <w:rFonts w:hint="eastAsia" w:hAnsi="宋体" w:cs="宋体"/>
          <w:color w:val="auto"/>
          <w:highlight w:val="none"/>
        </w:rPr>
        <w:t>1.2.8 云主机出现故障时，支持自动重启或者迁移，保障业务连续性；</w:t>
      </w:r>
    </w:p>
    <w:p w14:paraId="2F230FB2">
      <w:pPr>
        <w:pStyle w:val="4"/>
        <w:snapToGrid w:val="0"/>
        <w:ind w:firstLine="480"/>
        <w:rPr>
          <w:rFonts w:hAnsi="宋体" w:cs="宋体"/>
          <w:color w:val="auto"/>
          <w:highlight w:val="none"/>
        </w:rPr>
      </w:pPr>
      <w:r>
        <w:rPr>
          <w:rFonts w:hint="eastAsia" w:hAnsi="宋体" w:cs="宋体"/>
          <w:color w:val="auto"/>
          <w:highlight w:val="none"/>
        </w:rPr>
        <w:t>1.2.9 支持虚拟机热迁移，可在不同代CPU资源池中进行虚拟机热迁移；</w:t>
      </w:r>
    </w:p>
    <w:p w14:paraId="46798A00">
      <w:pPr>
        <w:pStyle w:val="4"/>
        <w:snapToGrid w:val="0"/>
        <w:ind w:firstLine="480"/>
        <w:rPr>
          <w:rFonts w:hAnsi="宋体" w:cs="宋体"/>
          <w:color w:val="auto"/>
          <w:highlight w:val="none"/>
        </w:rPr>
      </w:pPr>
      <w:r>
        <w:rPr>
          <w:rFonts w:hint="eastAsia" w:hAnsi="宋体" w:cs="宋体"/>
          <w:color w:val="auto"/>
          <w:highlight w:val="none"/>
        </w:rPr>
        <w:t>1.2.10 云计算资源性能要求包括但不限于如下：</w:t>
      </w:r>
    </w:p>
    <w:p w14:paraId="5157E4F9">
      <w:pPr>
        <w:pStyle w:val="4"/>
        <w:snapToGrid w:val="0"/>
        <w:ind w:firstLine="480"/>
        <w:rPr>
          <w:rFonts w:hAnsi="宋体" w:cs="宋体"/>
          <w:color w:val="auto"/>
          <w:highlight w:val="none"/>
        </w:rPr>
      </w:pPr>
      <w:r>
        <w:rPr>
          <w:rFonts w:hint="eastAsia" w:hAnsi="宋体" w:cs="宋体"/>
          <w:color w:val="auto"/>
          <w:highlight w:val="none"/>
        </w:rPr>
        <w:t xml:space="preserve">1.2.10.1 </w:t>
      </w:r>
      <w:r>
        <w:rPr>
          <w:rFonts w:hint="eastAsia" w:hAnsi="宋体" w:cs="宋体"/>
          <w:color w:val="auto"/>
          <w:highlight w:val="none"/>
          <w:lang w:eastAsia="zh-CN"/>
        </w:rPr>
        <w:t>云</w:t>
      </w:r>
      <w:r>
        <w:rPr>
          <w:rFonts w:hint="eastAsia" w:hAnsi="宋体" w:cs="宋体"/>
          <w:color w:val="auto"/>
          <w:highlight w:val="none"/>
        </w:rPr>
        <w:t>主机CPU主频不低于2.40 GHz；</w:t>
      </w:r>
    </w:p>
    <w:p w14:paraId="4016656B">
      <w:pPr>
        <w:pStyle w:val="4"/>
        <w:snapToGrid w:val="0"/>
        <w:ind w:firstLine="480"/>
        <w:rPr>
          <w:rFonts w:hAnsi="宋体" w:cs="宋体"/>
          <w:color w:val="auto"/>
          <w:highlight w:val="none"/>
        </w:rPr>
      </w:pPr>
      <w:r>
        <w:rPr>
          <w:rFonts w:hint="eastAsia" w:hAnsi="宋体" w:cs="宋体"/>
          <w:color w:val="auto"/>
          <w:highlight w:val="none"/>
        </w:rPr>
        <w:t xml:space="preserve">1.2.10.2 </w:t>
      </w:r>
      <w:r>
        <w:rPr>
          <w:rFonts w:hint="eastAsia" w:hAnsi="宋体" w:cs="宋体"/>
          <w:color w:val="auto"/>
          <w:highlight w:val="none"/>
          <w:lang w:eastAsia="zh-CN"/>
        </w:rPr>
        <w:t>云</w:t>
      </w:r>
      <w:r>
        <w:rPr>
          <w:rFonts w:hint="eastAsia" w:hAnsi="宋体" w:cs="宋体"/>
          <w:color w:val="auto"/>
          <w:highlight w:val="none"/>
        </w:rPr>
        <w:t>主机内存硬件配置不低于DDR4-2400MHz；</w:t>
      </w:r>
    </w:p>
    <w:p w14:paraId="0F2444F3">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（二）存储服务</w:t>
      </w:r>
    </w:p>
    <w:p w14:paraId="750FA0B5">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2.1服务内容</w:t>
      </w:r>
    </w:p>
    <w:p w14:paraId="3A6A0E33">
      <w:pPr>
        <w:pStyle w:val="4"/>
        <w:snapToGrid w:val="0"/>
        <w:ind w:firstLine="480"/>
        <w:rPr>
          <w:rFonts w:hAnsi="宋体" w:cs="宋体"/>
          <w:color w:val="auto"/>
          <w:highlight w:val="none"/>
        </w:rPr>
      </w:pPr>
      <w:r>
        <w:rPr>
          <w:rFonts w:hint="eastAsia" w:hAnsi="宋体" w:cs="宋体"/>
          <w:color w:val="auto"/>
          <w:highlight w:val="none"/>
        </w:rPr>
        <w:t>按照采购人的具体需求，提供存储服务，包括：普通性能存储、高性能存储和本地备份服务，实现合理的存储资源配置。在提供政务云存储的服务过程中需做好采购人和对应项目应用开发厂商的协调沟通工作。</w:t>
      </w:r>
    </w:p>
    <w:p w14:paraId="2CDCAA10">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2.2服务标准</w:t>
      </w:r>
    </w:p>
    <w:p w14:paraId="101F2D5B">
      <w:pPr>
        <w:pStyle w:val="4"/>
        <w:snapToGrid w:val="0"/>
        <w:ind w:firstLine="480"/>
        <w:rPr>
          <w:rFonts w:hAnsi="宋体" w:cs="宋体"/>
          <w:color w:val="auto"/>
          <w:highlight w:val="none"/>
        </w:rPr>
      </w:pPr>
      <w:r>
        <w:rPr>
          <w:rFonts w:hint="eastAsia" w:hAnsi="宋体" w:cs="宋体"/>
          <w:color w:val="auto"/>
          <w:highlight w:val="none"/>
        </w:rPr>
        <w:t>2.2.1 支持结构化数据、半结构化数据和非结构化数据等多种数据类型存储；</w:t>
      </w:r>
    </w:p>
    <w:p w14:paraId="176222F8">
      <w:pPr>
        <w:pStyle w:val="4"/>
        <w:snapToGrid w:val="0"/>
        <w:ind w:firstLine="480"/>
        <w:rPr>
          <w:rFonts w:hAnsi="宋体" w:cs="宋体"/>
          <w:color w:val="auto"/>
          <w:highlight w:val="none"/>
        </w:rPr>
      </w:pPr>
      <w:r>
        <w:rPr>
          <w:rFonts w:hint="eastAsia" w:hAnsi="宋体" w:cs="宋体"/>
          <w:color w:val="auto"/>
          <w:highlight w:val="none"/>
        </w:rPr>
        <w:t>2.2.2 支持块存储、对象存储、文件存储等多种存储方法，满足数据备份、视频存储等不同应用场景使用要求；</w:t>
      </w:r>
    </w:p>
    <w:p w14:paraId="25FF422F">
      <w:pPr>
        <w:pStyle w:val="4"/>
        <w:snapToGrid w:val="0"/>
        <w:ind w:firstLine="480"/>
        <w:rPr>
          <w:rFonts w:hAnsi="宋体" w:cs="宋体"/>
          <w:color w:val="auto"/>
          <w:highlight w:val="none"/>
        </w:rPr>
      </w:pPr>
      <w:r>
        <w:rPr>
          <w:rFonts w:hint="eastAsia" w:hAnsi="宋体" w:cs="宋体"/>
          <w:color w:val="auto"/>
          <w:highlight w:val="none"/>
        </w:rPr>
        <w:t>2.2.3 支持存储资源扩展能力，例如：PB级扩展；</w:t>
      </w:r>
    </w:p>
    <w:p w14:paraId="7B76AA1E">
      <w:pPr>
        <w:pStyle w:val="4"/>
        <w:snapToGrid w:val="0"/>
        <w:ind w:firstLine="480"/>
        <w:rPr>
          <w:rFonts w:hAnsi="宋体" w:cs="宋体"/>
          <w:color w:val="auto"/>
          <w:highlight w:val="none"/>
        </w:rPr>
      </w:pPr>
      <w:r>
        <w:rPr>
          <w:rFonts w:hint="eastAsia" w:hAnsi="宋体" w:cs="宋体"/>
          <w:color w:val="auto"/>
          <w:highlight w:val="none"/>
        </w:rPr>
        <w:t>2.2.4 支持磁盘容错技术，如磁盘故障后节点的自动平衡和重构、硬盘故障检测和处理、集群节点出现单盘故障时不影响业务运行等；</w:t>
      </w:r>
    </w:p>
    <w:p w14:paraId="2463A3FB">
      <w:pPr>
        <w:pStyle w:val="4"/>
        <w:snapToGrid w:val="0"/>
        <w:ind w:firstLine="480"/>
        <w:rPr>
          <w:rFonts w:hAnsi="宋体" w:cs="宋体"/>
          <w:color w:val="auto"/>
          <w:highlight w:val="none"/>
        </w:rPr>
      </w:pPr>
      <w:r>
        <w:rPr>
          <w:rFonts w:hint="eastAsia" w:hAnsi="宋体" w:cs="宋体"/>
          <w:color w:val="auto"/>
          <w:highlight w:val="none"/>
        </w:rPr>
        <w:t>2.2.5 支持加密存储，使用的密码算法应符合法律、法规的规定和密码相关国家标准、行业标准的有关要求；</w:t>
      </w:r>
    </w:p>
    <w:p w14:paraId="715B6AAF">
      <w:pPr>
        <w:pStyle w:val="4"/>
        <w:snapToGrid w:val="0"/>
        <w:ind w:firstLine="480"/>
        <w:rPr>
          <w:rFonts w:hAnsi="宋体" w:cs="宋体"/>
          <w:color w:val="auto"/>
          <w:highlight w:val="none"/>
        </w:rPr>
      </w:pPr>
      <w:r>
        <w:rPr>
          <w:rFonts w:hint="eastAsia" w:hAnsi="宋体" w:cs="宋体"/>
          <w:color w:val="auto"/>
          <w:highlight w:val="none"/>
        </w:rPr>
        <w:t>2.2.6 存储资源性能要求包括但不限于如下：</w:t>
      </w:r>
    </w:p>
    <w:p w14:paraId="44260641">
      <w:pPr>
        <w:pStyle w:val="4"/>
        <w:snapToGrid w:val="0"/>
        <w:ind w:firstLine="480"/>
        <w:rPr>
          <w:rFonts w:hAnsi="宋体" w:cs="宋体"/>
          <w:color w:val="auto"/>
          <w:highlight w:val="none"/>
        </w:rPr>
      </w:pPr>
      <w:r>
        <w:rPr>
          <w:rFonts w:hint="eastAsia" w:hAnsi="宋体" w:cs="宋体"/>
          <w:color w:val="auto"/>
          <w:highlight w:val="none"/>
        </w:rPr>
        <w:t>2.2.6.1 吞吐量：高性能存储系统的读写带宽应不低于1000MB/s,IOPS不低于20000;普通性能存储系统的读写带宽应不低于200MB/s，IOPS不低于1000。</w:t>
      </w:r>
    </w:p>
    <w:p w14:paraId="5D493A9D">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（三）网络服务</w:t>
      </w:r>
    </w:p>
    <w:p w14:paraId="354C8644">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3.1服务内容</w:t>
      </w:r>
    </w:p>
    <w:p w14:paraId="736C37D1">
      <w:pPr>
        <w:pStyle w:val="4"/>
        <w:snapToGrid w:val="0"/>
        <w:ind w:firstLine="480"/>
        <w:rPr>
          <w:rFonts w:hAnsi="宋体" w:cs="宋体"/>
          <w:color w:val="auto"/>
          <w:highlight w:val="none"/>
        </w:rPr>
      </w:pPr>
      <w:r>
        <w:rPr>
          <w:rFonts w:hint="eastAsia" w:hAnsi="宋体" w:cs="宋体"/>
          <w:color w:val="auto"/>
          <w:highlight w:val="none"/>
        </w:rPr>
        <w:t>3.1.1 提供互联网链路带宽服务、互联网IP地址租用服务，并提供相应的网络域名备案服务，配合应用开发厂商提供网络策略配置服务。</w:t>
      </w:r>
    </w:p>
    <w:p w14:paraId="62508F86">
      <w:pPr>
        <w:pStyle w:val="4"/>
        <w:snapToGrid w:val="0"/>
        <w:ind w:firstLine="480"/>
        <w:rPr>
          <w:rFonts w:hAnsi="宋体" w:cs="宋体"/>
          <w:color w:val="auto"/>
          <w:highlight w:val="none"/>
        </w:rPr>
      </w:pPr>
      <w:r>
        <w:rPr>
          <w:rFonts w:hint="eastAsia" w:hAnsi="宋体" w:cs="宋体"/>
          <w:color w:val="auto"/>
          <w:highlight w:val="none"/>
        </w:rPr>
        <w:t>3.1.2 主机负载均衡服务，通过云管理平台实现针每租户按需自动分配负载均衡服务的能力。</w:t>
      </w:r>
    </w:p>
    <w:p w14:paraId="586BE96A">
      <w:pPr>
        <w:pStyle w:val="4"/>
        <w:snapToGrid w:val="0"/>
        <w:ind w:firstLine="480"/>
        <w:rPr>
          <w:rFonts w:hAnsi="宋体" w:cs="宋体"/>
          <w:color w:val="auto"/>
          <w:highlight w:val="none"/>
        </w:rPr>
      </w:pPr>
      <w:r>
        <w:rPr>
          <w:rFonts w:hint="eastAsia" w:hAnsi="宋体" w:cs="宋体"/>
          <w:color w:val="auto"/>
          <w:highlight w:val="none"/>
        </w:rPr>
        <w:t>3.1.3 远程接入服务，提供互联网远程接入服务，每个账号结合身份验证接入堡垒机维护应用系统。</w:t>
      </w:r>
    </w:p>
    <w:p w14:paraId="5906E2BB">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3.2服务标准</w:t>
      </w:r>
    </w:p>
    <w:p w14:paraId="001CAA59">
      <w:pPr>
        <w:pStyle w:val="4"/>
        <w:snapToGrid w:val="0"/>
        <w:ind w:firstLine="480"/>
        <w:rPr>
          <w:rFonts w:hAnsi="宋体" w:cs="宋体"/>
          <w:color w:val="auto"/>
          <w:highlight w:val="none"/>
        </w:rPr>
      </w:pPr>
      <w:r>
        <w:rPr>
          <w:rFonts w:hint="eastAsia" w:hAnsi="宋体" w:cs="宋体"/>
          <w:color w:val="auto"/>
          <w:highlight w:val="none"/>
        </w:rPr>
        <w:t>网络系统提供稳定的数据传输能力，一般要求如下：</w:t>
      </w:r>
    </w:p>
    <w:p w14:paraId="08D55C0A">
      <w:pPr>
        <w:pStyle w:val="4"/>
        <w:snapToGrid w:val="0"/>
        <w:ind w:firstLine="480"/>
        <w:rPr>
          <w:rFonts w:hAnsi="宋体" w:cs="宋体"/>
          <w:color w:val="auto"/>
          <w:highlight w:val="none"/>
        </w:rPr>
      </w:pPr>
      <w:r>
        <w:rPr>
          <w:rFonts w:hint="eastAsia" w:hAnsi="宋体" w:cs="宋体"/>
          <w:color w:val="auto"/>
          <w:highlight w:val="none"/>
        </w:rPr>
        <w:t>3.2.1 具备多运营商网络接入服务的能力；</w:t>
      </w:r>
    </w:p>
    <w:p w14:paraId="02727962">
      <w:pPr>
        <w:pStyle w:val="4"/>
        <w:snapToGrid w:val="0"/>
        <w:ind w:firstLine="480"/>
        <w:rPr>
          <w:rFonts w:hAnsi="宋体" w:cs="宋体"/>
          <w:color w:val="auto"/>
          <w:highlight w:val="none"/>
        </w:rPr>
      </w:pPr>
      <w:r>
        <w:rPr>
          <w:rFonts w:hint="eastAsia" w:hAnsi="宋体" w:cs="宋体"/>
          <w:color w:val="auto"/>
          <w:highlight w:val="none"/>
        </w:rPr>
        <w:t>3.2.2 数据中心组网架构设计可采用大二层网络架构，支持云主机无障碍动态迁移；</w:t>
      </w:r>
    </w:p>
    <w:p w14:paraId="55D36A9D">
      <w:pPr>
        <w:pStyle w:val="4"/>
        <w:snapToGrid w:val="0"/>
        <w:ind w:firstLine="480"/>
        <w:rPr>
          <w:rFonts w:hAnsi="宋体" w:cs="宋体"/>
          <w:color w:val="auto"/>
          <w:highlight w:val="none"/>
        </w:rPr>
      </w:pPr>
      <w:r>
        <w:rPr>
          <w:rFonts w:hint="eastAsia" w:hAnsi="宋体" w:cs="宋体"/>
          <w:color w:val="auto"/>
          <w:highlight w:val="none"/>
        </w:rPr>
        <w:t>3.2.3 应采用集群部署网络控制，以保障升级时业务不中断；</w:t>
      </w:r>
    </w:p>
    <w:p w14:paraId="59A03632">
      <w:pPr>
        <w:pStyle w:val="4"/>
        <w:snapToGrid w:val="0"/>
        <w:ind w:firstLine="480"/>
        <w:rPr>
          <w:rFonts w:hAnsi="宋体" w:cs="宋体"/>
          <w:color w:val="auto"/>
          <w:highlight w:val="none"/>
        </w:rPr>
      </w:pPr>
      <w:r>
        <w:rPr>
          <w:rFonts w:hint="eastAsia" w:hAnsi="宋体" w:cs="宋体"/>
          <w:color w:val="auto"/>
          <w:highlight w:val="none"/>
        </w:rPr>
        <w:t>3.2.4 应实现自动化动态网络资源调配和隔离，支持与互联网、电子政务外网及行业部门专网的连接；</w:t>
      </w:r>
    </w:p>
    <w:p w14:paraId="59FB6BE9">
      <w:pPr>
        <w:pStyle w:val="4"/>
        <w:snapToGrid w:val="0"/>
        <w:ind w:firstLine="480"/>
        <w:rPr>
          <w:rFonts w:hAnsi="宋体" w:cs="宋体"/>
          <w:color w:val="auto"/>
          <w:highlight w:val="none"/>
        </w:rPr>
      </w:pPr>
      <w:r>
        <w:rPr>
          <w:rFonts w:hint="eastAsia" w:hAnsi="宋体" w:cs="宋体"/>
          <w:color w:val="auto"/>
          <w:highlight w:val="none"/>
        </w:rPr>
        <w:t>3.2.5 支持IPv6地址分配，满足业务系统IPv6要求；</w:t>
      </w:r>
    </w:p>
    <w:p w14:paraId="59CD9662">
      <w:pPr>
        <w:pStyle w:val="4"/>
        <w:snapToGrid w:val="0"/>
        <w:ind w:firstLine="480"/>
        <w:rPr>
          <w:rFonts w:hAnsi="宋体" w:cs="宋体"/>
          <w:color w:val="auto"/>
          <w:highlight w:val="none"/>
        </w:rPr>
      </w:pPr>
      <w:r>
        <w:rPr>
          <w:rFonts w:hint="eastAsia" w:hAnsi="宋体" w:cs="宋体"/>
          <w:color w:val="auto"/>
          <w:highlight w:val="none"/>
        </w:rPr>
        <w:t>3.2.6 具备边界防火墙和VPC防火墙隔离能力，分别针对不同的流量进行安全策略防护与配置；</w:t>
      </w:r>
    </w:p>
    <w:p w14:paraId="643702F6">
      <w:pPr>
        <w:pStyle w:val="4"/>
        <w:snapToGrid w:val="0"/>
        <w:ind w:firstLine="480"/>
        <w:rPr>
          <w:rFonts w:hAnsi="宋体" w:cs="宋体"/>
          <w:color w:val="auto"/>
          <w:highlight w:val="none"/>
        </w:rPr>
      </w:pPr>
      <w:r>
        <w:rPr>
          <w:rFonts w:hint="eastAsia" w:hAnsi="宋体" w:cs="宋体"/>
          <w:color w:val="auto"/>
          <w:highlight w:val="none"/>
        </w:rPr>
        <w:t>3.2.7 具备高可用虚拟IP能力，在集群或主备场景下，云主机可绑定高可用虚拟IP，达到高可用访问效果；</w:t>
      </w:r>
    </w:p>
    <w:p w14:paraId="6B1104A0">
      <w:pPr>
        <w:pStyle w:val="4"/>
        <w:snapToGrid w:val="0"/>
        <w:ind w:firstLine="480"/>
        <w:rPr>
          <w:rFonts w:hAnsi="宋体" w:cs="宋体"/>
          <w:color w:val="auto"/>
          <w:highlight w:val="none"/>
        </w:rPr>
      </w:pPr>
      <w:r>
        <w:rPr>
          <w:rFonts w:hint="eastAsia" w:hAnsi="宋体" w:cs="宋体"/>
          <w:color w:val="auto"/>
          <w:highlight w:val="none"/>
        </w:rPr>
        <w:t>3.2.8 采用双活网络架构，降低单点故障带来的稳定风险；为入云系统划分安全区域，合理制定访问规则。</w:t>
      </w:r>
    </w:p>
    <w:p w14:paraId="386A1C54">
      <w:pPr>
        <w:pStyle w:val="4"/>
        <w:snapToGrid w:val="0"/>
        <w:ind w:firstLine="480"/>
        <w:rPr>
          <w:rFonts w:hAnsi="宋体" w:cs="宋体"/>
          <w:color w:val="auto"/>
          <w:highlight w:val="none"/>
        </w:rPr>
      </w:pPr>
      <w:r>
        <w:rPr>
          <w:rFonts w:hint="eastAsia" w:hAnsi="宋体" w:cs="宋体"/>
          <w:color w:val="auto"/>
          <w:highlight w:val="none"/>
        </w:rPr>
        <w:t>3.2.9 网络系统性能要求包括但不限于如下：</w:t>
      </w:r>
    </w:p>
    <w:p w14:paraId="765B7A91">
      <w:pPr>
        <w:pStyle w:val="4"/>
        <w:snapToGrid w:val="0"/>
        <w:ind w:firstLine="480"/>
        <w:rPr>
          <w:rFonts w:hAnsi="宋体" w:cs="宋体"/>
          <w:color w:val="auto"/>
          <w:highlight w:val="none"/>
        </w:rPr>
      </w:pPr>
      <w:r>
        <w:rPr>
          <w:rFonts w:hint="eastAsia" w:hAnsi="宋体" w:cs="宋体"/>
          <w:color w:val="auto"/>
          <w:highlight w:val="none"/>
        </w:rPr>
        <w:t>3.2.9.1 政务云政务外网出口总带宽10Gbps；</w:t>
      </w:r>
    </w:p>
    <w:p w14:paraId="1F87447A">
      <w:pPr>
        <w:pStyle w:val="4"/>
        <w:snapToGrid w:val="0"/>
        <w:ind w:firstLine="480"/>
        <w:rPr>
          <w:rFonts w:hAnsi="宋体" w:cs="宋体"/>
          <w:color w:val="auto"/>
          <w:highlight w:val="none"/>
        </w:rPr>
      </w:pPr>
      <w:r>
        <w:rPr>
          <w:rFonts w:hint="eastAsia" w:hAnsi="宋体" w:cs="宋体"/>
          <w:color w:val="auto"/>
          <w:highlight w:val="none"/>
        </w:rPr>
        <w:t>3.2.9.2 政务云互联网出口总带宽5Gbps；</w:t>
      </w:r>
    </w:p>
    <w:p w14:paraId="3DEF601F">
      <w:pPr>
        <w:pStyle w:val="4"/>
        <w:snapToGrid w:val="0"/>
        <w:ind w:firstLine="480"/>
        <w:rPr>
          <w:rFonts w:hAnsi="宋体" w:cs="宋体"/>
          <w:color w:val="auto"/>
          <w:highlight w:val="none"/>
        </w:rPr>
      </w:pPr>
      <w:r>
        <w:rPr>
          <w:rFonts w:hint="eastAsia" w:hAnsi="宋体" w:cs="宋体"/>
          <w:color w:val="auto"/>
          <w:highlight w:val="none"/>
        </w:rPr>
        <w:t>3.2.9.3 云主机云内相互调用带宽不低于1Gb/s；</w:t>
      </w:r>
    </w:p>
    <w:p w14:paraId="562B0D52">
      <w:pPr>
        <w:pStyle w:val="4"/>
        <w:snapToGrid w:val="0"/>
        <w:ind w:firstLine="480"/>
        <w:rPr>
          <w:rFonts w:hAnsi="宋体" w:cs="宋体"/>
          <w:color w:val="auto"/>
          <w:highlight w:val="none"/>
        </w:rPr>
      </w:pPr>
      <w:r>
        <w:rPr>
          <w:rFonts w:hint="eastAsia" w:hAnsi="宋体" w:cs="宋体"/>
          <w:color w:val="auto"/>
          <w:highlight w:val="none"/>
        </w:rPr>
        <w:t>3.2.9.4 数据传输中的丢包比例低于0.01%。</w:t>
      </w:r>
    </w:p>
    <w:p w14:paraId="28793966">
      <w:pPr>
        <w:pStyle w:val="4"/>
        <w:snapToGrid w:val="0"/>
        <w:ind w:firstLine="480"/>
        <w:rPr>
          <w:rFonts w:hAnsi="宋体" w:cs="宋体"/>
          <w:color w:val="auto"/>
          <w:highlight w:val="none"/>
        </w:rPr>
      </w:pPr>
      <w:r>
        <w:rPr>
          <w:rFonts w:hint="eastAsia" w:hAnsi="宋体" w:cs="宋体"/>
          <w:color w:val="auto"/>
          <w:highlight w:val="none"/>
        </w:rPr>
        <w:t>3.2.10 远程接入服务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0F3F14D5">
      <w:pPr>
        <w:pStyle w:val="4"/>
        <w:snapToGrid w:val="0"/>
        <w:ind w:firstLine="480"/>
        <w:rPr>
          <w:rFonts w:hAnsi="宋体" w:cs="宋体"/>
          <w:color w:val="auto"/>
          <w:highlight w:val="none"/>
        </w:rPr>
      </w:pPr>
      <w:r>
        <w:rPr>
          <w:rFonts w:hint="eastAsia" w:hAnsi="宋体" w:cs="宋体"/>
          <w:color w:val="auto"/>
          <w:highlight w:val="none"/>
        </w:rPr>
        <w:t>3.2.11 供应商应强化远程运维管理，因业务确需通过互联网远程运维的，应当采取安全管控措施，向采购提供安全管控方案。重要保障时期可以做到远程接入账号禁用操作，根据需求随时执行远程接入账号管控操作，并根据需求导出运维录屏操作记录。</w:t>
      </w:r>
    </w:p>
    <w:p w14:paraId="4DB99D2B">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（四）运维服务</w:t>
      </w:r>
    </w:p>
    <w:p w14:paraId="234F6FF4">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4.1服务内容</w:t>
      </w:r>
    </w:p>
    <w:p w14:paraId="79C89221">
      <w:pPr>
        <w:pStyle w:val="4"/>
        <w:snapToGrid w:val="0"/>
        <w:ind w:firstLine="480"/>
        <w:rPr>
          <w:rFonts w:hAnsi="宋体" w:cs="宋体"/>
          <w:color w:val="auto"/>
          <w:highlight w:val="none"/>
        </w:rPr>
      </w:pPr>
      <w:r>
        <w:rPr>
          <w:rFonts w:hint="eastAsia" w:hAnsi="宋体" w:cs="宋体"/>
          <w:color w:val="auto"/>
          <w:highlight w:val="none"/>
        </w:rPr>
        <w:t>4.1.1 负责机房环境资源、云平台硬件资产、虚拟化资产的管理工作；</w:t>
      </w:r>
    </w:p>
    <w:p w14:paraId="39CA4EB1">
      <w:pPr>
        <w:pStyle w:val="4"/>
        <w:snapToGrid w:val="0"/>
        <w:ind w:firstLine="480"/>
        <w:rPr>
          <w:rFonts w:hAnsi="宋体" w:cs="宋体"/>
          <w:color w:val="auto"/>
          <w:highlight w:val="none"/>
        </w:rPr>
      </w:pPr>
      <w:r>
        <w:rPr>
          <w:rFonts w:hint="eastAsia" w:hAnsi="宋体" w:cs="宋体"/>
          <w:color w:val="auto"/>
          <w:highlight w:val="none"/>
        </w:rPr>
        <w:t>4.1.2 信息系统入云、上线、变更、退出等各阶段的备案与信息变更等工作；</w:t>
      </w:r>
    </w:p>
    <w:p w14:paraId="0AF4C895">
      <w:pPr>
        <w:pStyle w:val="4"/>
        <w:snapToGrid w:val="0"/>
        <w:ind w:firstLine="480"/>
        <w:rPr>
          <w:rFonts w:hAnsi="宋体" w:cs="宋体"/>
          <w:color w:val="auto"/>
          <w:highlight w:val="none"/>
        </w:rPr>
      </w:pPr>
      <w:r>
        <w:rPr>
          <w:rFonts w:hint="eastAsia" w:hAnsi="宋体" w:cs="宋体"/>
          <w:color w:val="auto"/>
          <w:highlight w:val="none"/>
        </w:rPr>
        <w:t>4.1.3 执行云平台变更申请、审批流程；</w:t>
      </w:r>
    </w:p>
    <w:p w14:paraId="7DC6BF9B">
      <w:pPr>
        <w:pStyle w:val="4"/>
        <w:snapToGrid w:val="0"/>
        <w:ind w:firstLine="480"/>
        <w:rPr>
          <w:rFonts w:hAnsi="宋体" w:cs="宋体"/>
          <w:color w:val="auto"/>
          <w:highlight w:val="none"/>
        </w:rPr>
      </w:pPr>
      <w:r>
        <w:rPr>
          <w:rFonts w:hint="eastAsia" w:hAnsi="宋体" w:cs="宋体"/>
          <w:color w:val="auto"/>
          <w:highlight w:val="none"/>
        </w:rPr>
        <w:t>4.1.4 云平台网络资源管理，针对内部地址使用情况、云平台专线接入情况、政务外网资源使用情况等做好统计工作；</w:t>
      </w:r>
    </w:p>
    <w:p w14:paraId="4D3B53F0">
      <w:pPr>
        <w:pStyle w:val="4"/>
        <w:snapToGrid w:val="0"/>
        <w:ind w:firstLine="480"/>
        <w:rPr>
          <w:rFonts w:hAnsi="宋体" w:cs="宋体"/>
          <w:color w:val="auto"/>
          <w:highlight w:val="none"/>
        </w:rPr>
      </w:pPr>
      <w:r>
        <w:rPr>
          <w:rFonts w:hint="eastAsia" w:hAnsi="宋体" w:cs="宋体"/>
          <w:color w:val="auto"/>
          <w:highlight w:val="none"/>
        </w:rPr>
        <w:t>4.1.5 服务期内，投标人须配备运维团队，提供可靠的售后服务保障。投标人针对采购人要求的云平台运维服务相关内容，需指定专业技术能力较强的工程师，根据采购人要求配合开展相关维护服务。</w:t>
      </w:r>
    </w:p>
    <w:p w14:paraId="795CFC74">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4.2服务标准</w:t>
      </w:r>
    </w:p>
    <w:p w14:paraId="460943BC">
      <w:pPr>
        <w:pStyle w:val="4"/>
        <w:snapToGrid w:val="0"/>
        <w:ind w:firstLine="480"/>
        <w:rPr>
          <w:rFonts w:hAnsi="宋体" w:cs="宋体"/>
          <w:color w:val="auto"/>
          <w:highlight w:val="none"/>
        </w:rPr>
      </w:pPr>
      <w:r>
        <w:rPr>
          <w:rFonts w:hint="eastAsia" w:hAnsi="宋体" w:cs="宋体"/>
          <w:color w:val="auto"/>
          <w:highlight w:val="none"/>
        </w:rPr>
        <w:t>4.2.1 依据《北京市市级政务云管理办法》，投标人应当提供高效的系统维护服务，有效防范系统风险，系统对应负责人7*24小时电话畅通，能够在系统发生除宕机外的其他故障问题时，能够协调人力资源在1小时内到达政务云机房现场提供服务。系统发生宕机问题时，投标人应在15分钟内响应，能够协调人力资源在2小时内到达运维现场定位、排除故障，在4个小时之内使系统恢复正常，故障处理完毕后提供相关系统宕机报告。</w:t>
      </w:r>
    </w:p>
    <w:p w14:paraId="63B603CB">
      <w:pPr>
        <w:pStyle w:val="4"/>
        <w:snapToGrid w:val="0"/>
        <w:ind w:firstLine="480"/>
        <w:rPr>
          <w:rFonts w:hAnsi="宋体" w:cs="宋体"/>
          <w:color w:val="auto"/>
          <w:highlight w:val="none"/>
        </w:rPr>
      </w:pPr>
      <w:r>
        <w:rPr>
          <w:rFonts w:hint="eastAsia" w:hAnsi="宋体" w:cs="宋体"/>
          <w:color w:val="auto"/>
          <w:highlight w:val="none"/>
        </w:rPr>
        <w:t>4.2.2 为保障业务高峰期内系统平稳运行，缓解系统高峰期内因业务发生量增大而带来系统压力风险，要求投标人根据业务周期性特点，加大运维保障力度，保证在业务高峰期内系统平稳运行。</w:t>
      </w:r>
    </w:p>
    <w:p w14:paraId="1429E33F">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3</w:t>
      </w:r>
      <w:r>
        <w:rPr>
          <w:rFonts w:hint="eastAsia" w:hAnsi="宋体" w:cs="宋体"/>
          <w:color w:val="auto"/>
          <w:highlight w:val="none"/>
        </w:rPr>
        <w:t xml:space="preserve"> 重点保障时期重要信息系统云主机资源调整时间不超过1小时，针对重点保障时期的重要信息系统重要云主机，投标人应按采购人要求进行实时监控，超过预警阈值时主动上调云资源，并第一时间通知采购人进行相应操作，确保系统平稳运行。</w:t>
      </w:r>
    </w:p>
    <w:p w14:paraId="6F7370D5">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4</w:t>
      </w:r>
      <w:r>
        <w:rPr>
          <w:rFonts w:hint="eastAsia" w:hAnsi="宋体" w:cs="宋体"/>
          <w:color w:val="auto"/>
          <w:highlight w:val="none"/>
        </w:rPr>
        <w:t xml:space="preserve"> 按照国家、北京市相关规定和信息安全技术标准及规范要求, 落实安全保障措施, 通过信息安全测评机构的测评和政务云安全审查 。</w:t>
      </w:r>
    </w:p>
    <w:p w14:paraId="1E51B294">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5</w:t>
      </w:r>
      <w:r>
        <w:rPr>
          <w:rFonts w:hint="eastAsia" w:hAnsi="宋体" w:cs="宋体"/>
          <w:color w:val="auto"/>
          <w:highlight w:val="none"/>
        </w:rPr>
        <w:t>投标人应明确运维操作规范和工作流程。定期开展文档查阅、漏洞扫描、渗透测试等多种形式的安全自查，排查政务网络和信息系统可能存在的安全漏洞，以及木马、后门、病毒等隐患风险，及时进行整改加固，切实防范安全风险。</w:t>
      </w:r>
    </w:p>
    <w:p w14:paraId="4A01BFDC">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6</w:t>
      </w:r>
      <w:r>
        <w:rPr>
          <w:rFonts w:hint="eastAsia" w:hAnsi="宋体" w:cs="宋体"/>
          <w:color w:val="auto"/>
          <w:highlight w:val="none"/>
        </w:rPr>
        <w:t>投标人应建立政务网络和数据安全监测通报机制，加强网络和数据安全监测，及时发布预警信息，开展政务网络和数据安全应急保障工作。发现其网络产品或服务存在安全漏洞等隐患风险时，应当立即采取补救措施，按照规定及时告知采购人并向有关监管部门报告。</w:t>
      </w:r>
    </w:p>
    <w:p w14:paraId="15B3F774">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7</w:t>
      </w:r>
      <w:r>
        <w:rPr>
          <w:rFonts w:hint="eastAsia" w:hAnsi="宋体" w:cs="宋体"/>
          <w:color w:val="auto"/>
          <w:highlight w:val="none"/>
        </w:rPr>
        <w:t>投标人应保障政务云规范运行。入云系统应开展网络安全测评及备案。应对数据进行分类分级管理，根据数据分级保护要求采取相应级别的安全防护措施；应按相关要求对重要数据进行异地备份。</w:t>
      </w:r>
    </w:p>
    <w:p w14:paraId="3573293D">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8</w:t>
      </w:r>
      <w:r>
        <w:rPr>
          <w:rFonts w:hint="eastAsia" w:hAnsi="宋体" w:cs="宋体"/>
          <w:color w:val="auto"/>
          <w:highlight w:val="none"/>
        </w:rPr>
        <w:t>除不可抗力或计划内维护作业造成的政务云服务中断外,政务云实行24小时不间断运行。</w:t>
      </w:r>
    </w:p>
    <w:p w14:paraId="3A9C6D77">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（五）备份服务</w:t>
      </w:r>
    </w:p>
    <w:p w14:paraId="0C05E687">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5.1服务内容</w:t>
      </w:r>
    </w:p>
    <w:p w14:paraId="31532418">
      <w:pPr>
        <w:pStyle w:val="4"/>
        <w:snapToGrid w:val="0"/>
        <w:ind w:firstLine="480"/>
        <w:rPr>
          <w:rFonts w:hAnsi="宋体" w:cs="宋体"/>
          <w:color w:val="auto"/>
          <w:highlight w:val="none"/>
        </w:rPr>
      </w:pPr>
      <w:r>
        <w:rPr>
          <w:rFonts w:hint="eastAsia" w:hAnsi="宋体" w:cs="宋体"/>
          <w:color w:val="auto"/>
          <w:highlight w:val="none"/>
        </w:rPr>
        <w:t>投标人需具有本地和同城异地数据级备份能力，并配合采购人完成数据级容灾演练及恢复等工作。</w:t>
      </w:r>
    </w:p>
    <w:p w14:paraId="32DE87B7">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5.2服务标准</w:t>
      </w:r>
    </w:p>
    <w:p w14:paraId="712CE1CA">
      <w:pPr>
        <w:pStyle w:val="4"/>
        <w:snapToGrid w:val="0"/>
        <w:ind w:firstLine="480"/>
        <w:rPr>
          <w:rFonts w:hAnsi="宋体" w:cs="宋体"/>
          <w:color w:val="auto"/>
          <w:highlight w:val="none"/>
        </w:rPr>
      </w:pPr>
      <w:r>
        <w:rPr>
          <w:rFonts w:hint="eastAsia" w:hAnsi="宋体" w:cs="宋体"/>
          <w:color w:val="auto"/>
          <w:highlight w:val="none"/>
        </w:rPr>
        <w:t>按照采购人的各个应用系统对资源的备份需求通过备份策略实现对用户数据（文件、操作系统、数据库）的本地备份（不包含备份存储空间费用），默认提供非结构化数据保护与文件备份保护。备份应满足如下要求:</w:t>
      </w:r>
    </w:p>
    <w:p w14:paraId="2F4C72E2">
      <w:pPr>
        <w:pStyle w:val="4"/>
        <w:snapToGrid w:val="0"/>
        <w:ind w:firstLine="480"/>
        <w:rPr>
          <w:rFonts w:hAnsi="宋体" w:cs="宋体"/>
          <w:color w:val="auto"/>
          <w:highlight w:val="none"/>
        </w:rPr>
      </w:pPr>
      <w:r>
        <w:rPr>
          <w:rFonts w:hint="eastAsia" w:hAnsi="宋体" w:cs="宋体"/>
          <w:color w:val="auto"/>
          <w:highlight w:val="none"/>
        </w:rPr>
        <w:t>5.2.1 备份介质本身具备高可用性和冗余性。</w:t>
      </w:r>
    </w:p>
    <w:p w14:paraId="5E3587EB">
      <w:pPr>
        <w:pStyle w:val="4"/>
        <w:snapToGrid w:val="0"/>
        <w:ind w:firstLine="480"/>
        <w:rPr>
          <w:rFonts w:hAnsi="宋体" w:cs="宋体"/>
          <w:color w:val="auto"/>
          <w:highlight w:val="none"/>
        </w:rPr>
      </w:pPr>
      <w:r>
        <w:rPr>
          <w:rFonts w:hint="eastAsia" w:hAnsi="宋体" w:cs="宋体"/>
          <w:color w:val="auto"/>
          <w:highlight w:val="none"/>
        </w:rPr>
        <w:t>5.2.2 备份方式包括完整备份、差异备份和增量备份。</w:t>
      </w:r>
    </w:p>
    <w:p w14:paraId="5B6CE76E">
      <w:pPr>
        <w:pStyle w:val="4"/>
        <w:snapToGrid w:val="0"/>
        <w:ind w:firstLine="480"/>
        <w:rPr>
          <w:rFonts w:hAnsi="宋体" w:cs="宋体"/>
          <w:color w:val="auto"/>
          <w:highlight w:val="none"/>
        </w:rPr>
      </w:pPr>
      <w:r>
        <w:rPr>
          <w:rFonts w:hint="eastAsia" w:hAnsi="宋体" w:cs="宋体"/>
          <w:color w:val="auto"/>
          <w:highlight w:val="none"/>
        </w:rPr>
        <w:t>5.2.3 支持Windows系列操作系统、Linux主流系统操作系统、主流数据库软件、主流中间件软件、结构化数据以及非结构化数据等备份对象。</w:t>
      </w:r>
    </w:p>
    <w:p w14:paraId="598D123E">
      <w:pPr>
        <w:pStyle w:val="4"/>
        <w:snapToGrid w:val="0"/>
        <w:ind w:firstLine="480"/>
        <w:rPr>
          <w:rFonts w:hAnsi="宋体" w:cs="宋体"/>
          <w:color w:val="auto"/>
          <w:highlight w:val="none"/>
        </w:rPr>
      </w:pPr>
      <w:r>
        <w:rPr>
          <w:rFonts w:hint="eastAsia" w:hAnsi="宋体" w:cs="宋体"/>
          <w:color w:val="auto"/>
          <w:highlight w:val="none"/>
        </w:rPr>
        <w:t>5.2.4 支持建立统一的备份管理系统，用来管理本地备份和异地备份。</w:t>
      </w:r>
    </w:p>
    <w:p w14:paraId="2008883C">
      <w:pPr>
        <w:pStyle w:val="4"/>
        <w:snapToGrid w:val="0"/>
        <w:ind w:firstLine="480"/>
        <w:rPr>
          <w:rFonts w:hAnsi="宋体" w:cs="宋体"/>
          <w:color w:val="auto"/>
          <w:highlight w:val="none"/>
        </w:rPr>
      </w:pPr>
      <w:r>
        <w:rPr>
          <w:rFonts w:hint="eastAsia" w:hAnsi="宋体" w:cs="宋体"/>
          <w:color w:val="auto"/>
          <w:highlight w:val="none"/>
        </w:rPr>
        <w:t>5.2.5 投标人应提供对备份过程状态、备份结果提供运维监控保障服务，确保备份任务执行成功以及备份的数据完整性。</w:t>
      </w:r>
    </w:p>
    <w:p w14:paraId="7CB020F7">
      <w:pPr>
        <w:pStyle w:val="3"/>
        <w:spacing w:before="0" w:line="240" w:lineRule="auto"/>
        <w:jc w:val="both"/>
        <w:rPr>
          <w:rFonts w:ascii="楷体" w:hAnsi="楷体" w:eastAsia="楷体" w:cs="楷体"/>
          <w:b/>
          <w:bCs/>
          <w:color w:val="auto"/>
          <w:sz w:val="24"/>
          <w:highlight w:val="none"/>
        </w:rPr>
      </w:pPr>
      <w:r>
        <w:rPr>
          <w:rFonts w:hint="eastAsia" w:ascii="楷体" w:hAnsi="楷体" w:eastAsia="楷体" w:cs="楷体"/>
          <w:b/>
          <w:bCs/>
          <w:color w:val="auto"/>
          <w:sz w:val="24"/>
          <w:highlight w:val="none"/>
        </w:rPr>
        <w:t>（六）迁移服务</w:t>
      </w:r>
    </w:p>
    <w:p w14:paraId="7D4A1E24">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6.1服务内容</w:t>
      </w:r>
    </w:p>
    <w:p w14:paraId="5A3A9CC5">
      <w:pPr>
        <w:pStyle w:val="4"/>
        <w:snapToGrid w:val="0"/>
        <w:ind w:firstLine="480"/>
        <w:rPr>
          <w:rFonts w:hAnsi="宋体" w:cs="宋体"/>
          <w:color w:val="auto"/>
          <w:highlight w:val="none"/>
        </w:rPr>
      </w:pPr>
      <w:r>
        <w:rPr>
          <w:rFonts w:hint="eastAsia" w:hAnsi="宋体" w:cs="宋体"/>
          <w:color w:val="auto"/>
          <w:highlight w:val="none"/>
        </w:rPr>
        <w:t>投标人需提供整体的业务上云迁移服务，应支持X86云主机迁移、X86物理主机迁移、单机数据库迁移、高可用数据库迁移等迁移场景。负责需求调研、架构规划设计、应用迁移部署等工作。</w:t>
      </w:r>
    </w:p>
    <w:p w14:paraId="0AB4596D">
      <w:pPr>
        <w:ind w:firstLine="482" w:firstLineChars="200"/>
        <w:rPr>
          <w:rFonts w:ascii="宋体" w:hAnsi="宋体" w:cs="宋体"/>
          <w:bCs/>
          <w:color w:val="auto"/>
          <w:sz w:val="24"/>
          <w:highlight w:val="none"/>
          <w:lang w:bidi="ar"/>
        </w:rPr>
      </w:pPr>
      <w:r>
        <w:rPr>
          <w:rFonts w:hint="eastAsia" w:ascii="宋体" w:hAnsi="宋体" w:cs="宋体"/>
          <w:b/>
          <w:bCs/>
          <w:color w:val="auto"/>
          <w:sz w:val="24"/>
          <w:highlight w:val="none"/>
        </w:rPr>
        <w:t>6.2服务标准</w:t>
      </w:r>
    </w:p>
    <w:p w14:paraId="17770524">
      <w:pPr>
        <w:pStyle w:val="4"/>
        <w:snapToGrid w:val="0"/>
        <w:ind w:firstLine="480"/>
        <w:rPr>
          <w:rFonts w:hAnsi="宋体" w:cs="宋体"/>
          <w:color w:val="auto"/>
          <w:highlight w:val="none"/>
        </w:rPr>
      </w:pPr>
      <w:r>
        <w:rPr>
          <w:rFonts w:hint="eastAsia" w:hAnsi="宋体" w:cs="宋体"/>
          <w:color w:val="auto"/>
          <w:highlight w:val="none"/>
        </w:rPr>
        <w:t>本项目涉及的业务系统为采购人在用的生产系统，目前在政务云上平稳运行，因此保障业务连续性是重要的保障需求。迁移服务具体要求如下：</w:t>
      </w:r>
    </w:p>
    <w:p w14:paraId="256D61AD">
      <w:pPr>
        <w:pStyle w:val="4"/>
        <w:snapToGrid w:val="0"/>
        <w:ind w:firstLine="480"/>
        <w:rPr>
          <w:rFonts w:hAnsi="宋体" w:cs="宋体"/>
          <w:color w:val="auto"/>
          <w:highlight w:val="none"/>
        </w:rPr>
      </w:pPr>
      <w:r>
        <w:rPr>
          <w:rFonts w:hint="eastAsia" w:hAnsi="宋体" w:cs="宋体"/>
          <w:color w:val="auto"/>
          <w:highlight w:val="none"/>
        </w:rPr>
        <w:t>6.2.1 投标人需编制业务连续性服务方案。</w:t>
      </w:r>
    </w:p>
    <w:p w14:paraId="5297F735">
      <w:pPr>
        <w:pStyle w:val="4"/>
        <w:snapToGrid w:val="0"/>
        <w:ind w:firstLine="480"/>
        <w:rPr>
          <w:rFonts w:hAnsi="宋体" w:cs="宋体"/>
          <w:color w:val="auto"/>
          <w:highlight w:val="none"/>
        </w:rPr>
      </w:pPr>
      <w:r>
        <w:rPr>
          <w:rFonts w:hint="eastAsia" w:hAnsi="宋体" w:cs="宋体"/>
          <w:color w:val="auto"/>
          <w:highlight w:val="none"/>
        </w:rPr>
        <w:t>6.2.2 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6C53910F">
      <w:pPr>
        <w:pStyle w:val="4"/>
        <w:snapToGrid w:val="0"/>
        <w:ind w:firstLine="480"/>
        <w:rPr>
          <w:rFonts w:hAnsi="宋体" w:cs="宋体"/>
          <w:color w:val="auto"/>
          <w:highlight w:val="none"/>
        </w:rPr>
      </w:pPr>
      <w:r>
        <w:rPr>
          <w:rFonts w:hint="eastAsia" w:hAnsi="宋体" w:cs="宋体"/>
          <w:color w:val="auto"/>
          <w:highlight w:val="none"/>
        </w:rPr>
        <w:t>6.2.3 本项目如涉及系统迁移，为保障业务系统的连续性，投标人应承诺自中标之日起，积极与原服务商对接，在5个工作日内，完成系统迁移平滑过渡，且因此产生的各项费用（包括但不限于测试阶段的云资源费用，系统开发商对业务系统的部署、调试费用等），应包含在投标人的报价中，提供“承诺函”并加盖投标人公章。</w:t>
      </w:r>
    </w:p>
    <w:p w14:paraId="3B5AA87C">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（七）培训服务</w:t>
      </w:r>
    </w:p>
    <w:p w14:paraId="77F07E44">
      <w:pPr>
        <w:pStyle w:val="4"/>
        <w:snapToGrid w:val="0"/>
        <w:ind w:firstLine="480"/>
        <w:rPr>
          <w:rFonts w:hAnsi="宋体" w:cs="宋体"/>
          <w:color w:val="auto"/>
          <w:highlight w:val="none"/>
        </w:rPr>
      </w:pPr>
      <w:r>
        <w:rPr>
          <w:rFonts w:hint="eastAsia" w:hAnsi="宋体" w:cs="宋体"/>
          <w:color w:val="auto"/>
          <w:highlight w:val="none"/>
        </w:rPr>
        <w:t>投标人提供云服务操作手册，并为采购人提供必要的使用培训，至少提供以下内容：</w:t>
      </w:r>
    </w:p>
    <w:p w14:paraId="654352CE">
      <w:pPr>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7.1内部培训</w:t>
      </w:r>
    </w:p>
    <w:p w14:paraId="6EB2B555">
      <w:pPr>
        <w:pStyle w:val="4"/>
        <w:snapToGrid w:val="0"/>
        <w:ind w:firstLine="480"/>
        <w:rPr>
          <w:rFonts w:hAnsi="宋体" w:cs="宋体"/>
          <w:color w:val="auto"/>
          <w:highlight w:val="none"/>
        </w:rPr>
      </w:pPr>
      <w:r>
        <w:rPr>
          <w:rFonts w:hint="eastAsia" w:hAnsi="宋体" w:cs="宋体"/>
          <w:color w:val="auto"/>
          <w:highlight w:val="none"/>
        </w:rPr>
        <w:t>内部培训旨在提高云平台运维能力，规范运维管理。内容包括但不限于：</w:t>
      </w:r>
    </w:p>
    <w:p w14:paraId="27BBCD8C">
      <w:pPr>
        <w:pStyle w:val="4"/>
        <w:snapToGrid w:val="0"/>
        <w:ind w:firstLine="480"/>
        <w:rPr>
          <w:rFonts w:hAnsi="宋体" w:cs="宋体"/>
          <w:color w:val="auto"/>
          <w:highlight w:val="none"/>
        </w:rPr>
      </w:pPr>
      <w:r>
        <w:rPr>
          <w:rFonts w:hint="eastAsia" w:hAnsi="宋体" w:cs="宋体"/>
          <w:color w:val="auto"/>
          <w:highlight w:val="none"/>
        </w:rPr>
        <w:t>7.1.1 面向项目管理人员、系统管理人员的培训，确保此类人员能清晰地了解云平台的设计理念和设计方法，掌握云平台的整体结构，以及各类云资源的申请、审核、开通、回收等管理流程。</w:t>
      </w:r>
    </w:p>
    <w:p w14:paraId="15B961AC">
      <w:pPr>
        <w:pStyle w:val="4"/>
        <w:snapToGrid w:val="0"/>
        <w:ind w:firstLine="480"/>
        <w:rPr>
          <w:rFonts w:hAnsi="宋体" w:cs="宋体"/>
          <w:color w:val="auto"/>
          <w:highlight w:val="none"/>
        </w:rPr>
      </w:pPr>
      <w:r>
        <w:rPr>
          <w:rFonts w:hint="eastAsia" w:hAnsi="宋体" w:cs="宋体"/>
          <w:color w:val="auto"/>
          <w:highlight w:val="none"/>
        </w:rPr>
        <w:t>7.1.2 面向系统维护人员的培训，确保此类人员能理解和掌握云平台的相关技术知识，能够熟练地维护云平台，快速定位和解决系统出现的问题，保证云平台服务期间正常运转，并持续提高运维服务质量。</w:t>
      </w:r>
    </w:p>
    <w:p w14:paraId="6620C5BF">
      <w:pPr>
        <w:pStyle w:val="4"/>
        <w:snapToGrid w:val="0"/>
        <w:ind w:firstLine="480"/>
        <w:rPr>
          <w:rFonts w:hAnsi="宋体" w:cs="宋体"/>
          <w:color w:val="auto"/>
          <w:highlight w:val="none"/>
        </w:rPr>
      </w:pPr>
      <w:r>
        <w:rPr>
          <w:rFonts w:hint="eastAsia" w:hAnsi="宋体" w:cs="宋体"/>
          <w:color w:val="auto"/>
          <w:highlight w:val="none"/>
        </w:rPr>
        <w:t>7.1.3 本单位人员的安全培训教育，确保工作人员符合岗位要求。</w:t>
      </w:r>
    </w:p>
    <w:p w14:paraId="67877717">
      <w:pPr>
        <w:pStyle w:val="4"/>
        <w:snapToGrid w:val="0"/>
        <w:ind w:firstLine="480"/>
        <w:rPr>
          <w:rFonts w:hAnsi="宋体" w:cs="宋体"/>
          <w:color w:val="auto"/>
          <w:highlight w:val="none"/>
        </w:rPr>
      </w:pPr>
      <w:r>
        <w:rPr>
          <w:rFonts w:hint="eastAsia" w:hAnsi="宋体" w:cs="宋体"/>
          <w:color w:val="auto"/>
          <w:highlight w:val="none"/>
        </w:rPr>
        <w:t>7.1.4 云平台维护人员的定期业务培训和保密培训，重保前的业务培训和应急保障培训等。</w:t>
      </w:r>
    </w:p>
    <w:p w14:paraId="74C4ABF0">
      <w:pPr>
        <w:pStyle w:val="4"/>
        <w:snapToGrid w:val="0"/>
        <w:ind w:firstLine="480"/>
        <w:rPr>
          <w:rFonts w:hAnsi="宋体" w:cs="宋体"/>
          <w:color w:val="auto"/>
          <w:highlight w:val="none"/>
        </w:rPr>
      </w:pPr>
      <w:r>
        <w:rPr>
          <w:rFonts w:hint="eastAsia" w:hAnsi="宋体" w:cs="宋体"/>
          <w:color w:val="auto"/>
          <w:highlight w:val="none"/>
        </w:rPr>
        <w:t>7.1.5 面向管理单位的培训，确保此类人员充分了解云平台的技术架构、服务水平等。</w:t>
      </w:r>
    </w:p>
    <w:p w14:paraId="3615E6C3">
      <w:pPr>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7.2外部培训</w:t>
      </w:r>
    </w:p>
    <w:p w14:paraId="13AFFFA7">
      <w:pPr>
        <w:pStyle w:val="4"/>
        <w:snapToGrid w:val="0"/>
        <w:ind w:firstLine="480"/>
        <w:rPr>
          <w:rFonts w:hAnsi="宋体" w:cs="宋体"/>
          <w:color w:val="auto"/>
          <w:highlight w:val="none"/>
        </w:rPr>
      </w:pPr>
      <w:r>
        <w:rPr>
          <w:rFonts w:hint="eastAsia" w:hAnsi="宋体" w:cs="宋体"/>
          <w:color w:val="auto"/>
          <w:highlight w:val="none"/>
        </w:rPr>
        <w:t>投标人应根据本项目的特点制定培训方案并提供培训，负责安排专业培训讲师授课，并提供全套培训教材和培训课程计划表，培训课程涵盖云平台使用和管理培训，采购人在培训后能够独立使用相关服务功能。投标人每年应组织安排至少一次针对采购人的系统入云及用户培训，培训规模应至少10人次。投标人应将所有培训费用（含培训教材费）及各项支出计入资源租赁费用中，不单独报价。内容包括但不限于：</w:t>
      </w:r>
    </w:p>
    <w:p w14:paraId="4CE4FA19">
      <w:pPr>
        <w:pStyle w:val="4"/>
        <w:snapToGrid w:val="0"/>
        <w:ind w:firstLine="480"/>
        <w:rPr>
          <w:rFonts w:hAnsi="宋体" w:cs="宋体"/>
          <w:color w:val="auto"/>
          <w:highlight w:val="none"/>
        </w:rPr>
      </w:pPr>
      <w:r>
        <w:rPr>
          <w:rFonts w:hint="eastAsia" w:hAnsi="宋体" w:cs="宋体"/>
          <w:color w:val="auto"/>
          <w:highlight w:val="none"/>
        </w:rPr>
        <w:t>7.2.1 面向采购人和开发人员的技术交流，包括云架构规划咨询、应用系统部署、迁移，云平台运维及其他技术服务。</w:t>
      </w:r>
    </w:p>
    <w:p w14:paraId="3DAB01ED">
      <w:pPr>
        <w:pStyle w:val="4"/>
        <w:snapToGrid w:val="0"/>
        <w:ind w:firstLine="480"/>
        <w:rPr>
          <w:rFonts w:hAnsi="宋体" w:cs="宋体"/>
          <w:color w:val="auto"/>
          <w:highlight w:val="none"/>
        </w:rPr>
      </w:pPr>
      <w:r>
        <w:rPr>
          <w:rFonts w:hint="eastAsia" w:hAnsi="宋体" w:cs="宋体"/>
          <w:color w:val="auto"/>
          <w:highlight w:val="none"/>
        </w:rPr>
        <w:t>7.2.2 面向采购人的培训，确保云平台最终用户能理解和掌握各类云服务的使用方法和操作技巧，能够高效、熟练地基于云平台部署上层业务应用，最终使采购人在培训后能够独立使用相关服务功能，而不必依赖投标人现场指导。</w:t>
      </w:r>
    </w:p>
    <w:p w14:paraId="4EFAD188">
      <w:pPr>
        <w:pStyle w:val="4"/>
        <w:snapToGrid w:val="0"/>
        <w:ind w:firstLine="480"/>
        <w:rPr>
          <w:rFonts w:hAnsi="宋体" w:cs="宋体"/>
          <w:color w:val="auto"/>
          <w:highlight w:val="none"/>
        </w:rPr>
      </w:pPr>
      <w:r>
        <w:rPr>
          <w:rFonts w:hint="eastAsia" w:hAnsi="宋体" w:cs="宋体"/>
          <w:color w:val="auto"/>
          <w:highlight w:val="none"/>
        </w:rPr>
        <w:t>7.2.3 面向开发人员的培训，确保其能理解和掌握基于云平台的开发规范，针对具体的业务应用场景能够充分发挥云平台的技术优势，合理地设计上层业务应用的技术架构，制订部署、迁移方案，评估云资源的容量需求。</w:t>
      </w:r>
    </w:p>
    <w:p w14:paraId="4F9FF2C5">
      <w:pPr>
        <w:pStyle w:val="4"/>
        <w:snapToGrid w:val="0"/>
        <w:ind w:firstLine="480"/>
        <w:rPr>
          <w:rFonts w:hAnsi="宋体" w:cs="宋体"/>
          <w:color w:val="auto"/>
          <w:highlight w:val="none"/>
        </w:rPr>
      </w:pPr>
      <w:r>
        <w:rPr>
          <w:rFonts w:hint="eastAsia" w:hAnsi="宋体" w:cs="宋体"/>
          <w:color w:val="auto"/>
          <w:highlight w:val="none"/>
        </w:rPr>
        <w:t>7.2.4 定期对系统相关的人员进行应急预案培训，并进行应急预案的演练；每年至少开展1次云平台应急演练。</w:t>
      </w:r>
    </w:p>
    <w:p w14:paraId="7AEF2977">
      <w:pPr>
        <w:pStyle w:val="4"/>
        <w:snapToGrid w:val="0"/>
        <w:ind w:firstLine="480"/>
        <w:rPr>
          <w:rFonts w:hAnsi="宋体" w:cs="宋体"/>
          <w:color w:val="auto"/>
          <w:highlight w:val="none"/>
        </w:rPr>
      </w:pPr>
      <w:r>
        <w:rPr>
          <w:rFonts w:hint="eastAsia" w:hAnsi="宋体" w:cs="宋体"/>
          <w:color w:val="auto"/>
          <w:highlight w:val="none"/>
        </w:rPr>
        <w:t>7.2.5 投标人应在此基础上制定针对本单位的培训方案。</w:t>
      </w:r>
    </w:p>
    <w:p w14:paraId="2CEA0C6D">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（八）其他服务</w:t>
      </w:r>
    </w:p>
    <w:p w14:paraId="46C11845">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8.1服务规范</w:t>
      </w:r>
    </w:p>
    <w:p w14:paraId="341D5448">
      <w:pPr>
        <w:pStyle w:val="4"/>
        <w:snapToGrid w:val="0"/>
        <w:ind w:firstLine="480"/>
        <w:rPr>
          <w:rFonts w:hAnsi="宋体" w:cs="宋体"/>
          <w:color w:val="auto"/>
          <w:highlight w:val="none"/>
        </w:rPr>
      </w:pPr>
      <w:r>
        <w:rPr>
          <w:rFonts w:hint="eastAsia" w:hAnsi="宋体" w:cs="宋体"/>
          <w:color w:val="auto"/>
          <w:highlight w:val="none"/>
        </w:rPr>
        <w:t>投标人须严格按照采购人制定的管理办法、流程及其他汇报制度、应急制度、文档管理、资产管理、基线管理、人员管理、培训与考试、知识库管理、安全管理等相关制度，开展标准化运维工作。</w:t>
      </w:r>
    </w:p>
    <w:p w14:paraId="281BE89A">
      <w:pPr>
        <w:pStyle w:val="4"/>
        <w:snapToGrid w:val="0"/>
        <w:ind w:firstLine="480"/>
        <w:rPr>
          <w:rFonts w:hAnsi="宋体" w:cs="宋体"/>
          <w:color w:val="auto"/>
          <w:highlight w:val="none"/>
        </w:rPr>
      </w:pPr>
      <w:r>
        <w:rPr>
          <w:rFonts w:hint="eastAsia" w:hAnsi="宋体" w:cs="宋体"/>
          <w:color w:val="auto"/>
          <w:highlight w:val="none"/>
        </w:rPr>
        <w:t>投标人应遵从政务云管理单位的日常管理要求，包括但不限于应使用政务云管理单位指定的安全通信工具，确保通信和协调信息处于可控范围。</w:t>
      </w:r>
    </w:p>
    <w:p w14:paraId="41557BEF">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8.2支撑保障服务</w:t>
      </w:r>
    </w:p>
    <w:p w14:paraId="471ADD88">
      <w:pPr>
        <w:pStyle w:val="4"/>
        <w:snapToGrid w:val="0"/>
        <w:ind w:firstLine="480"/>
        <w:rPr>
          <w:rFonts w:hAnsi="宋体" w:cs="宋体"/>
          <w:color w:val="auto"/>
          <w:highlight w:val="none"/>
        </w:rPr>
      </w:pPr>
      <w:r>
        <w:rPr>
          <w:rFonts w:hint="eastAsia" w:hAnsi="宋体" w:cs="宋体"/>
          <w:color w:val="auto"/>
          <w:highlight w:val="none"/>
        </w:rPr>
        <w:t>按照采购人有关国产数据库改造、国产密码应用改造等相关需求，提供咨询、评估、论证、使用等支撑保障服务。</w:t>
      </w:r>
    </w:p>
    <w:p w14:paraId="54F08064">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8.4其他技术服务</w:t>
      </w:r>
    </w:p>
    <w:p w14:paraId="6E73E90F">
      <w:pPr>
        <w:pStyle w:val="4"/>
        <w:snapToGrid w:val="0"/>
        <w:ind w:firstLine="480"/>
        <w:rPr>
          <w:rFonts w:hint="eastAsia" w:hAnsi="宋体" w:cs="宋体"/>
          <w:color w:val="auto"/>
          <w:highlight w:val="none"/>
        </w:rPr>
      </w:pPr>
      <w:r>
        <w:rPr>
          <w:rFonts w:hint="eastAsia" w:hAnsi="宋体" w:cs="宋体"/>
          <w:color w:val="auto"/>
          <w:highlight w:val="none"/>
        </w:rPr>
        <w:t>投标人可根据采购人具体需求提供性能测试、性能调优、深度巡检、重保护航、全链路压测、专项咨询等服务。</w:t>
      </w:r>
    </w:p>
    <w:p w14:paraId="383E30FF">
      <w:pPr>
        <w:pStyle w:val="3"/>
        <w:spacing w:before="0" w:line="240" w:lineRule="auto"/>
        <w:jc w:val="both"/>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九</w:t>
      </w:r>
      <w:r>
        <w:rPr>
          <w:rFonts w:hint="eastAsia" w:ascii="楷体" w:hAnsi="楷体" w:eastAsia="楷体" w:cs="楷体"/>
          <w:color w:val="auto"/>
          <w:sz w:val="24"/>
          <w:highlight w:val="none"/>
        </w:rPr>
        <w:t>）验收</w:t>
      </w:r>
      <w:r>
        <w:rPr>
          <w:rFonts w:hint="eastAsia" w:ascii="楷体" w:hAnsi="楷体" w:eastAsia="楷体" w:cs="楷体"/>
          <w:color w:val="auto"/>
          <w:sz w:val="24"/>
          <w:highlight w:val="none"/>
          <w:lang w:val="en-US" w:eastAsia="zh-CN"/>
        </w:rPr>
        <w:t>要求</w:t>
      </w:r>
    </w:p>
    <w:p w14:paraId="1CD52269">
      <w:pPr>
        <w:snapToGrid/>
        <w:spacing w:line="24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9.1</w:t>
      </w:r>
      <w:r>
        <w:rPr>
          <w:rFonts w:hint="eastAsia" w:ascii="宋体" w:hAnsi="宋体" w:eastAsia="宋体" w:cs="宋体"/>
          <w:b/>
          <w:bCs/>
          <w:color w:val="auto"/>
          <w:sz w:val="24"/>
          <w:highlight w:val="none"/>
        </w:rPr>
        <w:t>服务绩效指标</w:t>
      </w:r>
    </w:p>
    <w:p w14:paraId="2643484D">
      <w:pPr>
        <w:pStyle w:val="7"/>
        <w:numPr>
          <w:ilvl w:val="0"/>
          <w:numId w:val="1"/>
        </w:numPr>
        <w:snapToGrid w:val="0"/>
        <w:spacing w:before="0" w:line="240" w:lineRule="auto"/>
        <w:ind w:firstLine="480"/>
        <w:rPr>
          <w:rFonts w:hint="eastAsia" w:cs="宋体"/>
          <w:color w:val="auto"/>
          <w:highlight w:val="none"/>
        </w:rPr>
      </w:pPr>
      <w:r>
        <w:rPr>
          <w:rFonts w:hint="eastAsia" w:cs="宋体"/>
          <w:color w:val="auto"/>
          <w:highlight w:val="none"/>
        </w:rPr>
        <w:t>云服务全年整体可用性≥99.9</w:t>
      </w:r>
      <w:r>
        <w:rPr>
          <w:rFonts w:hint="eastAsia" w:cs="宋体"/>
          <w:color w:val="auto"/>
          <w:highlight w:val="none"/>
          <w:lang w:val="en-US" w:eastAsia="zh-CN"/>
        </w:rPr>
        <w:t>9</w:t>
      </w:r>
      <w:r>
        <w:rPr>
          <w:rFonts w:hint="eastAsia" w:cs="宋体"/>
          <w:color w:val="auto"/>
          <w:highlight w:val="none"/>
        </w:rPr>
        <w:t>%；</w:t>
      </w:r>
    </w:p>
    <w:p w14:paraId="6BB2AA4C">
      <w:pPr>
        <w:pStyle w:val="7"/>
        <w:numPr>
          <w:ilvl w:val="0"/>
          <w:numId w:val="1"/>
        </w:numPr>
        <w:snapToGrid w:val="0"/>
        <w:ind w:firstLine="480"/>
        <w:rPr>
          <w:color w:val="auto"/>
          <w:highlight w:val="none"/>
        </w:rPr>
      </w:pPr>
      <w:r>
        <w:rPr>
          <w:rFonts w:ascii="宋体" w:hAnsi="宋体"/>
          <w:color w:val="auto"/>
          <w:spacing w:val="-10"/>
          <w:szCs w:val="21"/>
          <w:highlight w:val="none"/>
          <w:lang w:val="zh-CN" w:bidi="zh-CN"/>
        </w:rPr>
        <w:t>数据可靠性应不低于</w:t>
      </w:r>
      <w:r>
        <w:rPr>
          <w:rFonts w:ascii="宋体" w:hAnsi="宋体" w:cs="宋体"/>
          <w:color w:val="auto"/>
          <w:szCs w:val="21"/>
          <w:highlight w:val="none"/>
          <w:u w:val="single"/>
          <w:lang w:val="zh-CN" w:bidi="zh-CN"/>
        </w:rPr>
        <w:t xml:space="preserve"> </w:t>
      </w:r>
      <w:r>
        <w:rPr>
          <w:rFonts w:hint="eastAsia" w:ascii="宋体" w:hAnsi="宋体" w:cs="宋体"/>
          <w:color w:val="auto"/>
          <w:szCs w:val="21"/>
          <w:highlight w:val="none"/>
          <w:u w:val="single"/>
          <w:lang w:bidi="zh-CN"/>
        </w:rPr>
        <w:t>99.9999</w:t>
      </w:r>
      <w:r>
        <w:rPr>
          <w:rFonts w:ascii="宋体" w:hAnsi="宋体" w:cs="宋体"/>
          <w:color w:val="auto"/>
          <w:szCs w:val="21"/>
          <w:highlight w:val="none"/>
          <w:u w:val="single"/>
          <w:lang w:val="zh-CN" w:bidi="zh-CN"/>
        </w:rPr>
        <w:t xml:space="preserve"> </w:t>
      </w:r>
      <w:r>
        <w:rPr>
          <w:rFonts w:ascii="宋体" w:hAnsi="宋体"/>
          <w:color w:val="auto"/>
          <w:spacing w:val="-10"/>
          <w:szCs w:val="21"/>
          <w:highlight w:val="none"/>
          <w:lang w:val="zh-CN" w:bidi="zh-CN"/>
        </w:rPr>
        <w:t>%</w:t>
      </w:r>
    </w:p>
    <w:p w14:paraId="7C7423D3">
      <w:pPr>
        <w:pStyle w:val="7"/>
        <w:snapToGrid w:val="0"/>
        <w:spacing w:before="0" w:line="240" w:lineRule="auto"/>
        <w:ind w:firstLine="480"/>
        <w:rPr>
          <w:rFonts w:cs="宋体"/>
          <w:color w:val="auto"/>
          <w:highlight w:val="none"/>
        </w:rPr>
      </w:pPr>
      <w:r>
        <w:rPr>
          <w:rFonts w:hint="eastAsia" w:cs="宋体"/>
          <w:color w:val="auto"/>
          <w:highlight w:val="none"/>
        </w:rPr>
        <w:t>（</w:t>
      </w:r>
      <w:r>
        <w:rPr>
          <w:rFonts w:hint="eastAsia" w:cs="宋体"/>
          <w:color w:val="auto"/>
          <w:highlight w:val="none"/>
          <w:lang w:val="en-US" w:eastAsia="zh-CN"/>
        </w:rPr>
        <w:t>3</w:t>
      </w:r>
      <w:r>
        <w:rPr>
          <w:rFonts w:hint="eastAsia" w:cs="宋体"/>
          <w:color w:val="auto"/>
          <w:highlight w:val="none"/>
        </w:rPr>
        <w:t>）故障响应率100%；</w:t>
      </w:r>
    </w:p>
    <w:p w14:paraId="31DBBFF3">
      <w:pPr>
        <w:pStyle w:val="5"/>
        <w:tabs>
          <w:tab w:val="left" w:pos="567"/>
        </w:tabs>
        <w:snapToGrid w:val="0"/>
        <w:ind w:firstLine="480" w:firstLineChars="200"/>
        <w:rPr>
          <w:rFonts w:cs="宋体"/>
          <w:color w:val="auto"/>
          <w:sz w:val="24"/>
          <w:highlight w:val="none"/>
        </w:rPr>
      </w:pPr>
      <w:r>
        <w:rPr>
          <w:rFonts w:hint="eastAsia" w:cs="宋体"/>
          <w:color w:val="auto"/>
          <w:sz w:val="24"/>
          <w:highlight w:val="none"/>
        </w:rPr>
        <w:t>（</w:t>
      </w:r>
      <w:r>
        <w:rPr>
          <w:rFonts w:hint="eastAsia" w:cs="宋体"/>
          <w:color w:val="auto"/>
          <w:sz w:val="24"/>
          <w:highlight w:val="none"/>
          <w:lang w:val="en-US" w:eastAsia="zh-CN"/>
        </w:rPr>
        <w:t>4</w:t>
      </w:r>
      <w:r>
        <w:rPr>
          <w:rFonts w:hint="eastAsia" w:cs="宋体"/>
          <w:color w:val="auto"/>
          <w:sz w:val="24"/>
          <w:highlight w:val="none"/>
        </w:rPr>
        <w:t>）应急响应时间≤5分钟（</w:t>
      </w:r>
      <w:r>
        <w:rPr>
          <w:rFonts w:hint="eastAsia"/>
          <w:color w:val="auto"/>
          <w:sz w:val="24"/>
          <w:highlight w:val="none"/>
          <w:lang w:val="en-US" w:eastAsia="zh-CN"/>
        </w:rPr>
        <w:t>云主机停止运行、网络无法连接等重大事件</w:t>
      </w:r>
      <w:r>
        <w:rPr>
          <w:rFonts w:hint="eastAsia" w:cs="宋体"/>
          <w:color w:val="auto"/>
          <w:sz w:val="24"/>
          <w:highlight w:val="none"/>
        </w:rPr>
        <w:t>1分钟内响应）；</w:t>
      </w:r>
    </w:p>
    <w:p w14:paraId="4A9B9857">
      <w:pPr>
        <w:snapToGrid/>
        <w:spacing w:line="24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2项目验收要求</w:t>
      </w:r>
    </w:p>
    <w:p w14:paraId="41FC2675">
      <w:pPr>
        <w:snapToGrid w:val="0"/>
        <w:spacing w:line="24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投标人所提供的北京市市级政务云基础资源服务应遵循客观、科学、合理的原则，符合《北京市市级政务云管理办法》的相关标准及要求。</w:t>
      </w:r>
    </w:p>
    <w:p w14:paraId="31B0DC66">
      <w:pPr>
        <w:snapToGrid w:val="0"/>
        <w:spacing w:line="24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投标人所提供资源应满足采购文件规定的要求。保证合同期内系统安全稳定运行，不因硬件故障导致服务中断6小时及以上。</w:t>
      </w:r>
    </w:p>
    <w:p w14:paraId="10E941DB">
      <w:pPr>
        <w:snapToGrid w:val="0"/>
        <w:spacing w:line="24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服务期满后5个工作日开始对合同项目进行验收，投标人应当在采购人指定的验收日前向采购人提交验收报告。验收报告的内容包括但不限于，合同规定的各项服务清单，各系统设备运行情况。</w:t>
      </w:r>
    </w:p>
    <w:p w14:paraId="78CFD20D">
      <w:pPr>
        <w:pStyle w:val="4"/>
        <w:snapToGrid w:val="0"/>
        <w:ind w:firstLine="480"/>
        <w:rPr>
          <w:rFonts w:hint="eastAsia" w:hAnsi="宋体" w:cs="宋体"/>
          <w:color w:val="auto"/>
          <w:highlight w:val="none"/>
        </w:rPr>
      </w:pPr>
      <w:r>
        <w:rPr>
          <w:rFonts w:hint="eastAsia" w:hAnsi="宋体" w:cs="宋体"/>
          <w:color w:val="auto"/>
          <w:highlight w:val="none"/>
        </w:rPr>
        <w:t>（4）服务期届满，投标人按照采购人要求完成所有项目，各项记录、报告等文档齐全，无任何系统遗留问题，并通过由采购人组织的验收评审，方可通过验收。</w:t>
      </w:r>
    </w:p>
    <w:p w14:paraId="6AC01C62">
      <w:pPr>
        <w:pStyle w:val="2"/>
        <w:numPr>
          <w:ilvl w:val="0"/>
          <w:numId w:val="0"/>
        </w:numPr>
        <w:spacing w:before="0" w:after="0" w:line="240" w:lineRule="auto"/>
        <w:ind w:left="0" w:firstLine="0"/>
        <w:jc w:val="both"/>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四、</w:t>
      </w:r>
      <w:r>
        <w:rPr>
          <w:rFonts w:hint="eastAsia" w:ascii="黑体" w:hAnsi="黑体" w:eastAsia="黑体" w:cs="黑体"/>
          <w:color w:val="auto"/>
          <w:sz w:val="24"/>
          <w:highlight w:val="none"/>
        </w:rPr>
        <w:t>团队要求</w:t>
      </w:r>
    </w:p>
    <w:p w14:paraId="71B9A6CA">
      <w:pPr>
        <w:pStyle w:val="4"/>
        <w:snapToGrid w:val="0"/>
        <w:ind w:firstLine="482"/>
        <w:rPr>
          <w:rFonts w:hAnsi="宋体" w:cs="宋体"/>
          <w:color w:val="auto"/>
          <w:highlight w:val="none"/>
        </w:rPr>
      </w:pPr>
      <w:r>
        <w:rPr>
          <w:rFonts w:hint="eastAsia" w:hAnsi="宋体" w:cs="宋体"/>
          <w:color w:val="auto"/>
          <w:highlight w:val="none"/>
        </w:rPr>
        <w:t>1.服务期内，投标人须设有7×24小时电话响应服务、具备运维团队，提供售后服务保障。团队成员应明确职责，架构清晰，岗位设置合理，且具备与本项目相关的项目经验。</w:t>
      </w:r>
    </w:p>
    <w:p w14:paraId="691009BD">
      <w:pPr>
        <w:pStyle w:val="7"/>
        <w:adjustRightInd w:val="0"/>
        <w:snapToGrid w:val="0"/>
        <w:spacing w:before="0" w:line="240" w:lineRule="auto"/>
        <w:ind w:firstLine="482"/>
        <w:textAlignment w:val="baseline"/>
        <w:rPr>
          <w:rFonts w:cs="宋体"/>
          <w:color w:val="auto"/>
          <w:highlight w:val="none"/>
        </w:rPr>
      </w:pPr>
      <w:r>
        <w:rPr>
          <w:rFonts w:hint="eastAsia" w:cs="宋体"/>
          <w:color w:val="auto"/>
          <w:highlight w:val="none"/>
        </w:rPr>
        <w:t>2.该项目服务团队要求配备项目经理1人、技术负责人1人以及相应实施人员，项目团队总人数不少于8人（含项目经理和技术负责人）。其中：</w:t>
      </w:r>
    </w:p>
    <w:p w14:paraId="67BDD886">
      <w:pPr>
        <w:pStyle w:val="7"/>
        <w:adjustRightInd w:val="0"/>
        <w:snapToGrid w:val="0"/>
        <w:spacing w:before="0" w:line="240" w:lineRule="auto"/>
        <w:ind w:firstLine="482"/>
        <w:textAlignment w:val="baseline"/>
        <w:rPr>
          <w:rFonts w:cs="宋体"/>
          <w:color w:val="auto"/>
          <w:highlight w:val="none"/>
        </w:rPr>
      </w:pPr>
      <w:r>
        <w:rPr>
          <w:rFonts w:hint="eastAsia" w:cs="宋体"/>
          <w:color w:val="auto"/>
          <w:highlight w:val="none"/>
        </w:rPr>
        <w:t>项目经理：应5年以上相关工作经验，具有信息系统项目管理师（高级）证书和网络规划设计师（高级）证书，具有优秀的大型项目团队管理能力，善于协调各方资源，保证项目服务期保障要求。</w:t>
      </w:r>
    </w:p>
    <w:p w14:paraId="1B9DBF0D">
      <w:pPr>
        <w:pStyle w:val="7"/>
        <w:adjustRightInd w:val="0"/>
        <w:snapToGrid w:val="0"/>
        <w:spacing w:before="0" w:line="240" w:lineRule="auto"/>
        <w:ind w:firstLine="482"/>
        <w:textAlignment w:val="baseline"/>
        <w:rPr>
          <w:rFonts w:cs="宋体"/>
          <w:color w:val="auto"/>
          <w:highlight w:val="none"/>
        </w:rPr>
      </w:pPr>
      <w:r>
        <w:rPr>
          <w:rFonts w:hint="eastAsia" w:cs="宋体"/>
          <w:color w:val="auto"/>
          <w:highlight w:val="none"/>
        </w:rPr>
        <w:t>技术负责人：应具有5年以上相关工作经验，具有CISP(注册信息安全工程师)资格证书。</w:t>
      </w:r>
    </w:p>
    <w:p w14:paraId="14FCFCF4">
      <w:pPr>
        <w:pStyle w:val="7"/>
        <w:adjustRightInd w:val="0"/>
        <w:snapToGrid w:val="0"/>
        <w:spacing w:before="0" w:line="240" w:lineRule="auto"/>
        <w:ind w:firstLine="482"/>
        <w:textAlignment w:val="baseline"/>
        <w:rPr>
          <w:rFonts w:hint="eastAsia" w:cs="宋体"/>
          <w:color w:val="auto"/>
          <w:highlight w:val="none"/>
        </w:rPr>
      </w:pPr>
      <w:r>
        <w:rPr>
          <w:rFonts w:hint="eastAsia" w:cs="宋体"/>
          <w:color w:val="auto"/>
          <w:highlight w:val="none"/>
        </w:rPr>
        <w:t>其他项目组成员：不少于6名（不含项目经理和技术负责人），具有5年以上相关工作经验。</w:t>
      </w:r>
    </w:p>
    <w:p w14:paraId="29AC46B3">
      <w:pPr>
        <w:pStyle w:val="7"/>
        <w:adjustRightInd w:val="0"/>
        <w:snapToGrid w:val="0"/>
        <w:spacing w:before="0" w:line="240" w:lineRule="auto"/>
        <w:ind w:firstLine="482"/>
        <w:textAlignment w:val="baseline"/>
        <w:rPr>
          <w:rFonts w:cs="宋体"/>
          <w:color w:val="auto"/>
          <w:highlight w:val="none"/>
        </w:rPr>
      </w:pPr>
      <w:r>
        <w:rPr>
          <w:rFonts w:hint="eastAsia" w:cs="宋体"/>
          <w:color w:val="auto"/>
          <w:highlight w:val="none"/>
        </w:rPr>
        <w:t>项目经理应是专职负责人，在服务期内不可更换。项目成员保证60%以上为固定人员，项目成员如有变化，需提前10个工作日通知采购人，经采购人审批同意后方可更换。</w:t>
      </w:r>
    </w:p>
    <w:p w14:paraId="54457477">
      <w:pPr>
        <w:pStyle w:val="2"/>
        <w:numPr>
          <w:ilvl w:val="0"/>
          <w:numId w:val="0"/>
        </w:numPr>
        <w:spacing w:before="0" w:after="0" w:line="240" w:lineRule="auto"/>
        <w:ind w:left="0" w:firstLine="0"/>
        <w:jc w:val="both"/>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五、</w:t>
      </w:r>
      <w:r>
        <w:rPr>
          <w:rFonts w:hint="eastAsia" w:ascii="黑体" w:hAnsi="黑体" w:eastAsia="黑体" w:cs="黑体"/>
          <w:color w:val="auto"/>
          <w:sz w:val="24"/>
          <w:highlight w:val="none"/>
        </w:rPr>
        <w:t>保密要求</w:t>
      </w:r>
    </w:p>
    <w:p w14:paraId="79920F2D">
      <w:pPr>
        <w:pStyle w:val="4"/>
        <w:snapToGrid w:val="0"/>
        <w:ind w:firstLine="480"/>
        <w:rPr>
          <w:rFonts w:hAnsi="宋体" w:cs="宋体"/>
          <w:color w:val="auto"/>
          <w:highlight w:val="none"/>
        </w:rPr>
      </w:pPr>
      <w:r>
        <w:rPr>
          <w:rFonts w:hint="eastAsia" w:hAnsi="宋体" w:cs="宋体"/>
          <w:color w:val="auto"/>
          <w:highlight w:val="none"/>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14EFAD0F">
      <w:pPr>
        <w:pStyle w:val="4"/>
        <w:snapToGrid w:val="0"/>
        <w:ind w:firstLine="480"/>
        <w:rPr>
          <w:rFonts w:hAnsi="宋体" w:cs="宋体"/>
          <w:color w:val="auto"/>
          <w:highlight w:val="none"/>
        </w:rPr>
      </w:pPr>
      <w:r>
        <w:rPr>
          <w:rFonts w:hint="eastAsia" w:hAnsi="宋体" w:cs="宋体"/>
          <w:color w:val="auto"/>
          <w:highlight w:val="none"/>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28137C0B">
      <w:pPr>
        <w:pStyle w:val="4"/>
        <w:snapToGrid w:val="0"/>
        <w:ind w:firstLine="480"/>
        <w:rPr>
          <w:rFonts w:hAnsi="宋体" w:cs="宋体"/>
          <w:color w:val="auto"/>
          <w:highlight w:val="none"/>
        </w:rPr>
      </w:pPr>
      <w:r>
        <w:rPr>
          <w:rFonts w:hint="eastAsia" w:hAnsi="宋体" w:cs="宋体"/>
          <w:color w:val="auto"/>
          <w:highlight w:val="none"/>
        </w:rPr>
        <w:t>（3）投标人保证将保密信息的披露范围严格控制在直接从事该项目工作且因工作需要有必要知悉保密信息的工作人员范围内,对投标人非从事该项目的人员一律严格保密。</w:t>
      </w:r>
    </w:p>
    <w:p w14:paraId="57FBA06D">
      <w:pPr>
        <w:pStyle w:val="4"/>
        <w:snapToGrid w:val="0"/>
        <w:ind w:firstLine="480"/>
        <w:rPr>
          <w:rFonts w:hAnsi="宋体" w:cs="宋体"/>
          <w:color w:val="auto"/>
          <w:highlight w:val="none"/>
        </w:rPr>
      </w:pPr>
      <w:r>
        <w:rPr>
          <w:rFonts w:hint="eastAsia" w:hAnsi="宋体" w:cs="宋体"/>
          <w:color w:val="auto"/>
          <w:highlight w:val="none"/>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3620BBBF">
      <w:pPr>
        <w:pStyle w:val="4"/>
        <w:snapToGrid w:val="0"/>
        <w:ind w:firstLine="480"/>
        <w:rPr>
          <w:rFonts w:hAnsi="宋体" w:cs="宋体"/>
          <w:color w:val="auto"/>
          <w:highlight w:val="none"/>
        </w:rPr>
      </w:pPr>
      <w:r>
        <w:rPr>
          <w:rFonts w:hint="eastAsia" w:hAnsi="宋体" w:cs="宋体"/>
          <w:color w:val="auto"/>
          <w:highlight w:val="none"/>
        </w:rPr>
        <w:t>（5）任何时间内，一经采购人提出要求，投标人应按照采购人指示在收到采购人书面通知后 5 日内将含有保密信息的所有文件或其他资料归还采购人，且不得擅自复制留存。</w:t>
      </w:r>
    </w:p>
    <w:p w14:paraId="6E823703">
      <w:pPr>
        <w:pStyle w:val="4"/>
        <w:snapToGrid w:val="0"/>
        <w:ind w:firstLine="480"/>
        <w:rPr>
          <w:rFonts w:hAnsi="宋体" w:cs="宋体"/>
          <w:color w:val="auto"/>
          <w:highlight w:val="none"/>
        </w:rPr>
      </w:pPr>
      <w:r>
        <w:rPr>
          <w:rFonts w:hint="eastAsia" w:hAnsi="宋体" w:cs="宋体"/>
          <w:color w:val="auto"/>
          <w:highlight w:val="none"/>
        </w:rPr>
        <w:t>（6）非经采购人特别授权，采购人向投标人提供的任何保密信息并不包括授予投标人该保密信息包含的任何专利权、商标权、著作权、商业秘密或其它类型的知识产权。</w:t>
      </w:r>
    </w:p>
    <w:p w14:paraId="74F24550">
      <w:pPr>
        <w:pStyle w:val="4"/>
        <w:snapToGrid w:val="0"/>
        <w:ind w:firstLine="480"/>
        <w:rPr>
          <w:rFonts w:hAnsi="宋体" w:cs="宋体"/>
          <w:color w:val="auto"/>
          <w:highlight w:val="none"/>
        </w:rPr>
      </w:pPr>
      <w:r>
        <w:rPr>
          <w:rFonts w:hint="eastAsia" w:hAnsi="宋体" w:cs="宋体"/>
          <w:color w:val="auto"/>
          <w:highlight w:val="none"/>
        </w:rPr>
        <w:t>（7）投标人承担上述保密义务的期限为合同有效期间及合同终止后2年，承担上述保密义务的责任主体为投标人（含投标人服务人员）。</w:t>
      </w:r>
    </w:p>
    <w:p w14:paraId="0D682D7B">
      <w:pPr>
        <w:pStyle w:val="4"/>
        <w:snapToGrid w:val="0"/>
        <w:ind w:firstLine="480"/>
        <w:rPr>
          <w:rFonts w:hAnsi="宋体" w:cs="宋体"/>
          <w:color w:val="auto"/>
          <w:highlight w:val="none"/>
        </w:rPr>
      </w:pPr>
      <w:r>
        <w:rPr>
          <w:rFonts w:hint="eastAsia" w:hAnsi="宋体" w:cs="宋体"/>
          <w:color w:val="auto"/>
          <w:highlight w:val="none"/>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072FFF5C">
      <w:pPr>
        <w:pStyle w:val="4"/>
        <w:snapToGrid w:val="0"/>
        <w:ind w:firstLine="480"/>
        <w:rPr>
          <w:rFonts w:hAnsi="宋体" w:cs="宋体"/>
          <w:color w:val="auto"/>
          <w:highlight w:val="none"/>
        </w:rPr>
      </w:pPr>
      <w:r>
        <w:rPr>
          <w:rFonts w:hint="eastAsia" w:hAnsi="宋体" w:cs="宋体"/>
          <w:color w:val="auto"/>
          <w:highlight w:val="none"/>
        </w:rPr>
        <w:t>（9）投标人应当对获悉的政务数据、个人信息等予以保密，不得用于其他用途，不得泄露、出售或者非法向他人提供。</w:t>
      </w:r>
    </w:p>
    <w:p w14:paraId="146B5A1A">
      <w:pPr>
        <w:pStyle w:val="6"/>
        <w:adjustRightInd w:val="0"/>
        <w:snapToGrid w:val="0"/>
        <w:spacing w:line="360" w:lineRule="auto"/>
        <w:ind w:left="425"/>
        <w:rPr>
          <w:rFonts w:ascii="楷体" w:hAnsi="楷体" w:eastAsia="楷体" w:cs="宋体"/>
          <w:b/>
          <w:bCs/>
          <w:color w:val="auto"/>
          <w:szCs w:val="21"/>
          <w:highlight w:val="none"/>
        </w:rPr>
      </w:pPr>
      <w:r>
        <w:rPr>
          <w:rFonts w:hint="eastAsia" w:eastAsia="黑体"/>
          <w:bCs/>
          <w:color w:val="auto"/>
          <w:sz w:val="32"/>
          <w:szCs w:val="32"/>
          <w:highlight w:val="none"/>
        </w:rPr>
        <w:br w:type="page"/>
      </w:r>
    </w:p>
    <w:p w14:paraId="6C653AB3">
      <w:pPr>
        <w:pStyle w:val="3"/>
        <w:rPr>
          <w:rFonts w:hint="eastAsia" w:ascii="楷体" w:hAnsi="楷体" w:eastAsia="楷体" w:cs="楷体"/>
          <w:color w:val="auto"/>
          <w:sz w:val="24"/>
          <w:highlight w:val="none"/>
        </w:rPr>
      </w:pPr>
      <w:r>
        <w:rPr>
          <w:rFonts w:hint="eastAsia" w:ascii="楷体" w:hAnsi="楷体" w:eastAsia="楷体" w:cs="楷体"/>
          <w:color w:val="auto"/>
          <w:sz w:val="24"/>
          <w:highlight w:val="none"/>
        </w:rPr>
        <w:t>第02包：机关互联网云基础服务</w:t>
      </w:r>
    </w:p>
    <w:p w14:paraId="6067AD1E">
      <w:pPr>
        <w:pStyle w:val="2"/>
        <w:numPr>
          <w:ilvl w:val="0"/>
          <w:numId w:val="0"/>
        </w:numPr>
        <w:ind w:left="0" w:firstLine="0"/>
        <w:jc w:val="both"/>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lang w:val="en-US" w:eastAsia="zh-CN"/>
        </w:rPr>
        <w:t>一、</w:t>
      </w:r>
      <w:r>
        <w:rPr>
          <w:rFonts w:hint="eastAsia" w:ascii="黑体" w:hAnsi="黑体" w:eastAsia="黑体" w:cs="黑体"/>
          <w:b w:val="0"/>
          <w:bCs/>
          <w:color w:val="auto"/>
          <w:sz w:val="24"/>
          <w:highlight w:val="none"/>
        </w:rPr>
        <w:t>采购</w:t>
      </w:r>
      <w:r>
        <w:rPr>
          <w:rFonts w:hint="eastAsia" w:ascii="黑体" w:hAnsi="黑体" w:eastAsia="黑体" w:cs="黑体"/>
          <w:b w:val="0"/>
          <w:bCs/>
          <w:color w:val="auto"/>
          <w:sz w:val="24"/>
          <w:highlight w:val="none"/>
          <w:lang w:val="en-US" w:eastAsia="zh-CN"/>
        </w:rPr>
        <w:t>标的</w:t>
      </w:r>
    </w:p>
    <w:tbl>
      <w:tblPr>
        <w:tblStyle w:val="9"/>
        <w:tblpPr w:leftFromText="180" w:rightFromText="180" w:vertAnchor="text" w:horzAnchor="page" w:tblpX="1003" w:tblpY="156"/>
        <w:tblOverlap w:val="never"/>
        <w:tblW w:w="0" w:type="auto"/>
        <w:tblInd w:w="0" w:type="dxa"/>
        <w:tblLayout w:type="fixed"/>
        <w:tblCellMar>
          <w:top w:w="0" w:type="dxa"/>
          <w:left w:w="108" w:type="dxa"/>
          <w:bottom w:w="0" w:type="dxa"/>
          <w:right w:w="108" w:type="dxa"/>
        </w:tblCellMar>
      </w:tblPr>
      <w:tblGrid>
        <w:gridCol w:w="1341"/>
        <w:gridCol w:w="1836"/>
        <w:gridCol w:w="3282"/>
        <w:gridCol w:w="1007"/>
        <w:gridCol w:w="997"/>
        <w:gridCol w:w="954"/>
        <w:gridCol w:w="860"/>
      </w:tblGrid>
      <w:tr w14:paraId="5F98E85A">
        <w:tblPrEx>
          <w:tblCellMar>
            <w:top w:w="0" w:type="dxa"/>
            <w:left w:w="108" w:type="dxa"/>
            <w:bottom w:w="0" w:type="dxa"/>
            <w:right w:w="108" w:type="dxa"/>
          </w:tblCellMar>
        </w:tblPrEx>
        <w:trPr>
          <w:trHeight w:val="780" w:hRule="atLeast"/>
        </w:trPr>
        <w:tc>
          <w:tcPr>
            <w:tcW w:w="134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5F98D16">
            <w:pPr>
              <w:widowControl/>
              <w:jc w:val="center"/>
              <w:textAlignment w:val="center"/>
              <w:rPr>
                <w:rFonts w:ascii="楷体_GB2312" w:hAnsi="楷体_GB2312" w:eastAsia="楷体_GB2312" w:cs="楷体_GB2312"/>
                <w:color w:val="auto"/>
                <w:sz w:val="24"/>
                <w:highlight w:val="none"/>
              </w:rPr>
            </w:pPr>
            <w:r>
              <w:rPr>
                <w:rFonts w:hint="eastAsia" w:ascii="楷体_GB2312" w:hAnsi="楷体_GB2312" w:eastAsia="楷体_GB2312" w:cs="楷体_GB2312"/>
                <w:color w:val="auto"/>
                <w:kern w:val="0"/>
                <w:sz w:val="24"/>
                <w:highlight w:val="none"/>
                <w:lang w:bidi="ar"/>
              </w:rPr>
              <w:t>服务类别</w:t>
            </w:r>
          </w:p>
        </w:tc>
        <w:tc>
          <w:tcPr>
            <w:tcW w:w="183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8463C9F">
            <w:pPr>
              <w:widowControl/>
              <w:jc w:val="center"/>
              <w:textAlignment w:val="center"/>
              <w:rPr>
                <w:rFonts w:ascii="楷体_GB2312" w:hAnsi="楷体_GB2312" w:eastAsia="楷体_GB2312" w:cs="楷体_GB2312"/>
                <w:color w:val="auto"/>
                <w:sz w:val="24"/>
                <w:highlight w:val="none"/>
              </w:rPr>
            </w:pPr>
            <w:r>
              <w:rPr>
                <w:rFonts w:hint="eastAsia" w:ascii="楷体_GB2312" w:hAnsi="楷体_GB2312" w:eastAsia="楷体_GB2312" w:cs="楷体_GB2312"/>
                <w:color w:val="auto"/>
                <w:kern w:val="0"/>
                <w:sz w:val="24"/>
                <w:highlight w:val="none"/>
                <w:lang w:bidi="ar"/>
              </w:rPr>
              <w:t>服务子类</w:t>
            </w:r>
          </w:p>
        </w:tc>
        <w:tc>
          <w:tcPr>
            <w:tcW w:w="328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CB13AAE">
            <w:pPr>
              <w:widowControl/>
              <w:jc w:val="center"/>
              <w:textAlignment w:val="center"/>
              <w:rPr>
                <w:rFonts w:ascii="楷体_GB2312" w:hAnsi="楷体_GB2312" w:eastAsia="楷体_GB2312" w:cs="楷体_GB2312"/>
                <w:color w:val="auto"/>
                <w:sz w:val="24"/>
                <w:highlight w:val="none"/>
              </w:rPr>
            </w:pPr>
            <w:r>
              <w:rPr>
                <w:rFonts w:hint="eastAsia" w:ascii="楷体_GB2312" w:hAnsi="楷体_GB2312" w:eastAsia="楷体_GB2312" w:cs="楷体_GB2312"/>
                <w:color w:val="auto"/>
                <w:kern w:val="0"/>
                <w:sz w:val="24"/>
                <w:highlight w:val="none"/>
                <w:lang w:bidi="ar"/>
              </w:rPr>
              <w:t>服务项</w:t>
            </w:r>
          </w:p>
        </w:tc>
        <w:tc>
          <w:tcPr>
            <w:tcW w:w="100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B3D74AD">
            <w:pPr>
              <w:widowControl/>
              <w:jc w:val="center"/>
              <w:textAlignment w:val="center"/>
              <w:rPr>
                <w:rFonts w:ascii="楷体_GB2312" w:hAnsi="楷体_GB2312" w:eastAsia="楷体_GB2312" w:cs="楷体_GB2312"/>
                <w:color w:val="auto"/>
                <w:sz w:val="24"/>
                <w:highlight w:val="none"/>
              </w:rPr>
            </w:pPr>
            <w:r>
              <w:rPr>
                <w:rFonts w:hint="eastAsia" w:ascii="楷体_GB2312" w:hAnsi="楷体_GB2312" w:eastAsia="楷体_GB2312" w:cs="楷体_GB2312"/>
                <w:color w:val="auto"/>
                <w:kern w:val="0"/>
                <w:sz w:val="24"/>
                <w:highlight w:val="none"/>
                <w:lang w:bidi="ar"/>
              </w:rPr>
              <w:t>计价单位</w:t>
            </w:r>
          </w:p>
        </w:tc>
        <w:tc>
          <w:tcPr>
            <w:tcW w:w="99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B160089">
            <w:pPr>
              <w:widowControl/>
              <w:jc w:val="center"/>
              <w:textAlignment w:val="center"/>
              <w:rPr>
                <w:rFonts w:ascii="楷体_GB2312" w:hAnsi="楷体_GB2312" w:eastAsia="楷体_GB2312" w:cs="楷体_GB2312"/>
                <w:color w:val="auto"/>
                <w:sz w:val="24"/>
                <w:highlight w:val="none"/>
              </w:rPr>
            </w:pPr>
            <w:r>
              <w:rPr>
                <w:rFonts w:hint="eastAsia" w:ascii="楷体_GB2312" w:hAnsi="楷体_GB2312" w:eastAsia="楷体_GB2312" w:cs="楷体_GB2312"/>
                <w:color w:val="auto"/>
                <w:kern w:val="0"/>
                <w:sz w:val="24"/>
                <w:highlight w:val="none"/>
                <w:lang w:bidi="ar"/>
              </w:rPr>
              <w:t>报价单位</w:t>
            </w:r>
          </w:p>
        </w:tc>
        <w:tc>
          <w:tcPr>
            <w:tcW w:w="95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094A30C">
            <w:pPr>
              <w:widowControl/>
              <w:jc w:val="center"/>
              <w:textAlignment w:val="center"/>
              <w:rPr>
                <w:rFonts w:ascii="楷体_GB2312" w:hAnsi="楷体_GB2312" w:eastAsia="楷体_GB2312" w:cs="楷体_GB2312"/>
                <w:color w:val="auto"/>
                <w:sz w:val="24"/>
                <w:highlight w:val="none"/>
              </w:rPr>
            </w:pPr>
            <w:r>
              <w:rPr>
                <w:rFonts w:hint="eastAsia" w:ascii="楷体_GB2312" w:hAnsi="楷体_GB2312" w:eastAsia="楷体_GB2312" w:cs="楷体_GB2312"/>
                <w:color w:val="auto"/>
                <w:kern w:val="0"/>
                <w:sz w:val="24"/>
                <w:highlight w:val="none"/>
                <w:lang w:bidi="ar"/>
              </w:rPr>
              <w:t>数量</w:t>
            </w:r>
          </w:p>
        </w:tc>
        <w:tc>
          <w:tcPr>
            <w:tcW w:w="86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2F941A0">
            <w:pPr>
              <w:widowControl/>
              <w:jc w:val="center"/>
              <w:textAlignment w:val="center"/>
              <w:rPr>
                <w:rFonts w:ascii="楷体_GB2312" w:hAnsi="楷体_GB2312" w:eastAsia="楷体_GB2312" w:cs="楷体_GB2312"/>
                <w:color w:val="auto"/>
                <w:sz w:val="24"/>
                <w:highlight w:val="none"/>
              </w:rPr>
            </w:pPr>
            <w:r>
              <w:rPr>
                <w:rFonts w:hint="eastAsia" w:ascii="楷体_GB2312" w:hAnsi="楷体_GB2312" w:eastAsia="楷体_GB2312" w:cs="楷体_GB2312"/>
                <w:color w:val="auto"/>
                <w:kern w:val="0"/>
                <w:sz w:val="24"/>
                <w:highlight w:val="none"/>
                <w:lang w:bidi="ar"/>
              </w:rPr>
              <w:t>期限（月）</w:t>
            </w:r>
          </w:p>
        </w:tc>
      </w:tr>
      <w:tr w14:paraId="1F8A2453">
        <w:tblPrEx>
          <w:tblCellMar>
            <w:top w:w="0" w:type="dxa"/>
            <w:left w:w="108" w:type="dxa"/>
            <w:bottom w:w="0" w:type="dxa"/>
            <w:right w:w="108" w:type="dxa"/>
          </w:tblCellMar>
        </w:tblPrEx>
        <w:trPr>
          <w:trHeight w:val="349" w:hRule="atLeast"/>
        </w:trPr>
        <w:tc>
          <w:tcPr>
            <w:tcW w:w="1341" w:type="dxa"/>
            <w:vMerge w:val="restart"/>
            <w:tcBorders>
              <w:top w:val="single" w:color="000000" w:sz="4" w:space="0"/>
              <w:left w:val="single" w:color="000000" w:sz="4" w:space="0"/>
              <w:bottom w:val="nil"/>
              <w:right w:val="single" w:color="000000" w:sz="4" w:space="0"/>
            </w:tcBorders>
            <w:noWrap w:val="0"/>
            <w:vAlign w:val="center"/>
          </w:tcPr>
          <w:p w14:paraId="4008005E">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计算服务</w:t>
            </w:r>
          </w:p>
        </w:tc>
        <w:tc>
          <w:tcPr>
            <w:tcW w:w="1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12BD24">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x86平台云主机服务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14C23490">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vCPU（主频不低于2.4GHz）</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39AC6EE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1CPU</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2D3AB216">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221044F">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228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228C90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12</w:t>
            </w:r>
          </w:p>
        </w:tc>
      </w:tr>
      <w:tr w14:paraId="3F7E179F">
        <w:tblPrEx>
          <w:tblCellMar>
            <w:top w:w="0" w:type="dxa"/>
            <w:left w:w="108" w:type="dxa"/>
            <w:bottom w:w="0" w:type="dxa"/>
            <w:right w:w="108" w:type="dxa"/>
          </w:tblCellMar>
        </w:tblPrEx>
        <w:trPr>
          <w:trHeight w:val="325" w:hRule="atLeast"/>
        </w:trPr>
        <w:tc>
          <w:tcPr>
            <w:tcW w:w="1341" w:type="dxa"/>
            <w:vMerge w:val="continue"/>
            <w:tcBorders>
              <w:top w:val="single" w:color="000000" w:sz="4" w:space="0"/>
              <w:left w:val="single" w:color="000000" w:sz="4" w:space="0"/>
              <w:bottom w:val="nil"/>
              <w:right w:val="single" w:color="000000" w:sz="4" w:space="0"/>
            </w:tcBorders>
            <w:noWrap w:val="0"/>
            <w:vAlign w:val="center"/>
          </w:tcPr>
          <w:p w14:paraId="42030387">
            <w:pPr>
              <w:jc w:val="center"/>
              <w:rPr>
                <w:rFonts w:ascii="仿宋_GB2312" w:hAnsi="仿宋_GB2312" w:eastAsia="仿宋_GB2312" w:cs="仿宋_GB2312"/>
                <w:color w:val="auto"/>
                <w:sz w:val="24"/>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EC4C4">
            <w:pPr>
              <w:jc w:val="center"/>
              <w:rPr>
                <w:rFonts w:ascii="仿宋_GB2312" w:hAnsi="仿宋_GB2312" w:eastAsia="仿宋_GB2312" w:cs="仿宋_GB2312"/>
                <w:color w:val="auto"/>
                <w:sz w:val="24"/>
                <w:highlight w:val="none"/>
              </w:rPr>
            </w:pP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7F18D12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内存</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1798F60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1GB</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3A31E067">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ECB1C0E">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572</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7C09209">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12</w:t>
            </w:r>
          </w:p>
        </w:tc>
      </w:tr>
      <w:tr w14:paraId="639B018B">
        <w:tblPrEx>
          <w:tblCellMar>
            <w:top w:w="0" w:type="dxa"/>
            <w:left w:w="108" w:type="dxa"/>
            <w:bottom w:w="0" w:type="dxa"/>
            <w:right w:w="108" w:type="dxa"/>
          </w:tblCellMar>
        </w:tblPrEx>
        <w:trPr>
          <w:trHeight w:val="525" w:hRule="atLeast"/>
        </w:trPr>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CEF8A22">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存储服务</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14:paraId="69F35007">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4D7F5B39">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高性能存储（单盘技术指标：单盘IOPS 10000-25000 ）</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038DE3E9">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1GB</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2755092C">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EF512B0">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15360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6429F3C">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12</w:t>
            </w:r>
          </w:p>
        </w:tc>
      </w:tr>
      <w:tr w14:paraId="1928C44F">
        <w:tblPrEx>
          <w:tblCellMar>
            <w:top w:w="0" w:type="dxa"/>
            <w:left w:w="108" w:type="dxa"/>
            <w:bottom w:w="0" w:type="dxa"/>
            <w:right w:w="108" w:type="dxa"/>
          </w:tblCellMar>
        </w:tblPrEx>
        <w:trPr>
          <w:trHeight w:val="568" w:hRule="atLeast"/>
        </w:trPr>
        <w:tc>
          <w:tcPr>
            <w:tcW w:w="13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E6145DD">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网络服务</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14:paraId="10460E22">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互联网链路服务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68BFD2B6">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互联网链路带宽（共享）</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9220A95">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1Mb</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607A772A">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CBCE75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300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5C1F0F3">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12</w:t>
            </w:r>
          </w:p>
        </w:tc>
      </w:tr>
      <w:tr w14:paraId="31802E5E">
        <w:tblPrEx>
          <w:tblCellMar>
            <w:top w:w="0" w:type="dxa"/>
            <w:left w:w="108" w:type="dxa"/>
            <w:bottom w:w="0" w:type="dxa"/>
            <w:right w:w="108" w:type="dxa"/>
          </w:tblCellMar>
        </w:tblPrEx>
        <w:trPr>
          <w:trHeight w:val="600" w:hRule="atLeast"/>
        </w:trPr>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12F15">
            <w:pPr>
              <w:jc w:val="center"/>
              <w:rPr>
                <w:rFonts w:ascii="仿宋_GB2312" w:hAnsi="仿宋_GB2312" w:eastAsia="仿宋_GB2312" w:cs="仿宋_GB2312"/>
                <w:color w:val="auto"/>
                <w:sz w:val="24"/>
                <w:highlight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14:paraId="32DA0CFB">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互联网链路服务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79902E05">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互联网IP地址租用服务、并提供备案服务</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7F6E9C0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1IP</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06CC6A38">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CDAEA3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1F1832D">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12</w:t>
            </w:r>
          </w:p>
        </w:tc>
      </w:tr>
      <w:tr w14:paraId="30673CDB">
        <w:tblPrEx>
          <w:tblCellMar>
            <w:top w:w="0" w:type="dxa"/>
            <w:left w:w="108" w:type="dxa"/>
            <w:bottom w:w="0" w:type="dxa"/>
            <w:right w:w="108" w:type="dxa"/>
          </w:tblCellMar>
        </w:tblPrEx>
        <w:trPr>
          <w:trHeight w:val="640" w:hRule="atLeast"/>
        </w:trPr>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66ECC">
            <w:pPr>
              <w:jc w:val="center"/>
              <w:rPr>
                <w:rFonts w:ascii="仿宋_GB2312" w:hAnsi="仿宋_GB2312" w:eastAsia="仿宋_GB2312" w:cs="仿宋_GB2312"/>
                <w:color w:val="auto"/>
                <w:sz w:val="24"/>
                <w:highlight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14:paraId="708B686A">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lang w:bidi="ar"/>
              </w:rPr>
              <w:t>主机负载均衡服务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19DCDE14">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lang w:bidi="ar"/>
              </w:rPr>
              <w:t>主机负载均衡服务（内网）</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091359E9">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1IP</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5DC5AB25">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F555D7E">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6</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674B1D6">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12</w:t>
            </w:r>
          </w:p>
        </w:tc>
      </w:tr>
      <w:tr w14:paraId="4975442A">
        <w:tblPrEx>
          <w:tblCellMar>
            <w:top w:w="0" w:type="dxa"/>
            <w:left w:w="108" w:type="dxa"/>
            <w:bottom w:w="0" w:type="dxa"/>
            <w:right w:w="108" w:type="dxa"/>
          </w:tblCellMar>
        </w:tblPrEx>
        <w:trPr>
          <w:trHeight w:val="640" w:hRule="atLeast"/>
        </w:trPr>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EA5A7">
            <w:pPr>
              <w:jc w:val="center"/>
              <w:rPr>
                <w:rFonts w:ascii="仿宋_GB2312" w:hAnsi="仿宋_GB2312" w:eastAsia="仿宋_GB2312" w:cs="仿宋_GB2312"/>
                <w:color w:val="auto"/>
                <w:sz w:val="24"/>
                <w:highlight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14:paraId="773C1325">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远程接入服务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2962BD50">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远程接入服务</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5E88200E">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1账号</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614766E7">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DDB15DF">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18E0B5A">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12</w:t>
            </w:r>
          </w:p>
        </w:tc>
      </w:tr>
      <w:tr w14:paraId="2CEE33E0">
        <w:tblPrEx>
          <w:tblCellMar>
            <w:top w:w="0" w:type="dxa"/>
            <w:left w:w="108" w:type="dxa"/>
            <w:bottom w:w="0" w:type="dxa"/>
            <w:right w:w="108" w:type="dxa"/>
          </w:tblCellMar>
        </w:tblPrEx>
        <w:trPr>
          <w:trHeight w:val="640" w:hRule="atLeast"/>
        </w:trPr>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D45D8">
            <w:pPr>
              <w:jc w:val="center"/>
              <w:rPr>
                <w:rFonts w:ascii="仿宋_GB2312" w:hAnsi="仿宋_GB2312" w:eastAsia="仿宋_GB2312" w:cs="仿宋_GB2312"/>
                <w:color w:val="auto"/>
                <w:sz w:val="24"/>
                <w:highlight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14:paraId="5CF956A4">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lang w:bidi="ar"/>
              </w:rPr>
              <w:t>VPN服务</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7D7D5B08">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lang w:bidi="ar"/>
              </w:rPr>
              <w:t>SSL VPN接入</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1F76169C">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1套</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27372840">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F4D03F9">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EB72BEC">
            <w:pPr>
              <w:widowControl/>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12</w:t>
            </w:r>
          </w:p>
        </w:tc>
      </w:tr>
      <w:tr w14:paraId="4B5DFE23">
        <w:tblPrEx>
          <w:tblCellMar>
            <w:top w:w="0" w:type="dxa"/>
            <w:left w:w="108" w:type="dxa"/>
            <w:bottom w:w="0" w:type="dxa"/>
            <w:right w:w="108" w:type="dxa"/>
          </w:tblCellMar>
        </w:tblPrEx>
        <w:trPr>
          <w:trHeight w:val="640" w:hRule="atLeast"/>
        </w:trPr>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8B2BC">
            <w:pPr>
              <w:jc w:val="center"/>
              <w:rPr>
                <w:rFonts w:ascii="仿宋_GB2312" w:hAnsi="仿宋_GB2312" w:eastAsia="仿宋_GB2312" w:cs="仿宋_GB2312"/>
                <w:color w:val="auto"/>
                <w:sz w:val="24"/>
                <w:highlight w:val="none"/>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14:paraId="278483A0">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WAF防护</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4B3EEDED">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互联网web应用防火墙服务</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734953E8">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1IP</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5B25892E">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8D1D9E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5</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2B222C4">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12</w:t>
            </w:r>
          </w:p>
        </w:tc>
      </w:tr>
      <w:tr w14:paraId="72B62002">
        <w:tblPrEx>
          <w:tblCellMar>
            <w:top w:w="0" w:type="dxa"/>
            <w:left w:w="108" w:type="dxa"/>
            <w:bottom w:w="0" w:type="dxa"/>
            <w:right w:w="108" w:type="dxa"/>
          </w:tblCellMar>
        </w:tblPrEx>
        <w:trPr>
          <w:trHeight w:val="820" w:hRule="atLeast"/>
        </w:trPr>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5F071FC">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云主机深度监控服务</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14:paraId="40D8887E">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特定云主机深度监控及运维保障服务（7*24小时值守）</w:t>
            </w:r>
          </w:p>
        </w:tc>
        <w:tc>
          <w:tcPr>
            <w:tcW w:w="3282" w:type="dxa"/>
            <w:tcBorders>
              <w:top w:val="single" w:color="000000" w:sz="4" w:space="0"/>
              <w:left w:val="single" w:color="000000" w:sz="4" w:space="0"/>
              <w:bottom w:val="single" w:color="000000" w:sz="4" w:space="0"/>
              <w:right w:val="single" w:color="000000" w:sz="4" w:space="0"/>
            </w:tcBorders>
            <w:noWrap w:val="0"/>
            <w:vAlign w:val="center"/>
          </w:tcPr>
          <w:p w14:paraId="575F83F1">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7*24小时深度监测云主机资源、硬件设备监控、云平台层应急处置等内容</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42BF02F8">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1主机</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14C76EDA">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元/月</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63B275E">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33</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0DC5289">
            <w:pPr>
              <w:widowControl/>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12</w:t>
            </w:r>
          </w:p>
        </w:tc>
      </w:tr>
    </w:tbl>
    <w:p w14:paraId="1CB65D6C">
      <w:pPr>
        <w:pStyle w:val="2"/>
        <w:spacing w:before="0" w:after="0" w:line="240" w:lineRule="auto"/>
        <w:jc w:val="both"/>
        <w:rPr>
          <w:rFonts w:hint="eastAsia" w:ascii="宋体" w:hAnsi="宋体" w:eastAsia="宋体" w:cs="宋体"/>
          <w:color w:val="auto"/>
          <w:sz w:val="24"/>
          <w:highlight w:val="none"/>
          <w:lang w:val="en-US" w:eastAsia="zh-CN"/>
        </w:rPr>
      </w:pPr>
    </w:p>
    <w:p w14:paraId="6B277E12">
      <w:pPr>
        <w:pStyle w:val="2"/>
        <w:spacing w:before="0" w:after="0"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项目背景或概况</w:t>
      </w:r>
    </w:p>
    <w:p w14:paraId="24B2E325">
      <w:pPr>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为贯彻落实北京市经济和信息化局关于印发《北京市市级政务云管理办法的通知》（京经信委函（2019）150号）文件的要求，</w:t>
      </w:r>
      <w:r>
        <w:rPr>
          <w:rFonts w:hint="eastAsia" w:ascii="宋体" w:hAnsi="宋体" w:cs="宋体"/>
          <w:bCs/>
          <w:color w:val="auto"/>
          <w:sz w:val="24"/>
          <w:highlight w:val="none"/>
        </w:rPr>
        <w:t>北京市人大常委会机关</w:t>
      </w:r>
      <w:r>
        <w:rPr>
          <w:rFonts w:hint="eastAsia" w:ascii="宋体" w:hAnsi="宋体" w:cs="宋体"/>
          <w:bCs/>
          <w:color w:val="auto"/>
          <w:sz w:val="24"/>
          <w:highlight w:val="none"/>
          <w:lang w:val="en-US" w:eastAsia="zh-CN"/>
        </w:rPr>
        <w:t>互联网</w:t>
      </w:r>
      <w:r>
        <w:rPr>
          <w:rFonts w:hint="eastAsia" w:ascii="宋体" w:hAnsi="宋体" w:cs="宋体"/>
          <w:bCs/>
          <w:color w:val="auto"/>
          <w:sz w:val="24"/>
          <w:highlight w:val="none"/>
        </w:rPr>
        <w:t>系统</w:t>
      </w:r>
      <w:r>
        <w:rPr>
          <w:rFonts w:hint="eastAsia" w:ascii="宋体" w:hAnsi="宋体" w:eastAsia="宋体" w:cs="宋体"/>
          <w:bCs/>
          <w:color w:val="auto"/>
          <w:sz w:val="24"/>
          <w:highlight w:val="none"/>
        </w:rPr>
        <w:t>自2018年起迁入市政务云。</w:t>
      </w:r>
      <w:r>
        <w:rPr>
          <w:rFonts w:hint="eastAsia" w:ascii="宋体" w:hAnsi="宋体" w:eastAsia="宋体" w:cs="宋体"/>
          <w:bCs/>
          <w:color w:val="auto"/>
          <w:sz w:val="24"/>
          <w:highlight w:val="none"/>
          <w:lang w:val="en-US" w:eastAsia="zh-CN"/>
        </w:rPr>
        <w:t>本项目</w:t>
      </w:r>
      <w:r>
        <w:rPr>
          <w:rFonts w:hint="eastAsia" w:ascii="宋体" w:hAnsi="宋体" w:cs="宋体"/>
          <w:bCs/>
          <w:color w:val="auto"/>
          <w:sz w:val="24"/>
          <w:highlight w:val="none"/>
        </w:rPr>
        <w:t>通过租用政务云平台基础服务，</w:t>
      </w:r>
      <w:r>
        <w:rPr>
          <w:rFonts w:hint="eastAsia" w:ascii="宋体" w:hAnsi="宋体" w:cs="宋体"/>
          <w:bCs/>
          <w:color w:val="auto"/>
          <w:sz w:val="24"/>
          <w:highlight w:val="none"/>
          <w:lang w:val="en-US" w:eastAsia="zh-CN"/>
        </w:rPr>
        <w:t>对系统</w:t>
      </w:r>
      <w:r>
        <w:rPr>
          <w:rFonts w:hint="eastAsia" w:ascii="宋体" w:hAnsi="宋体" w:cs="宋体"/>
          <w:bCs/>
          <w:color w:val="auto"/>
          <w:sz w:val="24"/>
          <w:highlight w:val="none"/>
        </w:rPr>
        <w:t>运行环境进行持续优化，提供可靠、稳定、安全的政务云基础服务</w:t>
      </w:r>
      <w:r>
        <w:rPr>
          <w:rFonts w:hint="eastAsia" w:ascii="宋体" w:hAnsi="宋体" w:cs="宋体"/>
          <w:bCs/>
          <w:color w:val="auto"/>
          <w:sz w:val="24"/>
          <w:highlight w:val="none"/>
          <w:lang w:eastAsia="zh-CN"/>
        </w:rPr>
        <w:t>。</w:t>
      </w:r>
    </w:p>
    <w:p w14:paraId="54A82C78">
      <w:pPr>
        <w:snapToGrid w:val="0"/>
        <w:spacing w:line="240" w:lineRule="auto"/>
        <w:ind w:firstLine="480" w:firstLineChars="200"/>
        <w:rPr>
          <w:rFonts w:ascii="宋体" w:hAnsi="宋体" w:cs="宋体"/>
          <w:color w:val="auto"/>
          <w:sz w:val="24"/>
          <w:highlight w:val="none"/>
        </w:rPr>
      </w:pPr>
    </w:p>
    <w:p w14:paraId="5187B7B7">
      <w:pPr>
        <w:pStyle w:val="2"/>
        <w:spacing w:before="0" w:after="0" w:line="240" w:lineRule="auto"/>
        <w:jc w:val="left"/>
        <w:rPr>
          <w:rFonts w:ascii="黑体" w:hAnsi="黑体" w:eastAsia="黑体" w:cs="黑体"/>
          <w:color w:val="auto"/>
          <w:sz w:val="24"/>
          <w:highlight w:val="none"/>
        </w:rPr>
      </w:pPr>
      <w:r>
        <w:rPr>
          <w:rFonts w:hint="eastAsia" w:ascii="黑体" w:hAnsi="黑体" w:eastAsia="黑体" w:cs="黑体"/>
          <w:color w:val="auto"/>
          <w:sz w:val="24"/>
          <w:highlight w:val="none"/>
          <w:lang w:eastAsia="zh-CN"/>
        </w:rPr>
        <w:t>二</w:t>
      </w:r>
      <w:r>
        <w:rPr>
          <w:rFonts w:hint="eastAsia" w:ascii="黑体" w:hAnsi="黑体" w:eastAsia="黑体" w:cs="黑体"/>
          <w:color w:val="auto"/>
          <w:sz w:val="24"/>
          <w:highlight w:val="none"/>
        </w:rPr>
        <w:t>、商务要求</w:t>
      </w:r>
    </w:p>
    <w:p w14:paraId="32103915">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（一）服务地点</w:t>
      </w:r>
    </w:p>
    <w:p w14:paraId="3C955D2A">
      <w:pPr>
        <w:pStyle w:val="7"/>
        <w:adjustRightInd w:val="0"/>
        <w:snapToGrid w:val="0"/>
        <w:spacing w:before="0" w:line="240" w:lineRule="auto"/>
        <w:ind w:firstLine="480" w:firstLineChars="200"/>
        <w:textAlignment w:val="baseline"/>
        <w:rPr>
          <w:rFonts w:cs="宋体"/>
          <w:color w:val="auto"/>
          <w:highlight w:val="none"/>
        </w:rPr>
      </w:pPr>
      <w:r>
        <w:rPr>
          <w:rFonts w:hint="eastAsia" w:cs="宋体"/>
          <w:color w:val="auto"/>
          <w:highlight w:val="none"/>
        </w:rPr>
        <w:t>北京市政务云机房</w:t>
      </w:r>
    </w:p>
    <w:p w14:paraId="1D849D57">
      <w:pPr>
        <w:pStyle w:val="3"/>
        <w:spacing w:before="0" w:line="240" w:lineRule="auto"/>
        <w:jc w:val="both"/>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（二）服务期限</w:t>
      </w:r>
    </w:p>
    <w:p w14:paraId="6CA218B8">
      <w:pPr>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自合同签订之日起</w:t>
      </w:r>
      <w:r>
        <w:rPr>
          <w:rFonts w:hint="eastAsia" w:ascii="宋体" w:hAnsi="宋体" w:cs="宋体"/>
          <w:color w:val="auto"/>
          <w:sz w:val="24"/>
          <w:highlight w:val="none"/>
        </w:rPr>
        <w:t>12个月</w:t>
      </w:r>
    </w:p>
    <w:p w14:paraId="30EB91EA">
      <w:pPr>
        <w:pStyle w:val="3"/>
        <w:spacing w:before="0" w:line="24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（三）支付方式</w:t>
      </w:r>
    </w:p>
    <w:p w14:paraId="621C33B2">
      <w:pPr>
        <w:adjustRightInd w:val="0"/>
        <w:snapToGrid w:val="0"/>
        <w:spacing w:line="240" w:lineRule="auto"/>
        <w:ind w:firstLine="480" w:firstLineChars="200"/>
        <w:contextualSpacing/>
        <w:textAlignment w:val="baseline"/>
        <w:rPr>
          <w:rFonts w:ascii="宋体" w:hAnsi="宋体" w:cs="宋体"/>
          <w:bCs/>
          <w:color w:val="auto"/>
          <w:sz w:val="24"/>
          <w:highlight w:val="none"/>
        </w:rPr>
      </w:pPr>
      <w:r>
        <w:rPr>
          <w:rFonts w:hint="eastAsia" w:ascii="宋体" w:hAnsi="宋体" w:cs="宋体"/>
          <w:bCs/>
          <w:color w:val="auto"/>
          <w:sz w:val="24"/>
          <w:highlight w:val="none"/>
        </w:rPr>
        <w:t>服务费用分三笔支付：</w:t>
      </w:r>
    </w:p>
    <w:p w14:paraId="5A3AFFE0">
      <w:pPr>
        <w:adjustRightInd w:val="0"/>
        <w:snapToGrid w:val="0"/>
        <w:spacing w:line="240" w:lineRule="auto"/>
        <w:ind w:firstLine="480" w:firstLineChars="200"/>
        <w:contextualSpacing/>
        <w:textAlignment w:val="baseline"/>
        <w:rPr>
          <w:rFonts w:ascii="宋体" w:hAnsi="宋体" w:cs="宋体"/>
          <w:bCs/>
          <w:color w:val="auto"/>
          <w:sz w:val="24"/>
          <w:highlight w:val="none"/>
        </w:rPr>
      </w:pPr>
      <w:r>
        <w:rPr>
          <w:rFonts w:hint="eastAsia" w:ascii="宋体" w:hAnsi="宋体" w:cs="宋体"/>
          <w:bCs/>
          <w:color w:val="auto"/>
          <w:sz w:val="24"/>
          <w:highlight w:val="none"/>
        </w:rPr>
        <w:t>第一笔：双方签订合同且财政资金下达（具体时间以采购人确认的情况为准）后30个工作日内，支付合同总额的40%；</w:t>
      </w:r>
    </w:p>
    <w:p w14:paraId="6635E835">
      <w:pPr>
        <w:adjustRightInd w:val="0"/>
        <w:snapToGrid w:val="0"/>
        <w:spacing w:line="240" w:lineRule="auto"/>
        <w:ind w:firstLine="480" w:firstLineChars="200"/>
        <w:contextualSpacing/>
        <w:textAlignment w:val="baseline"/>
        <w:rPr>
          <w:rFonts w:ascii="宋体" w:hAnsi="宋体" w:cs="宋体"/>
          <w:bCs/>
          <w:color w:val="auto"/>
          <w:sz w:val="24"/>
          <w:highlight w:val="none"/>
        </w:rPr>
      </w:pPr>
      <w:r>
        <w:rPr>
          <w:rFonts w:hint="eastAsia" w:ascii="宋体" w:hAnsi="宋体" w:cs="宋体"/>
          <w:bCs/>
          <w:color w:val="auto"/>
          <w:sz w:val="24"/>
          <w:highlight w:val="none"/>
        </w:rPr>
        <w:t>第二笔：2025年9月底前，采购人对项目进行阶段性验收，验收通过后支付合同总额的40%；</w:t>
      </w:r>
    </w:p>
    <w:p w14:paraId="4AE46CDB">
      <w:pPr>
        <w:adjustRightInd w:val="0"/>
        <w:snapToGrid w:val="0"/>
        <w:spacing w:line="240" w:lineRule="auto"/>
        <w:ind w:firstLine="480" w:firstLineChars="200"/>
        <w:contextualSpacing/>
        <w:textAlignment w:val="baseline"/>
        <w:rPr>
          <w:rFonts w:ascii="宋体" w:hAnsi="宋体" w:cs="宋体"/>
          <w:bCs/>
          <w:color w:val="auto"/>
          <w:sz w:val="24"/>
          <w:highlight w:val="none"/>
        </w:rPr>
      </w:pPr>
      <w:r>
        <w:rPr>
          <w:rFonts w:hint="eastAsia" w:ascii="宋体" w:hAnsi="宋体" w:cs="宋体"/>
          <w:bCs/>
          <w:color w:val="auto"/>
          <w:sz w:val="24"/>
          <w:highlight w:val="none"/>
        </w:rPr>
        <w:t>第三笔：服务期满，采购人对项目进行竣工验收，验收通过后支付合同总额的20%。</w:t>
      </w:r>
    </w:p>
    <w:p w14:paraId="73F7F932">
      <w:pPr>
        <w:pStyle w:val="2"/>
        <w:spacing w:before="0" w:after="0" w:line="240" w:lineRule="auto"/>
        <w:jc w:val="left"/>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三</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技术要求</w:t>
      </w:r>
    </w:p>
    <w:p w14:paraId="6D182609">
      <w:pPr>
        <w:pStyle w:val="3"/>
        <w:spacing w:before="0" w:line="240" w:lineRule="auto"/>
        <w:jc w:val="both"/>
        <w:rPr>
          <w:rFonts w:ascii="楷体" w:hAnsi="楷体" w:eastAsia="楷体" w:cs="楷体"/>
          <w:color w:val="auto"/>
          <w:sz w:val="24"/>
          <w:highlight w:val="none"/>
        </w:rPr>
      </w:pPr>
      <w:r>
        <w:rPr>
          <w:rFonts w:hint="eastAsia" w:ascii="楷体" w:hAnsi="楷体" w:eastAsia="楷体" w:cs="楷体"/>
          <w:color w:val="auto"/>
          <w:sz w:val="24"/>
          <w:highlight w:val="none"/>
        </w:rPr>
        <w:t>（一）云主机服务</w:t>
      </w:r>
    </w:p>
    <w:p w14:paraId="32CECDA1">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1.1服务内容</w:t>
      </w:r>
    </w:p>
    <w:p w14:paraId="5C06C57B">
      <w:pPr>
        <w:snapToGrid w:val="0"/>
        <w:spacing w:line="24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按照采购人的具体需求，提供云主机服务，包括：x86平台云主机服务和x86物理服务器租用服务，按需求对CPU及内存进行动态调整，实现合理的计算资源配置。在提供政务云主机的服务过程中做好与采购人和对应项目应用开发厂商的协调沟通工作。</w:t>
      </w:r>
    </w:p>
    <w:p w14:paraId="557CAF61">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1.2服务标准</w:t>
      </w:r>
    </w:p>
    <w:p w14:paraId="19F284C3">
      <w:pPr>
        <w:pStyle w:val="4"/>
        <w:snapToGrid w:val="0"/>
        <w:ind w:firstLine="480"/>
        <w:rPr>
          <w:rFonts w:hAnsi="宋体" w:cs="宋体"/>
          <w:color w:val="auto"/>
          <w:highlight w:val="none"/>
        </w:rPr>
      </w:pPr>
      <w:r>
        <w:rPr>
          <w:rFonts w:hint="eastAsia" w:hAnsi="宋体" w:cs="宋体"/>
          <w:color w:val="auto"/>
          <w:highlight w:val="none"/>
        </w:rPr>
        <w:t>1.2.1 云主机应实现物理机的全部功能，如具有CPU、存储、内存、网卡等资源，可以指定单独的IP地址、MAC地址等；</w:t>
      </w:r>
    </w:p>
    <w:p w14:paraId="52E1B1ED">
      <w:pPr>
        <w:pStyle w:val="4"/>
        <w:snapToGrid w:val="0"/>
        <w:ind w:firstLine="480"/>
        <w:rPr>
          <w:rFonts w:hAnsi="宋体" w:cs="宋体"/>
          <w:color w:val="auto"/>
          <w:highlight w:val="none"/>
        </w:rPr>
      </w:pPr>
      <w:r>
        <w:rPr>
          <w:rFonts w:hint="eastAsia" w:hAnsi="宋体" w:cs="宋体"/>
          <w:color w:val="auto"/>
          <w:highlight w:val="none"/>
        </w:rPr>
        <w:t>1.2.2 支持存储裸设备映射（RDM），可以将存储设备上的LUN直接映射给虚拟机使用，并且支持SCSI指令使用透传模式或者非透传模式；</w:t>
      </w:r>
    </w:p>
    <w:p w14:paraId="4937ECA7">
      <w:pPr>
        <w:pStyle w:val="4"/>
        <w:snapToGrid w:val="0"/>
        <w:ind w:firstLine="480"/>
        <w:rPr>
          <w:rFonts w:hAnsi="宋体" w:cs="宋体"/>
          <w:color w:val="auto"/>
          <w:highlight w:val="none"/>
        </w:rPr>
      </w:pPr>
      <w:r>
        <w:rPr>
          <w:rFonts w:hint="eastAsia" w:hAnsi="宋体" w:cs="宋体"/>
          <w:color w:val="auto"/>
          <w:highlight w:val="none"/>
        </w:rPr>
        <w:t>1.2.3 应满足云主机之间、CPU之间隔离保护要求；</w:t>
      </w:r>
    </w:p>
    <w:p w14:paraId="1FD82800">
      <w:pPr>
        <w:pStyle w:val="4"/>
        <w:snapToGrid w:val="0"/>
        <w:ind w:firstLine="480"/>
        <w:rPr>
          <w:rFonts w:hAnsi="宋体" w:cs="宋体"/>
          <w:color w:val="auto"/>
          <w:highlight w:val="none"/>
        </w:rPr>
      </w:pPr>
      <w:r>
        <w:rPr>
          <w:rFonts w:hint="eastAsia" w:hAnsi="宋体" w:cs="宋体"/>
          <w:color w:val="auto"/>
          <w:highlight w:val="none"/>
        </w:rPr>
        <w:t>1.2.4 支持资源的动态调整，根据业务的负载情况实现业务系统虚拟机的动态扩展和回收，支持手动和自动方式，自动方式可基于主机的CPU、内存、磁盘IO、网络流量等性能参数阈值进行动态调度；</w:t>
      </w:r>
    </w:p>
    <w:p w14:paraId="7960980D">
      <w:pPr>
        <w:pStyle w:val="4"/>
        <w:snapToGrid w:val="0"/>
        <w:ind w:firstLine="480"/>
        <w:rPr>
          <w:rFonts w:hAnsi="宋体" w:cs="宋体"/>
          <w:color w:val="auto"/>
          <w:highlight w:val="none"/>
        </w:rPr>
      </w:pPr>
      <w:r>
        <w:rPr>
          <w:rFonts w:hint="eastAsia" w:hAnsi="宋体" w:cs="宋体"/>
          <w:color w:val="auto"/>
          <w:highlight w:val="none"/>
        </w:rPr>
        <w:t>1.2.5 支持在线进行虚拟化软件版本升级，不同版本之间可以相互兼容；</w:t>
      </w:r>
    </w:p>
    <w:p w14:paraId="1953DD71">
      <w:pPr>
        <w:pStyle w:val="4"/>
        <w:snapToGrid w:val="0"/>
        <w:ind w:firstLine="480"/>
        <w:rPr>
          <w:rFonts w:hAnsi="宋体" w:cs="宋体"/>
          <w:color w:val="auto"/>
          <w:highlight w:val="none"/>
        </w:rPr>
      </w:pPr>
      <w:r>
        <w:rPr>
          <w:rFonts w:hint="eastAsia" w:hAnsi="宋体" w:cs="宋体"/>
          <w:color w:val="auto"/>
          <w:highlight w:val="none"/>
        </w:rPr>
        <w:t>1.2.6 支持异构虚拟化能力，如KVM、PowerVM等多种虚拟化技术；</w:t>
      </w:r>
    </w:p>
    <w:p w14:paraId="778E63B5">
      <w:pPr>
        <w:pStyle w:val="4"/>
        <w:snapToGrid w:val="0"/>
        <w:ind w:firstLine="480"/>
        <w:rPr>
          <w:rFonts w:hAnsi="宋体" w:cs="宋体"/>
          <w:color w:val="auto"/>
          <w:highlight w:val="none"/>
        </w:rPr>
      </w:pPr>
      <w:r>
        <w:rPr>
          <w:rFonts w:hint="eastAsia" w:hAnsi="宋体" w:cs="宋体"/>
          <w:color w:val="auto"/>
          <w:highlight w:val="none"/>
        </w:rPr>
        <w:t>1.2.7 云主机出现故障时，支持自动重启或者迁移，保障业务连续性；</w:t>
      </w:r>
    </w:p>
    <w:p w14:paraId="43182D1D">
      <w:pPr>
        <w:pStyle w:val="4"/>
        <w:snapToGrid w:val="0"/>
        <w:ind w:firstLine="480"/>
        <w:rPr>
          <w:rFonts w:hAnsi="宋体" w:cs="宋体"/>
          <w:color w:val="auto"/>
          <w:highlight w:val="none"/>
        </w:rPr>
      </w:pPr>
      <w:r>
        <w:rPr>
          <w:rFonts w:hint="eastAsia" w:hAnsi="宋体" w:cs="宋体"/>
          <w:color w:val="auto"/>
          <w:highlight w:val="none"/>
        </w:rPr>
        <w:t>1.2.8 支持虚拟机热迁移，可在不同代CPU资源池中进行虚拟机热迁移；</w:t>
      </w:r>
    </w:p>
    <w:p w14:paraId="3C84D3FE">
      <w:pPr>
        <w:pStyle w:val="4"/>
        <w:snapToGrid w:val="0"/>
        <w:ind w:firstLine="480"/>
        <w:rPr>
          <w:rFonts w:hAnsi="宋体" w:cs="宋体"/>
          <w:color w:val="auto"/>
          <w:highlight w:val="none"/>
        </w:rPr>
      </w:pPr>
      <w:r>
        <w:rPr>
          <w:rFonts w:hint="eastAsia" w:hAnsi="宋体" w:cs="宋体"/>
          <w:color w:val="auto"/>
          <w:highlight w:val="none"/>
        </w:rPr>
        <w:t>1.2.9 云计算资源性能要求包括但不限于如下：</w:t>
      </w:r>
    </w:p>
    <w:p w14:paraId="4B640DF1">
      <w:pPr>
        <w:pStyle w:val="4"/>
        <w:snapToGrid w:val="0"/>
        <w:ind w:firstLine="480"/>
        <w:rPr>
          <w:rFonts w:hAnsi="宋体" w:cs="宋体"/>
          <w:color w:val="auto"/>
          <w:highlight w:val="none"/>
        </w:rPr>
      </w:pPr>
      <w:r>
        <w:rPr>
          <w:rFonts w:hint="eastAsia" w:hAnsi="宋体" w:cs="宋体"/>
          <w:color w:val="auto"/>
          <w:highlight w:val="none"/>
        </w:rPr>
        <w:t xml:space="preserve">1.2.9.1 </w:t>
      </w:r>
      <w:r>
        <w:rPr>
          <w:rFonts w:hint="eastAsia" w:ascii="宋体" w:hAnsi="宋体" w:cs="宋体"/>
          <w:bCs/>
          <w:color w:val="auto"/>
          <w:sz w:val="24"/>
          <w:highlight w:val="none"/>
        </w:rPr>
        <w:t>云主机</w:t>
      </w:r>
      <w:r>
        <w:rPr>
          <w:rFonts w:hint="eastAsia" w:hAnsi="宋体" w:cs="宋体"/>
          <w:color w:val="auto"/>
          <w:highlight w:val="none"/>
        </w:rPr>
        <w:t>CPU主频应不低于2.4GHz；</w:t>
      </w:r>
    </w:p>
    <w:p w14:paraId="4430697F">
      <w:pPr>
        <w:pStyle w:val="3"/>
        <w:spacing w:before="0" w:line="24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（二）存储服务</w:t>
      </w:r>
    </w:p>
    <w:p w14:paraId="3D2B9851">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2.1服务内容</w:t>
      </w:r>
    </w:p>
    <w:p w14:paraId="37C834C5">
      <w:pPr>
        <w:pStyle w:val="4"/>
        <w:snapToGrid w:val="0"/>
        <w:ind w:firstLine="480"/>
        <w:rPr>
          <w:rFonts w:hAnsi="宋体" w:cs="宋体"/>
          <w:color w:val="auto"/>
          <w:highlight w:val="none"/>
        </w:rPr>
      </w:pPr>
      <w:r>
        <w:rPr>
          <w:rFonts w:hint="eastAsia" w:hAnsi="宋体" w:cs="宋体"/>
          <w:color w:val="auto"/>
          <w:highlight w:val="none"/>
        </w:rPr>
        <w:t>按照采购人的具体需求，提供存储服务，包括：普通性能存储、高性能存储、静态存储和本地备份服务，实现合理的存储资源配置。在提供政务云存储的服务过程中需做好采购人和对应项目应用开发厂商的协调沟通工作。</w:t>
      </w:r>
    </w:p>
    <w:p w14:paraId="07D020D6">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2.2服务标准</w:t>
      </w:r>
    </w:p>
    <w:p w14:paraId="670B3AA7">
      <w:pPr>
        <w:pStyle w:val="4"/>
        <w:snapToGrid w:val="0"/>
        <w:ind w:firstLine="480"/>
        <w:rPr>
          <w:rFonts w:hAnsi="宋体" w:cs="宋体"/>
          <w:color w:val="auto"/>
          <w:highlight w:val="none"/>
        </w:rPr>
      </w:pPr>
      <w:r>
        <w:rPr>
          <w:rFonts w:hint="eastAsia" w:hAnsi="宋体" w:cs="宋体"/>
          <w:color w:val="auto"/>
          <w:highlight w:val="none"/>
        </w:rPr>
        <w:t>2.2.1 支持结构化数据、半结构化数据和非结构化数据等多种数据类型存储；</w:t>
      </w:r>
    </w:p>
    <w:p w14:paraId="40ABF6A9">
      <w:pPr>
        <w:pStyle w:val="4"/>
        <w:snapToGrid w:val="0"/>
        <w:ind w:firstLine="480"/>
        <w:rPr>
          <w:rFonts w:hAnsi="宋体" w:cs="宋体"/>
          <w:color w:val="auto"/>
          <w:highlight w:val="none"/>
        </w:rPr>
      </w:pPr>
      <w:r>
        <w:rPr>
          <w:rFonts w:hint="eastAsia" w:hAnsi="宋体" w:cs="宋体"/>
          <w:color w:val="auto"/>
          <w:highlight w:val="none"/>
        </w:rPr>
        <w:t>2.2.2 支持块存储、对象存储、文件存储等多种存储方法，满足数据备份、视频存储等不同应用场景使用要求；</w:t>
      </w:r>
    </w:p>
    <w:p w14:paraId="350208B2">
      <w:pPr>
        <w:pStyle w:val="4"/>
        <w:snapToGrid w:val="0"/>
        <w:ind w:firstLine="480"/>
        <w:rPr>
          <w:rFonts w:hAnsi="宋体" w:cs="宋体"/>
          <w:color w:val="auto"/>
          <w:highlight w:val="none"/>
        </w:rPr>
      </w:pPr>
      <w:r>
        <w:rPr>
          <w:rFonts w:hint="eastAsia" w:hAnsi="宋体" w:cs="宋体"/>
          <w:color w:val="auto"/>
          <w:highlight w:val="none"/>
        </w:rPr>
        <w:t>2.2.3 支持存储资源扩展能力，例如：PB级扩展；</w:t>
      </w:r>
    </w:p>
    <w:p w14:paraId="5041C2EA">
      <w:pPr>
        <w:pStyle w:val="4"/>
        <w:snapToGrid w:val="0"/>
        <w:ind w:firstLine="480"/>
        <w:rPr>
          <w:rFonts w:hAnsi="宋体" w:cs="宋体"/>
          <w:color w:val="auto"/>
          <w:highlight w:val="none"/>
        </w:rPr>
      </w:pPr>
      <w:r>
        <w:rPr>
          <w:rFonts w:hint="eastAsia" w:hAnsi="宋体" w:cs="宋体"/>
          <w:color w:val="auto"/>
          <w:highlight w:val="none"/>
        </w:rPr>
        <w:t>2.2.4 支持磁盘容错技术，如磁盘故障后节点的自动平衡和重构、硬盘故障检测和处理、集群节点出现单盘故障时不影响业务运行等；</w:t>
      </w:r>
    </w:p>
    <w:p w14:paraId="0AAB4537">
      <w:pPr>
        <w:pStyle w:val="4"/>
        <w:snapToGrid w:val="0"/>
        <w:ind w:firstLine="480"/>
        <w:rPr>
          <w:rFonts w:hAnsi="宋体" w:cs="宋体"/>
          <w:color w:val="auto"/>
          <w:highlight w:val="none"/>
        </w:rPr>
      </w:pPr>
      <w:r>
        <w:rPr>
          <w:rFonts w:hint="eastAsia" w:hAnsi="宋体" w:cs="宋体"/>
          <w:color w:val="auto"/>
          <w:highlight w:val="none"/>
        </w:rPr>
        <w:t>2.2.5 支持加密存储，使用的密码算法应符合法律、法规的规定和密码相关国家标准、行业标准的有关要求；</w:t>
      </w:r>
    </w:p>
    <w:p w14:paraId="7100B97E">
      <w:pPr>
        <w:pStyle w:val="4"/>
        <w:snapToGrid w:val="0"/>
        <w:ind w:firstLine="480"/>
        <w:rPr>
          <w:rFonts w:hAnsi="宋体" w:cs="宋体"/>
          <w:color w:val="auto"/>
          <w:highlight w:val="none"/>
        </w:rPr>
      </w:pPr>
      <w:r>
        <w:rPr>
          <w:rFonts w:hint="eastAsia" w:hAnsi="宋体" w:cs="宋体"/>
          <w:color w:val="auto"/>
          <w:highlight w:val="none"/>
        </w:rPr>
        <w:t>2.2.6 存储资源性能要求包括但不限于如下：</w:t>
      </w:r>
    </w:p>
    <w:p w14:paraId="2C6877B7">
      <w:pPr>
        <w:pStyle w:val="4"/>
        <w:snapToGrid w:val="0"/>
        <w:ind w:firstLine="480"/>
        <w:rPr>
          <w:rFonts w:hAnsi="宋体" w:cs="宋体"/>
          <w:color w:val="auto"/>
          <w:highlight w:val="none"/>
        </w:rPr>
      </w:pPr>
      <w:r>
        <w:rPr>
          <w:rFonts w:hint="eastAsia" w:hAnsi="宋体" w:cs="宋体"/>
          <w:color w:val="auto"/>
          <w:highlight w:val="none"/>
        </w:rPr>
        <w:t>2.2.6.1 高性能单盘技术指标满足IOPS 10000-25000；</w:t>
      </w:r>
    </w:p>
    <w:p w14:paraId="31012795">
      <w:pPr>
        <w:pStyle w:val="3"/>
        <w:spacing w:before="0" w:line="24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（三）网络服务</w:t>
      </w:r>
    </w:p>
    <w:p w14:paraId="76219E5F">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3.1服务内容</w:t>
      </w:r>
    </w:p>
    <w:p w14:paraId="10501278">
      <w:pPr>
        <w:pStyle w:val="4"/>
        <w:snapToGrid w:val="0"/>
        <w:ind w:firstLine="480"/>
        <w:rPr>
          <w:rFonts w:hAnsi="宋体" w:cs="宋体"/>
          <w:color w:val="auto"/>
          <w:highlight w:val="none"/>
        </w:rPr>
      </w:pPr>
      <w:r>
        <w:rPr>
          <w:rFonts w:hint="eastAsia" w:hAnsi="宋体" w:cs="宋体"/>
          <w:color w:val="auto"/>
          <w:highlight w:val="none"/>
        </w:rPr>
        <w:t>3.1.1 提供互联网链路带宽服务、互联网IP地址租用服务，并提供相应的网络域名备案服务，配合应用开发厂商提供网络策略配置服务。</w:t>
      </w:r>
    </w:p>
    <w:p w14:paraId="4E7C6537">
      <w:pPr>
        <w:pStyle w:val="4"/>
        <w:snapToGrid w:val="0"/>
        <w:ind w:firstLine="480"/>
        <w:rPr>
          <w:rFonts w:hAnsi="宋体" w:cs="宋体"/>
          <w:color w:val="auto"/>
          <w:highlight w:val="none"/>
        </w:rPr>
      </w:pPr>
      <w:r>
        <w:rPr>
          <w:rFonts w:hint="eastAsia" w:hAnsi="宋体" w:cs="宋体"/>
          <w:color w:val="auto"/>
          <w:highlight w:val="none"/>
        </w:rPr>
        <w:t>3.1.2 主机负载均衡服务，通过云管理平台实现针每租户按需自动分配负载均衡服务的能力。</w:t>
      </w:r>
    </w:p>
    <w:p w14:paraId="6E7B27D2">
      <w:pPr>
        <w:pStyle w:val="4"/>
        <w:snapToGrid w:val="0"/>
        <w:ind w:firstLine="480"/>
        <w:rPr>
          <w:rFonts w:hAnsi="宋体" w:cs="宋体"/>
          <w:color w:val="auto"/>
          <w:highlight w:val="none"/>
        </w:rPr>
      </w:pPr>
      <w:r>
        <w:rPr>
          <w:rFonts w:hint="eastAsia" w:hAnsi="宋体" w:cs="宋体"/>
          <w:color w:val="auto"/>
          <w:highlight w:val="none"/>
        </w:rPr>
        <w:t>3.1.3 远程接入服务，提供互联网远程接入服务，每个账号结合身份验证接入堡垒机维护应用系统。</w:t>
      </w:r>
    </w:p>
    <w:p w14:paraId="7F4FD98A">
      <w:pPr>
        <w:pStyle w:val="4"/>
        <w:snapToGrid w:val="0"/>
        <w:ind w:firstLine="480"/>
        <w:rPr>
          <w:rFonts w:hAnsi="宋体" w:cs="宋体"/>
          <w:color w:val="auto"/>
          <w:highlight w:val="none"/>
        </w:rPr>
      </w:pPr>
      <w:r>
        <w:rPr>
          <w:rFonts w:hint="eastAsia" w:hAnsi="宋体" w:cs="宋体"/>
          <w:color w:val="auto"/>
          <w:highlight w:val="none"/>
        </w:rPr>
        <w:t>3.1.4 VPN服务，含SSL VPN接入与IPSec VPN接入服务。</w:t>
      </w:r>
    </w:p>
    <w:p w14:paraId="58A3F5F2">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3.2服务标准</w:t>
      </w:r>
    </w:p>
    <w:p w14:paraId="0118E8E3">
      <w:pPr>
        <w:pStyle w:val="4"/>
        <w:snapToGrid w:val="0"/>
        <w:ind w:firstLine="480"/>
        <w:rPr>
          <w:rFonts w:hAnsi="宋体" w:cs="宋体"/>
          <w:color w:val="auto"/>
          <w:highlight w:val="none"/>
        </w:rPr>
      </w:pPr>
      <w:r>
        <w:rPr>
          <w:rFonts w:hint="eastAsia" w:hAnsi="宋体" w:cs="宋体"/>
          <w:color w:val="auto"/>
          <w:highlight w:val="none"/>
        </w:rPr>
        <w:t>网络系统提供稳定的数据传输能力，一般要求如下：</w:t>
      </w:r>
    </w:p>
    <w:p w14:paraId="6F82F741">
      <w:pPr>
        <w:pStyle w:val="4"/>
        <w:snapToGrid w:val="0"/>
        <w:ind w:firstLine="480"/>
        <w:rPr>
          <w:rFonts w:hAnsi="宋体" w:cs="宋体"/>
          <w:color w:val="auto"/>
          <w:highlight w:val="none"/>
        </w:rPr>
      </w:pPr>
      <w:r>
        <w:rPr>
          <w:rFonts w:hint="eastAsia" w:hAnsi="宋体" w:cs="宋体"/>
          <w:color w:val="auto"/>
          <w:highlight w:val="none"/>
        </w:rPr>
        <w:t>3.2.1 具备多运营商网络接入服务的能力；</w:t>
      </w:r>
    </w:p>
    <w:p w14:paraId="740DF98D">
      <w:pPr>
        <w:pStyle w:val="4"/>
        <w:snapToGrid w:val="0"/>
        <w:ind w:firstLine="480"/>
        <w:rPr>
          <w:rFonts w:hAnsi="宋体" w:cs="宋体"/>
          <w:color w:val="auto"/>
          <w:highlight w:val="none"/>
        </w:rPr>
      </w:pPr>
      <w:r>
        <w:rPr>
          <w:rFonts w:hint="eastAsia" w:hAnsi="宋体" w:cs="宋体"/>
          <w:color w:val="auto"/>
          <w:highlight w:val="none"/>
        </w:rPr>
        <w:t>3.2.2 数据中心组网架构设计可采用大二层网络架构，支持云主机无障碍动态迁移；</w:t>
      </w:r>
    </w:p>
    <w:p w14:paraId="376C79C8">
      <w:pPr>
        <w:pStyle w:val="4"/>
        <w:snapToGrid w:val="0"/>
        <w:ind w:firstLine="480"/>
        <w:rPr>
          <w:rFonts w:hAnsi="宋体" w:cs="宋体"/>
          <w:color w:val="auto"/>
          <w:highlight w:val="none"/>
        </w:rPr>
      </w:pPr>
      <w:r>
        <w:rPr>
          <w:rFonts w:hint="eastAsia" w:hAnsi="宋体" w:cs="宋体"/>
          <w:color w:val="auto"/>
          <w:highlight w:val="none"/>
        </w:rPr>
        <w:t>3.2.3 应采用集群部署网络控制，以保障升级时业务不中断；</w:t>
      </w:r>
    </w:p>
    <w:p w14:paraId="40A6362B">
      <w:pPr>
        <w:pStyle w:val="4"/>
        <w:snapToGrid w:val="0"/>
        <w:ind w:firstLine="480"/>
        <w:rPr>
          <w:rFonts w:hAnsi="宋体" w:cs="宋体"/>
          <w:color w:val="auto"/>
          <w:highlight w:val="none"/>
        </w:rPr>
      </w:pPr>
      <w:r>
        <w:rPr>
          <w:rFonts w:hint="eastAsia" w:hAnsi="宋体" w:cs="宋体"/>
          <w:color w:val="auto"/>
          <w:highlight w:val="none"/>
        </w:rPr>
        <w:t>3.2.4 应实现自动化动态网络资源调配和隔离，支持与互联网、电子政务外网及行业部门专网的连接；</w:t>
      </w:r>
    </w:p>
    <w:p w14:paraId="39D5A521">
      <w:pPr>
        <w:pStyle w:val="4"/>
        <w:snapToGrid w:val="0"/>
        <w:ind w:firstLine="480"/>
        <w:rPr>
          <w:rFonts w:hAnsi="宋体" w:cs="宋体"/>
          <w:color w:val="auto"/>
          <w:highlight w:val="none"/>
        </w:rPr>
      </w:pPr>
      <w:r>
        <w:rPr>
          <w:rFonts w:hint="eastAsia" w:hAnsi="宋体" w:cs="宋体"/>
          <w:color w:val="auto"/>
          <w:highlight w:val="none"/>
        </w:rPr>
        <w:t>3.2.5 支持IPv6地址分配，满足业务系统IPv6要求；</w:t>
      </w:r>
    </w:p>
    <w:p w14:paraId="7398A173">
      <w:pPr>
        <w:pStyle w:val="4"/>
        <w:snapToGrid w:val="0"/>
        <w:ind w:firstLine="480"/>
        <w:rPr>
          <w:rFonts w:hAnsi="宋体" w:cs="宋体"/>
          <w:color w:val="auto"/>
          <w:highlight w:val="none"/>
        </w:rPr>
      </w:pPr>
      <w:r>
        <w:rPr>
          <w:rFonts w:hint="eastAsia" w:hAnsi="宋体" w:cs="宋体"/>
          <w:color w:val="auto"/>
          <w:highlight w:val="none"/>
        </w:rPr>
        <w:t>3.2.6 具备边界防火墙和VPC防火墙隔离能力，分别针对不同的流量进行安全策略防护与配置；</w:t>
      </w:r>
    </w:p>
    <w:p w14:paraId="0F38164E">
      <w:pPr>
        <w:pStyle w:val="4"/>
        <w:snapToGrid w:val="0"/>
        <w:ind w:firstLine="480"/>
        <w:rPr>
          <w:rFonts w:hAnsi="宋体" w:cs="宋体"/>
          <w:color w:val="auto"/>
          <w:highlight w:val="none"/>
        </w:rPr>
      </w:pPr>
      <w:r>
        <w:rPr>
          <w:rFonts w:hint="eastAsia" w:hAnsi="宋体" w:cs="宋体"/>
          <w:color w:val="auto"/>
          <w:highlight w:val="none"/>
        </w:rPr>
        <w:t>3.2.7 具备高可用虚拟IP能力，在集群或主备场景下，云主机可绑定高可用虚拟IP，达到高可用访问效果；</w:t>
      </w:r>
    </w:p>
    <w:p w14:paraId="60E58E02">
      <w:pPr>
        <w:pStyle w:val="4"/>
        <w:snapToGrid w:val="0"/>
        <w:ind w:firstLine="480"/>
        <w:rPr>
          <w:rFonts w:hAnsi="宋体" w:cs="宋体"/>
          <w:color w:val="auto"/>
          <w:highlight w:val="none"/>
        </w:rPr>
      </w:pPr>
      <w:r>
        <w:rPr>
          <w:rFonts w:hint="eastAsia" w:hAnsi="宋体" w:cs="宋体"/>
          <w:color w:val="auto"/>
          <w:highlight w:val="none"/>
        </w:rPr>
        <w:t>3.2.8 采用双活网络架构，降低单点故障带来的稳定风险；为入云系统划分安全区域，合理制定访问规则。</w:t>
      </w:r>
    </w:p>
    <w:p w14:paraId="52944849">
      <w:pPr>
        <w:pStyle w:val="4"/>
        <w:snapToGrid w:val="0"/>
        <w:ind w:firstLine="480"/>
        <w:rPr>
          <w:rFonts w:hAnsi="宋体" w:cs="宋体"/>
          <w:color w:val="auto"/>
          <w:highlight w:val="none"/>
        </w:rPr>
      </w:pPr>
      <w:r>
        <w:rPr>
          <w:rFonts w:hint="eastAsia" w:hAnsi="宋体" w:cs="宋体"/>
          <w:color w:val="auto"/>
          <w:highlight w:val="none"/>
        </w:rPr>
        <w:t>3.2.9 网络系统性能要求包括但不限于如下：</w:t>
      </w:r>
    </w:p>
    <w:p w14:paraId="1A53C116">
      <w:pPr>
        <w:pStyle w:val="4"/>
        <w:snapToGrid w:val="0"/>
        <w:ind w:firstLine="480"/>
        <w:rPr>
          <w:rFonts w:hAnsi="宋体" w:cs="宋体"/>
          <w:color w:val="auto"/>
          <w:highlight w:val="none"/>
        </w:rPr>
      </w:pPr>
      <w:r>
        <w:rPr>
          <w:rFonts w:hint="eastAsia" w:hAnsi="宋体" w:cs="宋体"/>
          <w:color w:val="auto"/>
          <w:highlight w:val="none"/>
        </w:rPr>
        <w:t>3.2.9.1 云内骨干线路带宽不低于10Gb/s；</w:t>
      </w:r>
    </w:p>
    <w:p w14:paraId="05F7F008">
      <w:pPr>
        <w:pStyle w:val="4"/>
        <w:snapToGrid w:val="0"/>
        <w:ind w:firstLine="480"/>
        <w:rPr>
          <w:rFonts w:hAnsi="宋体" w:cs="宋体"/>
          <w:color w:val="auto"/>
          <w:highlight w:val="none"/>
        </w:rPr>
      </w:pPr>
      <w:r>
        <w:rPr>
          <w:rFonts w:hint="eastAsia" w:hAnsi="宋体" w:cs="宋体"/>
          <w:color w:val="auto"/>
          <w:highlight w:val="none"/>
        </w:rPr>
        <w:t>3.2.9.2 服务器业务带宽不低于20Gb/s；</w:t>
      </w:r>
    </w:p>
    <w:p w14:paraId="4E221492">
      <w:pPr>
        <w:pStyle w:val="4"/>
        <w:snapToGrid w:val="0"/>
        <w:ind w:firstLine="480"/>
        <w:rPr>
          <w:rFonts w:hAnsi="宋体" w:cs="宋体"/>
          <w:color w:val="auto"/>
          <w:highlight w:val="none"/>
        </w:rPr>
      </w:pPr>
      <w:r>
        <w:rPr>
          <w:rFonts w:hint="eastAsia" w:hAnsi="宋体" w:cs="宋体"/>
          <w:color w:val="auto"/>
          <w:highlight w:val="none"/>
        </w:rPr>
        <w:t>3.2.10 远程接入服务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2074007F">
      <w:pPr>
        <w:pStyle w:val="4"/>
        <w:snapToGrid w:val="0"/>
        <w:ind w:firstLine="480"/>
        <w:rPr>
          <w:rFonts w:hAnsi="宋体" w:cs="宋体"/>
          <w:color w:val="auto"/>
          <w:highlight w:val="none"/>
        </w:rPr>
      </w:pPr>
      <w:r>
        <w:rPr>
          <w:rFonts w:hint="eastAsia" w:hAnsi="宋体" w:cs="宋体"/>
          <w:color w:val="auto"/>
          <w:highlight w:val="none"/>
        </w:rPr>
        <w:t>3.2.11 SSL VPN接入须实现Web接入，TCP接入，IP接入等多种方式，能够记录完整的用户访问日志；支持基于用户身份的管理，实现不同身份的用户拥有不同的命令执行权限，并且支持用户视图分级，对于不同级别的用户赋予不同的管理配置权限；可以根据请求报文的目的IP地址和目的端口号、源IP地址和源端口号进行过滤；采用通过商用密码产品认证的SSL VPN产品。</w:t>
      </w:r>
    </w:p>
    <w:p w14:paraId="46743AE7">
      <w:pPr>
        <w:pStyle w:val="4"/>
        <w:snapToGrid w:val="0"/>
        <w:ind w:firstLine="480"/>
        <w:rPr>
          <w:rFonts w:hAnsi="宋体" w:cs="宋体"/>
          <w:color w:val="auto"/>
          <w:highlight w:val="none"/>
        </w:rPr>
      </w:pPr>
      <w:r>
        <w:rPr>
          <w:rFonts w:hint="eastAsia" w:hAnsi="宋体" w:cs="宋体"/>
          <w:color w:val="auto"/>
          <w:highlight w:val="none"/>
        </w:rPr>
        <w:t>3.2.12 IPSec VPN接入须可采用手工配置或自动配置的方式实现IPSecVPN隧道的建立，支持对IKE策略、IPSec策略配置及对VPN服务、IPSec站点连接的申请并提供状态监控，能够记录完整的用户访问日志；实现IPsec抗重放检测功能、反向路由注入功能，支持IPv6协议；采用通过商用密码产品认证的IPSEC VPN产品。</w:t>
      </w:r>
    </w:p>
    <w:p w14:paraId="01969DD7">
      <w:pPr>
        <w:pStyle w:val="4"/>
        <w:snapToGrid w:val="0"/>
        <w:ind w:firstLine="480"/>
        <w:rPr>
          <w:rFonts w:hAnsi="宋体" w:cs="宋体"/>
          <w:color w:val="auto"/>
          <w:highlight w:val="none"/>
        </w:rPr>
      </w:pPr>
      <w:r>
        <w:rPr>
          <w:rFonts w:hint="eastAsia" w:hAnsi="宋体" w:cs="宋体"/>
          <w:color w:val="auto"/>
          <w:highlight w:val="none"/>
        </w:rPr>
        <w:t>3.2.13 供应商应强化远程运维管理，因业务确需通过互联网远程运维的，应当采取安全管控措施，向采购提供安全管控方案。重要保障时期避免通过互联网远程运维。</w:t>
      </w:r>
    </w:p>
    <w:p w14:paraId="246D559E">
      <w:pPr>
        <w:pStyle w:val="3"/>
        <w:spacing w:before="0" w:line="24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（四）运维服务</w:t>
      </w:r>
    </w:p>
    <w:p w14:paraId="2E8473A1">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4.1服务内容</w:t>
      </w:r>
    </w:p>
    <w:p w14:paraId="7787CCDE">
      <w:pPr>
        <w:pStyle w:val="4"/>
        <w:snapToGrid w:val="0"/>
        <w:ind w:firstLine="480"/>
        <w:rPr>
          <w:rFonts w:hAnsi="宋体" w:cs="宋体"/>
          <w:color w:val="auto"/>
          <w:highlight w:val="none"/>
        </w:rPr>
      </w:pPr>
      <w:r>
        <w:rPr>
          <w:rFonts w:hint="eastAsia" w:hAnsi="宋体" w:cs="宋体"/>
          <w:color w:val="auto"/>
          <w:highlight w:val="none"/>
        </w:rPr>
        <w:t>4.1.1 负责机房环境资源、云平台硬件资产、虚拟化资产的管理工作；</w:t>
      </w:r>
    </w:p>
    <w:p w14:paraId="251EF7E1">
      <w:pPr>
        <w:pStyle w:val="4"/>
        <w:snapToGrid w:val="0"/>
        <w:ind w:firstLine="480"/>
        <w:rPr>
          <w:rFonts w:hAnsi="宋体" w:cs="宋体"/>
          <w:color w:val="auto"/>
          <w:highlight w:val="none"/>
        </w:rPr>
      </w:pPr>
      <w:r>
        <w:rPr>
          <w:rFonts w:hint="eastAsia" w:hAnsi="宋体" w:cs="宋体"/>
          <w:color w:val="auto"/>
          <w:highlight w:val="none"/>
        </w:rPr>
        <w:t>4.1.2 信息系统入云、上线、变更、退出等各阶段的备案与信息变更等工作；</w:t>
      </w:r>
    </w:p>
    <w:p w14:paraId="2BC253B1">
      <w:pPr>
        <w:pStyle w:val="4"/>
        <w:snapToGrid w:val="0"/>
        <w:ind w:firstLine="480"/>
        <w:rPr>
          <w:rFonts w:hAnsi="宋体" w:cs="宋体"/>
          <w:color w:val="auto"/>
          <w:highlight w:val="none"/>
        </w:rPr>
      </w:pPr>
      <w:r>
        <w:rPr>
          <w:rFonts w:hint="eastAsia" w:hAnsi="宋体" w:cs="宋体"/>
          <w:color w:val="auto"/>
          <w:highlight w:val="none"/>
        </w:rPr>
        <w:t>4.1.3 执行云平台变更申请、审批流程；</w:t>
      </w:r>
    </w:p>
    <w:p w14:paraId="509E0274">
      <w:pPr>
        <w:pStyle w:val="4"/>
        <w:snapToGrid w:val="0"/>
        <w:ind w:firstLine="480"/>
        <w:rPr>
          <w:rFonts w:hAnsi="宋体" w:cs="宋体"/>
          <w:color w:val="auto"/>
          <w:highlight w:val="none"/>
        </w:rPr>
      </w:pPr>
      <w:r>
        <w:rPr>
          <w:rFonts w:hint="eastAsia" w:hAnsi="宋体" w:cs="宋体"/>
          <w:color w:val="auto"/>
          <w:highlight w:val="none"/>
        </w:rPr>
        <w:t>4.1.4 云平台网络资源管理，针对内部地址使用情况、云平台专线接入情况、政务外网资源使用情况等做好统计工作；</w:t>
      </w:r>
    </w:p>
    <w:p w14:paraId="74FA6092">
      <w:pPr>
        <w:pStyle w:val="4"/>
        <w:snapToGrid w:val="0"/>
        <w:ind w:firstLine="480"/>
        <w:rPr>
          <w:rFonts w:hAnsi="宋体" w:cs="宋体"/>
          <w:color w:val="auto"/>
          <w:highlight w:val="none"/>
        </w:rPr>
      </w:pPr>
      <w:r>
        <w:rPr>
          <w:rFonts w:hint="eastAsia" w:hAnsi="宋体" w:cs="宋体"/>
          <w:color w:val="auto"/>
          <w:highlight w:val="none"/>
        </w:rPr>
        <w:t>4.1.5 服务期内，投标人须配备运维团队，提供可靠的售后服务保障。投标人针对采购人要求的云平台运维服务相关内容，需指定专业技术能力较强的工程师，根据采购人要求配合开展相关维护服务。</w:t>
      </w:r>
    </w:p>
    <w:p w14:paraId="27362217">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4.2服务标准</w:t>
      </w:r>
    </w:p>
    <w:p w14:paraId="37A36098">
      <w:pPr>
        <w:pStyle w:val="4"/>
        <w:snapToGrid w:val="0"/>
        <w:ind w:firstLine="480"/>
        <w:rPr>
          <w:rFonts w:hAnsi="宋体" w:cs="宋体"/>
          <w:color w:val="auto"/>
          <w:highlight w:val="none"/>
        </w:rPr>
      </w:pPr>
      <w:r>
        <w:rPr>
          <w:rFonts w:hint="eastAsia" w:hAnsi="宋体" w:cs="宋体"/>
          <w:color w:val="auto"/>
          <w:highlight w:val="none"/>
        </w:rPr>
        <w:t>4.2.1 依据《北京市市级政务云管理办法》，投标人应当提供高效的系统维护服务，有效防范系统风险，系统对应负责人7*24小时电话畅通，能够在系统发生除宕机外的其他故障问题时，能够协调人力资源在1小时内到达政务云机房现场提供服务。系统发生宕机问题时，投标人应在30分钟内响应，能够协调人力资源在1小时内到达运维现场定位、排除故障，在4个小时之内使系统恢复正常，故障处理完毕后提供相关系统宕机报告。</w:t>
      </w:r>
    </w:p>
    <w:p w14:paraId="188616FB">
      <w:pPr>
        <w:pStyle w:val="4"/>
        <w:snapToGrid w:val="0"/>
        <w:ind w:firstLine="480"/>
        <w:rPr>
          <w:rFonts w:hAnsi="宋体" w:cs="宋体"/>
          <w:color w:val="auto"/>
          <w:highlight w:val="none"/>
        </w:rPr>
      </w:pPr>
      <w:r>
        <w:rPr>
          <w:rFonts w:hint="eastAsia" w:hAnsi="宋体" w:cs="宋体"/>
          <w:color w:val="auto"/>
          <w:highlight w:val="none"/>
        </w:rPr>
        <w:t>4.2.2 为保障业务高峰期内系统平稳运行，缓解系统高峰期内因业务发生量增大而带来系统压力风险，要求投标人根据业务周期性特点，加大运维保障力度，保证在业务高峰期内系统平稳运行。</w:t>
      </w:r>
    </w:p>
    <w:p w14:paraId="3FDCBB06">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3</w:t>
      </w:r>
      <w:r>
        <w:rPr>
          <w:rFonts w:hint="eastAsia" w:hAnsi="宋体" w:cs="宋体"/>
          <w:color w:val="auto"/>
          <w:highlight w:val="none"/>
        </w:rPr>
        <w:t xml:space="preserve"> 重点保障时期重要信息系统云主机资源调整时间不超过</w:t>
      </w:r>
      <w:r>
        <w:rPr>
          <w:rFonts w:hint="eastAsia" w:hAnsi="宋体" w:cs="宋体"/>
          <w:color w:val="auto"/>
          <w:highlight w:val="none"/>
          <w:lang w:val="en-US" w:eastAsia="zh-CN"/>
        </w:rPr>
        <w:t>1</w:t>
      </w:r>
      <w:r>
        <w:rPr>
          <w:rFonts w:hint="eastAsia" w:hAnsi="宋体" w:cs="宋体"/>
          <w:color w:val="auto"/>
          <w:highlight w:val="none"/>
        </w:rPr>
        <w:t>小时，针对重点保障时期的重要信息系统重要云主机，投标人应按采购人要求进行实时监控，超过预警阈值时主动上调云资源，并第一时间通知采购人进行相应操作，确保系统平稳运行。</w:t>
      </w:r>
    </w:p>
    <w:p w14:paraId="69A72B6B">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4</w:t>
      </w:r>
      <w:r>
        <w:rPr>
          <w:rFonts w:hint="eastAsia" w:hAnsi="宋体" w:cs="宋体"/>
          <w:color w:val="auto"/>
          <w:highlight w:val="none"/>
        </w:rPr>
        <w:t xml:space="preserve"> 按照国家、北京市相关规定和信息安全技术标准及规范要求, 落实安全保障措施, 通过信息安全测评机构的测评和政务云安全审查 。</w:t>
      </w:r>
    </w:p>
    <w:p w14:paraId="54920899">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5</w:t>
      </w:r>
      <w:r>
        <w:rPr>
          <w:rFonts w:hint="eastAsia" w:hAnsi="宋体" w:cs="宋体"/>
          <w:color w:val="auto"/>
          <w:highlight w:val="none"/>
        </w:rPr>
        <w:t>投标人应明确运维操作规范和工作流程。定期开展文档查阅、漏洞扫描、渗透测试等多种形式的安全自查，排查政务网络和信息系统可能存在的安全漏洞，以及木马、后门、病毒等隐患风险，及时进行整改加固，切实防范安全风险。</w:t>
      </w:r>
    </w:p>
    <w:p w14:paraId="0E80AE70">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6</w:t>
      </w:r>
      <w:r>
        <w:rPr>
          <w:rFonts w:hint="eastAsia" w:hAnsi="宋体" w:cs="宋体"/>
          <w:color w:val="auto"/>
          <w:highlight w:val="none"/>
        </w:rPr>
        <w:t>投标人应建立政务网络和数据安全监测通报机制，加强网络和数据安全监测，及时发布预警信息，开展政务网络和数据安全应急保障工作。发现其网络产品或服务存在安全漏洞等隐患风险时，应当立即采取补救措施，按照规定及时告知采购人并向有关监管部门报告。</w:t>
      </w:r>
    </w:p>
    <w:p w14:paraId="3C74748A">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7</w:t>
      </w:r>
      <w:r>
        <w:rPr>
          <w:rFonts w:hint="eastAsia" w:hAnsi="宋体" w:cs="宋体"/>
          <w:color w:val="auto"/>
          <w:highlight w:val="none"/>
        </w:rPr>
        <w:t>投标人应保障政务云规范运行。入云系统应开展网络安全测评及备案。应对数据进行分类分级管理，根据数据分级保护要求采取相应级别的安全防护措施；应按相关要求对重要数据进行异地备份。</w:t>
      </w:r>
    </w:p>
    <w:p w14:paraId="027DEBD4">
      <w:pPr>
        <w:pStyle w:val="4"/>
        <w:snapToGrid w:val="0"/>
        <w:ind w:firstLine="480"/>
        <w:rPr>
          <w:rFonts w:hAnsi="宋体" w:cs="宋体"/>
          <w:color w:val="auto"/>
          <w:highlight w:val="none"/>
        </w:rPr>
      </w:pPr>
      <w:r>
        <w:rPr>
          <w:rFonts w:hint="eastAsia" w:hAnsi="宋体" w:cs="宋体"/>
          <w:color w:val="auto"/>
          <w:highlight w:val="none"/>
        </w:rPr>
        <w:t>4.2.</w:t>
      </w:r>
      <w:r>
        <w:rPr>
          <w:rFonts w:hAnsi="宋体" w:cs="宋体"/>
          <w:color w:val="auto"/>
          <w:highlight w:val="none"/>
        </w:rPr>
        <w:t>8</w:t>
      </w:r>
      <w:r>
        <w:rPr>
          <w:rFonts w:hint="eastAsia" w:hAnsi="宋体" w:cs="宋体"/>
          <w:color w:val="auto"/>
          <w:highlight w:val="none"/>
        </w:rPr>
        <w:t>除不可抗力或计划内维护作业造成的政务云服务中断外,政务云实行24小时不间断运行。</w:t>
      </w:r>
    </w:p>
    <w:p w14:paraId="221B905B">
      <w:pPr>
        <w:pStyle w:val="3"/>
        <w:spacing w:before="0" w:line="24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（五）备份服务</w:t>
      </w:r>
    </w:p>
    <w:p w14:paraId="10AC850F">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5.1服务内容</w:t>
      </w:r>
    </w:p>
    <w:p w14:paraId="22F88F1D">
      <w:pPr>
        <w:pStyle w:val="4"/>
        <w:snapToGrid w:val="0"/>
        <w:ind w:firstLine="480"/>
        <w:rPr>
          <w:rFonts w:hAnsi="宋体" w:cs="宋体"/>
          <w:color w:val="auto"/>
          <w:highlight w:val="none"/>
        </w:rPr>
      </w:pPr>
      <w:r>
        <w:rPr>
          <w:rFonts w:hint="eastAsia" w:hAnsi="宋体" w:cs="宋体"/>
          <w:color w:val="auto"/>
          <w:highlight w:val="none"/>
        </w:rPr>
        <w:t>投标人需具有本地和同城异地数据级备份能力，并配合采购人完成数据级容灾演练及恢复等工作。</w:t>
      </w:r>
    </w:p>
    <w:p w14:paraId="5B8DA370">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5.2服务标准</w:t>
      </w:r>
    </w:p>
    <w:p w14:paraId="24DE3A32">
      <w:pPr>
        <w:pStyle w:val="4"/>
        <w:snapToGrid w:val="0"/>
        <w:ind w:firstLine="480"/>
        <w:rPr>
          <w:rFonts w:hAnsi="宋体" w:cs="宋体"/>
          <w:color w:val="auto"/>
          <w:highlight w:val="none"/>
        </w:rPr>
      </w:pPr>
      <w:r>
        <w:rPr>
          <w:rFonts w:hint="eastAsia" w:hAnsi="宋体" w:cs="宋体"/>
          <w:color w:val="auto"/>
          <w:highlight w:val="none"/>
        </w:rPr>
        <w:t>按照采购人的各个应用系统对资源的备份需求通过备份策略实现对用户数据（文件、操作系统、数据库）的本地备份（不包含备份存储空间费用），默认提供非结构化数据保护与文件备份保护。备份应满足如下要求:</w:t>
      </w:r>
    </w:p>
    <w:p w14:paraId="72210256">
      <w:pPr>
        <w:pStyle w:val="4"/>
        <w:snapToGrid w:val="0"/>
        <w:ind w:firstLine="480"/>
        <w:rPr>
          <w:rFonts w:hAnsi="宋体" w:cs="宋体"/>
          <w:color w:val="auto"/>
          <w:highlight w:val="none"/>
        </w:rPr>
      </w:pPr>
      <w:r>
        <w:rPr>
          <w:rFonts w:hint="eastAsia" w:hAnsi="宋体" w:cs="宋体"/>
          <w:color w:val="auto"/>
          <w:highlight w:val="none"/>
        </w:rPr>
        <w:t>5.2.1 备份介质本身具备高可用性和冗余性。</w:t>
      </w:r>
    </w:p>
    <w:p w14:paraId="7FA224BE">
      <w:pPr>
        <w:pStyle w:val="4"/>
        <w:snapToGrid w:val="0"/>
        <w:ind w:firstLine="480"/>
        <w:rPr>
          <w:rFonts w:hAnsi="宋体" w:cs="宋体"/>
          <w:color w:val="auto"/>
          <w:highlight w:val="none"/>
        </w:rPr>
      </w:pPr>
      <w:r>
        <w:rPr>
          <w:rFonts w:hint="eastAsia" w:hAnsi="宋体" w:cs="宋体"/>
          <w:color w:val="auto"/>
          <w:highlight w:val="none"/>
        </w:rPr>
        <w:t>5.2.2 备份方式包括完整备份、差异备份和增量备份。</w:t>
      </w:r>
    </w:p>
    <w:p w14:paraId="6385F980">
      <w:pPr>
        <w:pStyle w:val="4"/>
        <w:snapToGrid w:val="0"/>
        <w:ind w:firstLine="480"/>
        <w:rPr>
          <w:rFonts w:hAnsi="宋体" w:cs="宋体"/>
          <w:color w:val="auto"/>
          <w:highlight w:val="none"/>
        </w:rPr>
      </w:pPr>
      <w:r>
        <w:rPr>
          <w:rFonts w:hint="eastAsia" w:hAnsi="宋体" w:cs="宋体"/>
          <w:color w:val="auto"/>
          <w:highlight w:val="none"/>
        </w:rPr>
        <w:t>5.2.3 支持Windows系列操作系统、Linux主流系统操作系统、主流数据库软件、主流中间件软件、结构化数据以及非结构化数据等备份对象。</w:t>
      </w:r>
    </w:p>
    <w:p w14:paraId="0C089DD2">
      <w:pPr>
        <w:pStyle w:val="4"/>
        <w:snapToGrid w:val="0"/>
        <w:ind w:firstLine="480"/>
        <w:rPr>
          <w:rFonts w:hAnsi="宋体" w:cs="宋体"/>
          <w:color w:val="auto"/>
          <w:highlight w:val="none"/>
        </w:rPr>
      </w:pPr>
      <w:r>
        <w:rPr>
          <w:rFonts w:hint="eastAsia" w:hAnsi="宋体" w:cs="宋体"/>
          <w:color w:val="auto"/>
          <w:highlight w:val="none"/>
        </w:rPr>
        <w:t>5.2.4 支持建立统一的备份管理系统，用来管理本地备份和异地备份。</w:t>
      </w:r>
    </w:p>
    <w:p w14:paraId="5BAF423E">
      <w:pPr>
        <w:pStyle w:val="4"/>
        <w:snapToGrid w:val="0"/>
        <w:ind w:firstLine="480"/>
        <w:rPr>
          <w:rFonts w:hAnsi="宋体" w:cs="宋体"/>
          <w:color w:val="auto"/>
          <w:highlight w:val="none"/>
        </w:rPr>
      </w:pPr>
      <w:r>
        <w:rPr>
          <w:rFonts w:hint="eastAsia" w:hAnsi="宋体" w:cs="宋体"/>
          <w:color w:val="auto"/>
          <w:highlight w:val="none"/>
        </w:rPr>
        <w:t>5.2.5 投标人应提供对备份过程状态、备份结果提供运维监控保障服务，确保备份任务执行成功以及备份的数据完整性。</w:t>
      </w:r>
    </w:p>
    <w:p w14:paraId="46116CC0">
      <w:pPr>
        <w:pStyle w:val="3"/>
        <w:spacing w:before="0" w:line="24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（六）日志服务</w:t>
      </w:r>
    </w:p>
    <w:p w14:paraId="297B0D48">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6.1服务内容</w:t>
      </w:r>
    </w:p>
    <w:p w14:paraId="48C211DD">
      <w:pPr>
        <w:pStyle w:val="4"/>
        <w:snapToGrid w:val="0"/>
        <w:ind w:firstLine="480"/>
        <w:rPr>
          <w:rFonts w:hAnsi="宋体" w:cs="宋体"/>
          <w:color w:val="auto"/>
          <w:highlight w:val="none"/>
        </w:rPr>
      </w:pPr>
      <w:r>
        <w:rPr>
          <w:rFonts w:hint="eastAsia" w:hAnsi="宋体" w:cs="宋体"/>
          <w:color w:val="auto"/>
          <w:highlight w:val="none"/>
        </w:rPr>
        <w:t>日志是发现问题、定位问题的重要信息，投标人提供统一的日志平台服务，针对操作系统进行日志收集，用于了解主机安全情况及资源使用情况，具体内容如下：</w:t>
      </w:r>
    </w:p>
    <w:p w14:paraId="73000CB1">
      <w:pPr>
        <w:pStyle w:val="4"/>
        <w:snapToGrid w:val="0"/>
        <w:ind w:firstLine="480"/>
        <w:rPr>
          <w:rFonts w:hAnsi="宋体" w:cs="宋体"/>
          <w:color w:val="auto"/>
          <w:highlight w:val="none"/>
        </w:rPr>
      </w:pPr>
      <w:r>
        <w:rPr>
          <w:rFonts w:hint="eastAsia" w:hAnsi="宋体" w:cs="宋体"/>
          <w:color w:val="auto"/>
          <w:highlight w:val="none"/>
        </w:rPr>
        <w:t>6.1.1 提供统一收集PaaS平台组件的日志服务；</w:t>
      </w:r>
    </w:p>
    <w:p w14:paraId="660A181A">
      <w:pPr>
        <w:pStyle w:val="4"/>
        <w:snapToGrid w:val="0"/>
        <w:ind w:firstLine="480"/>
        <w:rPr>
          <w:rFonts w:hAnsi="宋体" w:cs="宋体"/>
          <w:color w:val="auto"/>
          <w:highlight w:val="none"/>
        </w:rPr>
      </w:pPr>
      <w:r>
        <w:rPr>
          <w:rFonts w:hint="eastAsia" w:hAnsi="宋体" w:cs="宋体"/>
          <w:color w:val="auto"/>
          <w:highlight w:val="none"/>
        </w:rPr>
        <w:t>6.1.2 提供收集面向应用的日志服务，如应用定向写到文件中的日志；</w:t>
      </w:r>
    </w:p>
    <w:p w14:paraId="24642049">
      <w:pPr>
        <w:pStyle w:val="4"/>
        <w:snapToGrid w:val="0"/>
        <w:ind w:firstLine="480"/>
        <w:rPr>
          <w:rFonts w:hAnsi="宋体" w:cs="宋体"/>
          <w:color w:val="auto"/>
          <w:highlight w:val="none"/>
        </w:rPr>
      </w:pPr>
      <w:r>
        <w:rPr>
          <w:rFonts w:hint="eastAsia" w:hAnsi="宋体" w:cs="宋体"/>
          <w:color w:val="auto"/>
          <w:highlight w:val="none"/>
        </w:rPr>
        <w:t>6.1.3 提供对日志的可视化管理、组合过滤查询的能力；</w:t>
      </w:r>
    </w:p>
    <w:p w14:paraId="47569E7F">
      <w:pPr>
        <w:pStyle w:val="4"/>
        <w:snapToGrid w:val="0"/>
        <w:ind w:firstLine="480"/>
        <w:rPr>
          <w:rFonts w:hAnsi="宋体" w:cs="宋体"/>
          <w:color w:val="auto"/>
          <w:highlight w:val="none"/>
        </w:rPr>
      </w:pPr>
      <w:r>
        <w:rPr>
          <w:rFonts w:hint="eastAsia" w:hAnsi="宋体" w:cs="宋体"/>
          <w:color w:val="auto"/>
          <w:highlight w:val="none"/>
        </w:rPr>
        <w:t>6.1.4 支持用户自定义解析规则和解析规则组，并预制多种解析规则实现日志数据解析；</w:t>
      </w:r>
    </w:p>
    <w:p w14:paraId="54AB0411">
      <w:pPr>
        <w:pStyle w:val="4"/>
        <w:snapToGrid w:val="0"/>
        <w:ind w:firstLine="480"/>
        <w:rPr>
          <w:rFonts w:hAnsi="宋体" w:cs="宋体"/>
          <w:color w:val="auto"/>
          <w:highlight w:val="none"/>
        </w:rPr>
      </w:pPr>
      <w:r>
        <w:rPr>
          <w:rFonts w:hint="eastAsia" w:hAnsi="宋体" w:cs="宋体"/>
          <w:color w:val="auto"/>
          <w:highlight w:val="none"/>
        </w:rPr>
        <w:t>6.1.5 日志数据冷热数据分离存储，支持分别配置冷数据和热数据保存时间，也可支持永久保存；</w:t>
      </w:r>
    </w:p>
    <w:p w14:paraId="473FCB20">
      <w:pPr>
        <w:pStyle w:val="4"/>
        <w:snapToGrid w:val="0"/>
        <w:ind w:firstLine="480"/>
        <w:rPr>
          <w:rFonts w:hAnsi="宋体" w:cs="宋体"/>
          <w:color w:val="auto"/>
          <w:highlight w:val="none"/>
        </w:rPr>
      </w:pPr>
      <w:r>
        <w:rPr>
          <w:rFonts w:hint="eastAsia" w:hAnsi="宋体" w:cs="宋体"/>
          <w:color w:val="auto"/>
          <w:highlight w:val="none"/>
        </w:rPr>
        <w:t>6.1.6 支持自定义日志分片数和副本数；</w:t>
      </w:r>
    </w:p>
    <w:p w14:paraId="1CAC4CD8">
      <w:pPr>
        <w:pStyle w:val="4"/>
        <w:snapToGrid w:val="0"/>
        <w:ind w:firstLine="480"/>
        <w:rPr>
          <w:rFonts w:hAnsi="宋体" w:cs="宋体"/>
          <w:color w:val="auto"/>
          <w:highlight w:val="none"/>
        </w:rPr>
      </w:pPr>
      <w:r>
        <w:rPr>
          <w:rFonts w:hint="eastAsia" w:hAnsi="宋体" w:cs="宋体"/>
          <w:color w:val="auto"/>
          <w:highlight w:val="none"/>
        </w:rPr>
        <w:t>6.1.7 为了提高存储资源利用率，支持日志投递功能，按JSON、CSV等转存格式转储日志数据到共享存储。</w:t>
      </w:r>
    </w:p>
    <w:p w14:paraId="099EAD36">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6.2服务标准</w:t>
      </w:r>
    </w:p>
    <w:p w14:paraId="217387CF">
      <w:pPr>
        <w:pStyle w:val="4"/>
        <w:snapToGrid w:val="0"/>
        <w:ind w:firstLine="480"/>
        <w:rPr>
          <w:rFonts w:hAnsi="宋体" w:cs="宋体"/>
          <w:color w:val="auto"/>
          <w:highlight w:val="none"/>
        </w:rPr>
      </w:pPr>
      <w:r>
        <w:rPr>
          <w:rFonts w:hint="eastAsia" w:hAnsi="宋体" w:cs="宋体"/>
          <w:color w:val="auto"/>
          <w:highlight w:val="none"/>
        </w:rPr>
        <w:t>对主机系统日志进行采集分析处理，用于发现各种安全威胁、异常行为事件。主机系统日志应集中存储，且日志存储时间不低于6个月。</w:t>
      </w:r>
    </w:p>
    <w:p w14:paraId="1BE7285B">
      <w:pPr>
        <w:pStyle w:val="3"/>
        <w:spacing w:before="0" w:line="24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（七）迁移服务</w:t>
      </w:r>
    </w:p>
    <w:p w14:paraId="6F6AB9F7">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7.1服务内容</w:t>
      </w:r>
    </w:p>
    <w:p w14:paraId="7FB0D2DC">
      <w:pPr>
        <w:pStyle w:val="4"/>
        <w:snapToGrid w:val="0"/>
        <w:ind w:firstLine="480"/>
        <w:rPr>
          <w:rFonts w:hAnsi="宋体" w:cs="宋体"/>
          <w:color w:val="auto"/>
          <w:highlight w:val="none"/>
        </w:rPr>
      </w:pPr>
      <w:r>
        <w:rPr>
          <w:rFonts w:hint="eastAsia" w:hAnsi="宋体" w:cs="宋体"/>
          <w:color w:val="auto"/>
          <w:highlight w:val="none"/>
        </w:rPr>
        <w:t>投标人需提供整体的业务上云迁移服务，应支持X86云主机迁移、X86物理主机迁移、单机数据库迁移、高可用数据库迁移等迁移场景。负责需求调研、架构规划设计、应用迁移部署等工作。</w:t>
      </w:r>
    </w:p>
    <w:p w14:paraId="4E568A09">
      <w:pPr>
        <w:ind w:firstLine="482" w:firstLineChars="200"/>
        <w:rPr>
          <w:rFonts w:ascii="宋体" w:hAnsi="宋体" w:cs="宋体"/>
          <w:bCs/>
          <w:color w:val="auto"/>
          <w:sz w:val="24"/>
          <w:highlight w:val="none"/>
          <w:lang w:bidi="ar"/>
        </w:rPr>
      </w:pPr>
      <w:r>
        <w:rPr>
          <w:rFonts w:hint="eastAsia" w:ascii="宋体" w:hAnsi="宋体" w:cs="宋体"/>
          <w:b/>
          <w:bCs/>
          <w:color w:val="auto"/>
          <w:sz w:val="24"/>
          <w:highlight w:val="none"/>
        </w:rPr>
        <w:t>7.2服务标准</w:t>
      </w:r>
    </w:p>
    <w:p w14:paraId="7FB69F9A">
      <w:pPr>
        <w:pStyle w:val="4"/>
        <w:snapToGrid w:val="0"/>
        <w:ind w:firstLine="480"/>
        <w:rPr>
          <w:rFonts w:hAnsi="宋体" w:cs="宋体"/>
          <w:color w:val="auto"/>
          <w:highlight w:val="none"/>
        </w:rPr>
      </w:pPr>
      <w:r>
        <w:rPr>
          <w:rFonts w:hint="eastAsia" w:hAnsi="宋体" w:cs="宋体"/>
          <w:color w:val="auto"/>
          <w:highlight w:val="none"/>
        </w:rPr>
        <w:t>本项目涉及的业务系统为采购人在用的生产系统，目前在政务云上平稳运行，因此保障业务连续性是重要的保障需求。迁移服务具体要求如下：</w:t>
      </w:r>
    </w:p>
    <w:p w14:paraId="24BA6490">
      <w:pPr>
        <w:pStyle w:val="4"/>
        <w:snapToGrid w:val="0"/>
        <w:ind w:firstLine="480"/>
        <w:rPr>
          <w:rFonts w:hAnsi="宋体" w:cs="宋体"/>
          <w:color w:val="auto"/>
          <w:highlight w:val="none"/>
        </w:rPr>
      </w:pPr>
      <w:r>
        <w:rPr>
          <w:rFonts w:hint="eastAsia" w:hAnsi="宋体" w:cs="宋体"/>
          <w:color w:val="auto"/>
          <w:highlight w:val="none"/>
        </w:rPr>
        <w:t>7.2.1 投标人需编制业务连续性服务方案。</w:t>
      </w:r>
    </w:p>
    <w:p w14:paraId="57EEB928">
      <w:pPr>
        <w:pStyle w:val="4"/>
        <w:snapToGrid w:val="0"/>
        <w:ind w:firstLine="480"/>
        <w:rPr>
          <w:rFonts w:hAnsi="宋体" w:cs="宋体"/>
          <w:color w:val="auto"/>
          <w:highlight w:val="none"/>
        </w:rPr>
      </w:pPr>
      <w:r>
        <w:rPr>
          <w:rFonts w:hint="eastAsia" w:hAnsi="宋体" w:cs="宋体"/>
          <w:color w:val="auto"/>
          <w:highlight w:val="none"/>
        </w:rPr>
        <w:t>7.2.2 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25E8FAE1">
      <w:pPr>
        <w:pStyle w:val="4"/>
        <w:snapToGrid w:val="0"/>
        <w:ind w:firstLine="480"/>
        <w:rPr>
          <w:rFonts w:hAnsi="宋体" w:cs="宋体"/>
          <w:color w:val="auto"/>
          <w:highlight w:val="none"/>
        </w:rPr>
      </w:pPr>
      <w:r>
        <w:rPr>
          <w:rFonts w:hint="eastAsia" w:hAnsi="宋体" w:cs="宋体"/>
          <w:color w:val="auto"/>
          <w:highlight w:val="none"/>
        </w:rPr>
        <w:t>7.2.3 本项目如涉及系统迁移，为保障业务系统的连续性，投标人应承诺自中标之日起，积极与原服务商对接，在1个工作日内，完成系统迁移平滑过渡，且因此产生的各项费用（包括但不限于测试阶段的云资源费用，系统开发商对业务系统的部署、调试费用等），应包含在投标人的报价中，提供“承诺函”并加盖投标人公章。</w:t>
      </w:r>
    </w:p>
    <w:p w14:paraId="1527E1B8">
      <w:pPr>
        <w:pStyle w:val="3"/>
        <w:spacing w:before="0" w:line="24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（八）培训服务</w:t>
      </w:r>
    </w:p>
    <w:p w14:paraId="3AA0F9D3">
      <w:pPr>
        <w:pStyle w:val="4"/>
        <w:snapToGrid w:val="0"/>
        <w:ind w:firstLine="480"/>
        <w:rPr>
          <w:rFonts w:hAnsi="宋体" w:cs="宋体"/>
          <w:color w:val="auto"/>
          <w:highlight w:val="none"/>
        </w:rPr>
      </w:pPr>
      <w:r>
        <w:rPr>
          <w:rFonts w:hint="eastAsia" w:hAnsi="宋体" w:cs="宋体"/>
          <w:color w:val="auto"/>
          <w:highlight w:val="none"/>
        </w:rPr>
        <w:t>投标人提供云服务操作手册，并为采购人提供必要的使用培训，至少提供以下内容：</w:t>
      </w:r>
    </w:p>
    <w:p w14:paraId="16336CC6">
      <w:pPr>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8.1内部培训</w:t>
      </w:r>
    </w:p>
    <w:p w14:paraId="7F253A34">
      <w:pPr>
        <w:pStyle w:val="4"/>
        <w:snapToGrid w:val="0"/>
        <w:ind w:firstLine="480"/>
        <w:rPr>
          <w:rFonts w:hAnsi="宋体" w:cs="宋体"/>
          <w:color w:val="auto"/>
          <w:highlight w:val="none"/>
        </w:rPr>
      </w:pPr>
      <w:r>
        <w:rPr>
          <w:rFonts w:hint="eastAsia" w:hAnsi="宋体" w:cs="宋体"/>
          <w:color w:val="auto"/>
          <w:highlight w:val="none"/>
        </w:rPr>
        <w:t>内部培训旨在提高云平台运维能力，规范运维管理。内容包括但不限于：</w:t>
      </w:r>
    </w:p>
    <w:p w14:paraId="5BED11BF">
      <w:pPr>
        <w:pStyle w:val="4"/>
        <w:snapToGrid w:val="0"/>
        <w:ind w:firstLine="480"/>
        <w:rPr>
          <w:rFonts w:hAnsi="宋体" w:cs="宋体"/>
          <w:color w:val="auto"/>
          <w:highlight w:val="none"/>
        </w:rPr>
      </w:pPr>
      <w:r>
        <w:rPr>
          <w:rFonts w:hint="eastAsia" w:hAnsi="宋体" w:cs="宋体"/>
          <w:color w:val="auto"/>
          <w:highlight w:val="none"/>
        </w:rPr>
        <w:t>8.1.1 面向项目管理人员、系统管理人员的培训，确保此类人员能清晰地了解云平台的设计理念和设计方法，掌握云平台的整体结构，以及各类云资源的申请、审核、开通、回收等管理流程。</w:t>
      </w:r>
    </w:p>
    <w:p w14:paraId="43FA9F21">
      <w:pPr>
        <w:pStyle w:val="4"/>
        <w:snapToGrid w:val="0"/>
        <w:ind w:firstLine="480"/>
        <w:rPr>
          <w:rFonts w:hAnsi="宋体" w:cs="宋体"/>
          <w:color w:val="auto"/>
          <w:highlight w:val="none"/>
        </w:rPr>
      </w:pPr>
      <w:r>
        <w:rPr>
          <w:rFonts w:hint="eastAsia" w:hAnsi="宋体" w:cs="宋体"/>
          <w:color w:val="auto"/>
          <w:highlight w:val="none"/>
        </w:rPr>
        <w:t>8.1.2 面向系统维护人员的培训，确保此类人员能理解和掌握云平台的相关技术知识，能够熟练地维护云平台，快速定位和解决系统出现的问题，保证云平台服务期间正常运转，并持续提高运维服务质量。</w:t>
      </w:r>
    </w:p>
    <w:p w14:paraId="18F6ADFA">
      <w:pPr>
        <w:pStyle w:val="4"/>
        <w:snapToGrid w:val="0"/>
        <w:ind w:firstLine="480"/>
        <w:rPr>
          <w:rFonts w:hAnsi="宋体" w:cs="宋体"/>
          <w:color w:val="auto"/>
          <w:highlight w:val="none"/>
        </w:rPr>
      </w:pPr>
      <w:r>
        <w:rPr>
          <w:rFonts w:hint="eastAsia" w:hAnsi="宋体" w:cs="宋体"/>
          <w:color w:val="auto"/>
          <w:highlight w:val="none"/>
        </w:rPr>
        <w:t>8.1.3 本单位人员的安全培训教育，确保工作人员符合岗位要求。</w:t>
      </w:r>
    </w:p>
    <w:p w14:paraId="57F5824D">
      <w:pPr>
        <w:pStyle w:val="4"/>
        <w:snapToGrid w:val="0"/>
        <w:ind w:firstLine="480"/>
        <w:rPr>
          <w:rFonts w:hAnsi="宋体" w:cs="宋体"/>
          <w:color w:val="auto"/>
          <w:highlight w:val="none"/>
        </w:rPr>
      </w:pPr>
      <w:r>
        <w:rPr>
          <w:rFonts w:hint="eastAsia" w:hAnsi="宋体" w:cs="宋体"/>
          <w:color w:val="auto"/>
          <w:highlight w:val="none"/>
        </w:rPr>
        <w:t>8.1.4 云平台维护人员的定期业务培训和保密培训，重保前的业务培训和应急保障培训等。</w:t>
      </w:r>
    </w:p>
    <w:p w14:paraId="17F75FCA">
      <w:pPr>
        <w:pStyle w:val="4"/>
        <w:snapToGrid w:val="0"/>
        <w:ind w:firstLine="480"/>
        <w:rPr>
          <w:rFonts w:hAnsi="宋体" w:cs="宋体"/>
          <w:color w:val="auto"/>
          <w:highlight w:val="none"/>
        </w:rPr>
      </w:pPr>
      <w:r>
        <w:rPr>
          <w:rFonts w:hint="eastAsia" w:hAnsi="宋体" w:cs="宋体"/>
          <w:color w:val="auto"/>
          <w:highlight w:val="none"/>
        </w:rPr>
        <w:t>8.1.5 面向管理单位的培训，确保此类人员充分了解云平台的技术架构、服务水平等。</w:t>
      </w:r>
    </w:p>
    <w:p w14:paraId="4DABA972">
      <w:pPr>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8.2外部培训</w:t>
      </w:r>
    </w:p>
    <w:p w14:paraId="10D57701">
      <w:pPr>
        <w:pStyle w:val="4"/>
        <w:snapToGrid w:val="0"/>
        <w:ind w:firstLine="480"/>
        <w:rPr>
          <w:rFonts w:hAnsi="宋体" w:cs="宋体"/>
          <w:color w:val="auto"/>
          <w:highlight w:val="none"/>
        </w:rPr>
      </w:pPr>
      <w:r>
        <w:rPr>
          <w:rFonts w:hint="eastAsia" w:hAnsi="宋体" w:cs="宋体"/>
          <w:color w:val="auto"/>
          <w:highlight w:val="none"/>
        </w:rPr>
        <w:t>投标人应根据本项目的特点制定培训方案并提供培训，负责安排专业培训讲师授课，并提供全套培训教材和培训课程计划表，培训课程涵盖云平台使用和管理培训，采购人在培训后能够独立使用相关服务功能。投标人每年应组织安排至少一次针对采购人的系统入云及用户培训。投标人应将所有培训费用（含培训教材费）及各项支出计入资源租赁费用中，不单独报价。内容包括但不限于：</w:t>
      </w:r>
    </w:p>
    <w:p w14:paraId="2404CA8F">
      <w:pPr>
        <w:pStyle w:val="4"/>
        <w:snapToGrid w:val="0"/>
        <w:ind w:firstLine="480"/>
        <w:rPr>
          <w:rFonts w:hAnsi="宋体" w:cs="宋体"/>
          <w:color w:val="auto"/>
          <w:highlight w:val="none"/>
        </w:rPr>
      </w:pPr>
      <w:r>
        <w:rPr>
          <w:rFonts w:hint="eastAsia" w:hAnsi="宋体" w:cs="宋体"/>
          <w:color w:val="auto"/>
          <w:highlight w:val="none"/>
        </w:rPr>
        <w:t>8.2.1 面向采购人和开发人员的技术交流，包括云架构规划咨询、应用系统部署、迁移，云平台运维及其他技术服务。</w:t>
      </w:r>
    </w:p>
    <w:p w14:paraId="65DB978A">
      <w:pPr>
        <w:pStyle w:val="4"/>
        <w:snapToGrid w:val="0"/>
        <w:ind w:firstLine="480"/>
        <w:rPr>
          <w:rFonts w:hAnsi="宋体" w:cs="宋体"/>
          <w:color w:val="auto"/>
          <w:highlight w:val="none"/>
        </w:rPr>
      </w:pPr>
      <w:r>
        <w:rPr>
          <w:rFonts w:hint="eastAsia" w:hAnsi="宋体" w:cs="宋体"/>
          <w:color w:val="auto"/>
          <w:highlight w:val="none"/>
        </w:rPr>
        <w:t>8.2.2 面向采购人的培训，确保云平台最终用户能理解和掌握各类云服务的使用方法和操作技巧，能够高效、熟练地基于云平台部署上层业务应用，最终使采购人在培训后能够独立使用相关服务功能，而不必依赖投标人现场指导。</w:t>
      </w:r>
    </w:p>
    <w:p w14:paraId="20716613">
      <w:pPr>
        <w:pStyle w:val="4"/>
        <w:snapToGrid w:val="0"/>
        <w:ind w:firstLine="480"/>
        <w:rPr>
          <w:rFonts w:hAnsi="宋体" w:cs="宋体"/>
          <w:color w:val="auto"/>
          <w:highlight w:val="none"/>
        </w:rPr>
      </w:pPr>
      <w:r>
        <w:rPr>
          <w:rFonts w:hint="eastAsia" w:hAnsi="宋体" w:cs="宋体"/>
          <w:color w:val="auto"/>
          <w:highlight w:val="none"/>
        </w:rPr>
        <w:t>8.2.3 面向开发人员的培训，确保其能理解和掌握基于云平台的开发规范，针对具体的业务应用场景能够充分发挥云平台的技术优势，合理地设计上层业务应用的技术架构，制订部署、迁移方案，评估云资源的容量需求。</w:t>
      </w:r>
    </w:p>
    <w:p w14:paraId="3EF8FA8F">
      <w:pPr>
        <w:pStyle w:val="4"/>
        <w:snapToGrid w:val="0"/>
        <w:ind w:firstLine="480"/>
        <w:rPr>
          <w:rFonts w:hAnsi="宋体" w:cs="宋体"/>
          <w:color w:val="auto"/>
          <w:highlight w:val="none"/>
        </w:rPr>
      </w:pPr>
      <w:r>
        <w:rPr>
          <w:rFonts w:hint="eastAsia" w:hAnsi="宋体" w:cs="宋体"/>
          <w:color w:val="auto"/>
          <w:highlight w:val="none"/>
        </w:rPr>
        <w:t>8.2.4 定期对系统相关的人员进行应急预案培训，并进行应急预案的演练；每年至少开展1次云平台应急演练。</w:t>
      </w:r>
    </w:p>
    <w:p w14:paraId="470C5CFF">
      <w:pPr>
        <w:pStyle w:val="4"/>
        <w:snapToGrid w:val="0"/>
        <w:ind w:firstLine="480"/>
        <w:rPr>
          <w:rFonts w:hAnsi="宋体" w:cs="宋体"/>
          <w:color w:val="auto"/>
          <w:highlight w:val="none"/>
        </w:rPr>
      </w:pPr>
      <w:r>
        <w:rPr>
          <w:rFonts w:hint="eastAsia" w:hAnsi="宋体" w:cs="宋体"/>
          <w:color w:val="auto"/>
          <w:highlight w:val="none"/>
        </w:rPr>
        <w:t>8.2.5 投标人应在此基础上制定针对本单位的培训方案。</w:t>
      </w:r>
    </w:p>
    <w:p w14:paraId="34669B25">
      <w:pPr>
        <w:pStyle w:val="3"/>
        <w:spacing w:before="0" w:line="24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（九）其他服务</w:t>
      </w:r>
    </w:p>
    <w:p w14:paraId="00CFAB75">
      <w:pPr>
        <w:pStyle w:val="4"/>
        <w:snapToGrid w:val="0"/>
        <w:ind w:firstLine="480"/>
        <w:rPr>
          <w:rFonts w:hAnsi="宋体" w:cs="宋体"/>
          <w:color w:val="auto"/>
          <w:highlight w:val="none"/>
        </w:rPr>
      </w:pPr>
      <w:r>
        <w:rPr>
          <w:rFonts w:hint="eastAsia" w:hAnsi="宋体" w:cs="宋体"/>
          <w:color w:val="auto"/>
          <w:highlight w:val="none"/>
        </w:rPr>
        <w:t>按照采购人的有关管理规定及具体需求提供个性化服务，包括数据库租用服务、数据库安全加固服务、网站安全管理服务、安全隔离网闸租赁服务、网站监测服务-网站页面访问性能监控、等保测评、业务拓展保障服务。</w:t>
      </w:r>
    </w:p>
    <w:p w14:paraId="4D25CC12">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9.1服务规范</w:t>
      </w:r>
    </w:p>
    <w:p w14:paraId="5680ED88">
      <w:pPr>
        <w:pStyle w:val="4"/>
        <w:snapToGrid w:val="0"/>
        <w:ind w:firstLine="480"/>
        <w:rPr>
          <w:rFonts w:hAnsi="宋体" w:cs="宋体"/>
          <w:color w:val="auto"/>
          <w:highlight w:val="none"/>
        </w:rPr>
      </w:pPr>
      <w:r>
        <w:rPr>
          <w:rFonts w:hint="eastAsia" w:hAnsi="宋体" w:cs="宋体"/>
          <w:color w:val="auto"/>
          <w:highlight w:val="none"/>
        </w:rPr>
        <w:t>投标人须严格按照采购人制定的管理办法、流程及其他汇报制度、应急制度、文档管理、资产管理、基线管理、人员管理、培训与考试、知识库管理、安全管理等相关制度，开展标准化运维工作。</w:t>
      </w:r>
    </w:p>
    <w:p w14:paraId="7B5BFACA">
      <w:pPr>
        <w:pStyle w:val="4"/>
        <w:snapToGrid w:val="0"/>
        <w:ind w:firstLine="480"/>
        <w:rPr>
          <w:rFonts w:hAnsi="宋体" w:cs="宋体"/>
          <w:color w:val="auto"/>
          <w:highlight w:val="none"/>
        </w:rPr>
      </w:pPr>
      <w:r>
        <w:rPr>
          <w:rFonts w:hint="eastAsia" w:hAnsi="宋体" w:cs="宋体"/>
          <w:color w:val="auto"/>
          <w:highlight w:val="none"/>
        </w:rPr>
        <w:t>投标人应遵从政务云管理单位的日常管理要求，包括但不限于应使用政务云管理单位指定的安全通信工具，确保通信和协调信息处于可控范围。</w:t>
      </w:r>
    </w:p>
    <w:p w14:paraId="1ECBD837">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9.2支撑保障服务</w:t>
      </w:r>
    </w:p>
    <w:p w14:paraId="659A9135">
      <w:pPr>
        <w:pStyle w:val="4"/>
        <w:snapToGrid w:val="0"/>
        <w:ind w:firstLine="480"/>
        <w:rPr>
          <w:rFonts w:hAnsi="宋体" w:cs="宋体"/>
          <w:color w:val="auto"/>
          <w:highlight w:val="none"/>
        </w:rPr>
      </w:pPr>
      <w:r>
        <w:rPr>
          <w:rFonts w:hint="eastAsia" w:hAnsi="宋体" w:cs="宋体"/>
          <w:color w:val="auto"/>
          <w:highlight w:val="none"/>
        </w:rPr>
        <w:t>按照采购人有关国产数据库改造、国产密码应用改造等相关需求，提供咨询、评估、论证、使用等支撑保障服务。</w:t>
      </w:r>
    </w:p>
    <w:p w14:paraId="22FD2218">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9.3其他技术服务</w:t>
      </w:r>
    </w:p>
    <w:p w14:paraId="38F7CD23">
      <w:pPr>
        <w:pStyle w:val="4"/>
        <w:snapToGrid w:val="0"/>
        <w:ind w:firstLine="480"/>
        <w:rPr>
          <w:rFonts w:hint="eastAsia" w:hAnsi="宋体" w:cs="宋体"/>
          <w:color w:val="auto"/>
          <w:highlight w:val="none"/>
          <w:lang w:eastAsia="zh-CN"/>
        </w:rPr>
      </w:pPr>
      <w:r>
        <w:rPr>
          <w:rFonts w:hint="eastAsia" w:hAnsi="宋体" w:cs="宋体"/>
          <w:color w:val="auto"/>
          <w:highlight w:val="none"/>
        </w:rPr>
        <w:t>提供性能测试、性能调优、深度巡检、重保护航、全链路压测、专项咨询等服务</w:t>
      </w:r>
      <w:r>
        <w:rPr>
          <w:rFonts w:hint="eastAsia" w:hAnsi="宋体" w:cs="宋体"/>
          <w:color w:val="auto"/>
          <w:highlight w:val="none"/>
          <w:lang w:eastAsia="zh-CN"/>
        </w:rPr>
        <w:t>。</w:t>
      </w:r>
    </w:p>
    <w:p w14:paraId="1AF014C2">
      <w:pPr>
        <w:pStyle w:val="3"/>
        <w:spacing w:before="0" w:line="240" w:lineRule="auto"/>
        <w:jc w:val="left"/>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十</w:t>
      </w:r>
      <w:r>
        <w:rPr>
          <w:rFonts w:hint="eastAsia" w:ascii="楷体" w:hAnsi="楷体" w:eastAsia="楷体" w:cs="楷体"/>
          <w:color w:val="auto"/>
          <w:sz w:val="24"/>
          <w:highlight w:val="none"/>
        </w:rPr>
        <w:t>）验收</w:t>
      </w:r>
      <w:r>
        <w:rPr>
          <w:rFonts w:hint="eastAsia" w:ascii="楷体" w:hAnsi="楷体" w:eastAsia="楷体" w:cs="楷体"/>
          <w:color w:val="auto"/>
          <w:sz w:val="24"/>
          <w:highlight w:val="none"/>
          <w:lang w:val="en-US" w:eastAsia="zh-CN"/>
        </w:rPr>
        <w:t>要求</w:t>
      </w:r>
    </w:p>
    <w:p w14:paraId="5690A578">
      <w:pPr>
        <w:snapToGrid/>
        <w:spacing w:line="24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10.1</w:t>
      </w:r>
      <w:r>
        <w:rPr>
          <w:rFonts w:hint="eastAsia" w:ascii="宋体" w:hAnsi="宋体" w:eastAsia="宋体" w:cs="宋体"/>
          <w:b/>
          <w:bCs/>
          <w:color w:val="auto"/>
          <w:sz w:val="24"/>
          <w:highlight w:val="none"/>
        </w:rPr>
        <w:t>服务绩效指标</w:t>
      </w:r>
    </w:p>
    <w:p w14:paraId="72CE1B93">
      <w:pPr>
        <w:pStyle w:val="7"/>
        <w:numPr>
          <w:ilvl w:val="0"/>
          <w:numId w:val="2"/>
        </w:numPr>
        <w:snapToGrid w:val="0"/>
        <w:spacing w:before="0" w:line="240" w:lineRule="auto"/>
        <w:ind w:firstLine="480"/>
        <w:rPr>
          <w:rFonts w:hint="eastAsia" w:cs="宋体"/>
          <w:color w:val="auto"/>
          <w:highlight w:val="none"/>
        </w:rPr>
      </w:pPr>
      <w:r>
        <w:rPr>
          <w:rFonts w:hint="eastAsia" w:cs="宋体"/>
          <w:color w:val="auto"/>
          <w:highlight w:val="none"/>
        </w:rPr>
        <w:t>云服务全年整体可用性≥99.9</w:t>
      </w:r>
      <w:r>
        <w:rPr>
          <w:rFonts w:hint="eastAsia" w:cs="宋体"/>
          <w:color w:val="auto"/>
          <w:highlight w:val="none"/>
          <w:lang w:val="en-US" w:eastAsia="zh-CN"/>
        </w:rPr>
        <w:t>9</w:t>
      </w:r>
      <w:r>
        <w:rPr>
          <w:rFonts w:hint="eastAsia" w:cs="宋体"/>
          <w:color w:val="auto"/>
          <w:highlight w:val="none"/>
        </w:rPr>
        <w:t>%；</w:t>
      </w:r>
    </w:p>
    <w:p w14:paraId="47FC75F9">
      <w:pPr>
        <w:pStyle w:val="7"/>
        <w:numPr>
          <w:ilvl w:val="0"/>
          <w:numId w:val="2"/>
        </w:numPr>
        <w:snapToGrid w:val="0"/>
        <w:ind w:firstLine="480"/>
        <w:rPr>
          <w:color w:val="auto"/>
          <w:highlight w:val="none"/>
        </w:rPr>
      </w:pPr>
      <w:r>
        <w:rPr>
          <w:rFonts w:ascii="宋体" w:hAnsi="宋体"/>
          <w:color w:val="auto"/>
          <w:spacing w:val="-10"/>
          <w:szCs w:val="21"/>
          <w:highlight w:val="none"/>
          <w:lang w:val="zh-CN" w:bidi="zh-CN"/>
        </w:rPr>
        <w:t>数据可靠性应不低于</w:t>
      </w:r>
      <w:r>
        <w:rPr>
          <w:rFonts w:ascii="宋体" w:hAnsi="宋体" w:cs="宋体"/>
          <w:color w:val="auto"/>
          <w:szCs w:val="21"/>
          <w:highlight w:val="none"/>
          <w:u w:val="single"/>
          <w:lang w:val="zh-CN" w:bidi="zh-CN"/>
        </w:rPr>
        <w:t xml:space="preserve"> </w:t>
      </w:r>
      <w:r>
        <w:rPr>
          <w:rFonts w:hint="eastAsia" w:ascii="宋体" w:hAnsi="宋体" w:cs="宋体"/>
          <w:color w:val="auto"/>
          <w:szCs w:val="21"/>
          <w:highlight w:val="none"/>
          <w:u w:val="single"/>
          <w:lang w:bidi="zh-CN"/>
        </w:rPr>
        <w:t>99.9999</w:t>
      </w:r>
      <w:r>
        <w:rPr>
          <w:rFonts w:ascii="宋体" w:hAnsi="宋体" w:cs="宋体"/>
          <w:color w:val="auto"/>
          <w:szCs w:val="21"/>
          <w:highlight w:val="none"/>
          <w:u w:val="single"/>
          <w:lang w:val="zh-CN" w:bidi="zh-CN"/>
        </w:rPr>
        <w:t xml:space="preserve"> </w:t>
      </w:r>
      <w:r>
        <w:rPr>
          <w:rFonts w:ascii="宋体" w:hAnsi="宋体"/>
          <w:color w:val="auto"/>
          <w:spacing w:val="-10"/>
          <w:szCs w:val="21"/>
          <w:highlight w:val="none"/>
          <w:lang w:val="zh-CN" w:bidi="zh-CN"/>
        </w:rPr>
        <w:t>%</w:t>
      </w:r>
    </w:p>
    <w:p w14:paraId="3CDAB58B">
      <w:pPr>
        <w:pStyle w:val="7"/>
        <w:snapToGrid w:val="0"/>
        <w:spacing w:before="0" w:line="240" w:lineRule="auto"/>
        <w:ind w:firstLine="480"/>
        <w:rPr>
          <w:rFonts w:cs="宋体"/>
          <w:color w:val="auto"/>
          <w:highlight w:val="none"/>
        </w:rPr>
      </w:pPr>
      <w:r>
        <w:rPr>
          <w:rFonts w:hint="eastAsia" w:cs="宋体"/>
          <w:color w:val="auto"/>
          <w:highlight w:val="none"/>
        </w:rPr>
        <w:t>（</w:t>
      </w:r>
      <w:r>
        <w:rPr>
          <w:rFonts w:hint="eastAsia" w:cs="宋体"/>
          <w:color w:val="auto"/>
          <w:highlight w:val="none"/>
          <w:lang w:val="en-US" w:eastAsia="zh-CN"/>
        </w:rPr>
        <w:t>3</w:t>
      </w:r>
      <w:r>
        <w:rPr>
          <w:rFonts w:hint="eastAsia" w:cs="宋体"/>
          <w:color w:val="auto"/>
          <w:highlight w:val="none"/>
        </w:rPr>
        <w:t>）故障响应率100%；</w:t>
      </w:r>
    </w:p>
    <w:p w14:paraId="4994FB0C">
      <w:pPr>
        <w:pStyle w:val="7"/>
        <w:snapToGrid w:val="0"/>
        <w:spacing w:before="0" w:line="240" w:lineRule="auto"/>
        <w:ind w:firstLine="480"/>
        <w:rPr>
          <w:rFonts w:cs="宋体"/>
          <w:color w:val="auto"/>
          <w:highlight w:val="none"/>
        </w:rPr>
      </w:pPr>
      <w:r>
        <w:rPr>
          <w:rFonts w:hint="eastAsia" w:cs="宋体"/>
          <w:color w:val="auto"/>
          <w:highlight w:val="none"/>
        </w:rPr>
        <w:t>（</w:t>
      </w:r>
      <w:r>
        <w:rPr>
          <w:rFonts w:hint="eastAsia" w:cs="宋体"/>
          <w:color w:val="auto"/>
          <w:highlight w:val="none"/>
          <w:lang w:val="en-US" w:eastAsia="zh-CN"/>
        </w:rPr>
        <w:t>4</w:t>
      </w:r>
      <w:r>
        <w:rPr>
          <w:rFonts w:hint="eastAsia" w:cs="宋体"/>
          <w:color w:val="auto"/>
          <w:highlight w:val="none"/>
        </w:rPr>
        <w:t>）应急响应时间≤5分钟（</w:t>
      </w:r>
      <w:r>
        <w:rPr>
          <w:rFonts w:hint="eastAsia"/>
          <w:color w:val="auto"/>
          <w:highlight w:val="none"/>
          <w:lang w:val="en-US" w:eastAsia="zh-CN"/>
        </w:rPr>
        <w:t>云主机停止运行、网络无法连接等重大事件</w:t>
      </w:r>
      <w:r>
        <w:rPr>
          <w:rFonts w:hint="eastAsia" w:cs="宋体"/>
          <w:color w:val="auto"/>
          <w:highlight w:val="none"/>
        </w:rPr>
        <w:t>1分钟内响应）；</w:t>
      </w:r>
    </w:p>
    <w:p w14:paraId="3B905DC3">
      <w:pPr>
        <w:snapToGrid/>
        <w:spacing w:line="24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0.2</w:t>
      </w:r>
      <w:r>
        <w:rPr>
          <w:rFonts w:hint="eastAsia" w:ascii="宋体" w:hAnsi="宋体" w:eastAsia="宋体" w:cs="宋体"/>
          <w:b/>
          <w:bCs/>
          <w:color w:val="auto"/>
          <w:sz w:val="24"/>
          <w:highlight w:val="none"/>
        </w:rPr>
        <w:t>项目验收要求</w:t>
      </w:r>
    </w:p>
    <w:p w14:paraId="52B7E2F0">
      <w:pPr>
        <w:snapToGrid w:val="0"/>
        <w:spacing w:line="24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投标人所提供的北京市市级政务云基础资源服务应遵循客观、科学、合理的原则，符合《北京市市级政务云管理办法》的相关标准及要求。</w:t>
      </w:r>
    </w:p>
    <w:p w14:paraId="29DD8075">
      <w:pPr>
        <w:snapToGrid w:val="0"/>
        <w:spacing w:line="24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投标人所提供资源应满足采购文件规定的要求。保证合同期内系统安全稳定运行，不因硬件故障导致服务中断2小时及以上。</w:t>
      </w:r>
    </w:p>
    <w:p w14:paraId="3F3D03FB">
      <w:pPr>
        <w:snapToGrid w:val="0"/>
        <w:spacing w:line="24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服务期满后5个工作日开始对合同项目进行验收，投标人应当在采购人指定的验收日前向采购人提交验收报告。验收报告的内容包括但不限于，合同规定的各项服务清单，各系统设备运行情况。</w:t>
      </w:r>
    </w:p>
    <w:p w14:paraId="3BABE931">
      <w:pPr>
        <w:pStyle w:val="4"/>
        <w:snapToGrid w:val="0"/>
        <w:ind w:firstLine="480"/>
        <w:rPr>
          <w:rFonts w:hint="eastAsia" w:hAnsi="宋体" w:cs="宋体"/>
          <w:color w:val="auto"/>
          <w:highlight w:val="none"/>
          <w:lang w:eastAsia="zh-CN"/>
        </w:rPr>
      </w:pPr>
      <w:r>
        <w:rPr>
          <w:rFonts w:hint="eastAsia" w:hAnsi="宋体" w:cs="宋体"/>
          <w:color w:val="auto"/>
          <w:highlight w:val="none"/>
        </w:rPr>
        <w:t>（4）服务期届满，投标人按照采购人要求完成所有项目，各项记录、报告等文档齐全，无任何系统遗留问题，并通过由采购人组织的验收评审，方可通过验收。</w:t>
      </w:r>
    </w:p>
    <w:p w14:paraId="74164124">
      <w:pPr>
        <w:pStyle w:val="2"/>
        <w:spacing w:before="0" w:after="0" w:line="240" w:lineRule="auto"/>
        <w:jc w:val="left"/>
        <w:rPr>
          <w:rFonts w:ascii="黑体" w:hAnsi="黑体" w:eastAsia="黑体" w:cs="黑体"/>
          <w:color w:val="auto"/>
          <w:sz w:val="24"/>
          <w:highlight w:val="none"/>
        </w:rPr>
      </w:pPr>
      <w:r>
        <w:rPr>
          <w:rFonts w:hint="eastAsia" w:ascii="黑体" w:hAnsi="黑体" w:eastAsia="黑体" w:cs="黑体"/>
          <w:color w:val="auto"/>
          <w:sz w:val="24"/>
          <w:highlight w:val="none"/>
          <w:lang w:eastAsia="zh-CN"/>
        </w:rPr>
        <w:t>四</w:t>
      </w:r>
      <w:r>
        <w:rPr>
          <w:rFonts w:hint="eastAsia" w:ascii="黑体" w:hAnsi="黑体" w:eastAsia="黑体" w:cs="黑体"/>
          <w:color w:val="auto"/>
          <w:sz w:val="24"/>
          <w:highlight w:val="none"/>
        </w:rPr>
        <w:t>、团队要求</w:t>
      </w:r>
    </w:p>
    <w:p w14:paraId="629DFD86">
      <w:pPr>
        <w:pStyle w:val="7"/>
        <w:adjustRightInd w:val="0"/>
        <w:snapToGrid w:val="0"/>
        <w:spacing w:before="0" w:line="240" w:lineRule="auto"/>
        <w:ind w:firstLine="480"/>
        <w:textAlignment w:val="baseline"/>
        <w:rPr>
          <w:rFonts w:cs="宋体"/>
          <w:color w:val="auto"/>
          <w:highlight w:val="none"/>
        </w:rPr>
      </w:pPr>
      <w:r>
        <w:rPr>
          <w:rFonts w:hint="eastAsia" w:cs="宋体"/>
          <w:color w:val="auto"/>
          <w:highlight w:val="none"/>
        </w:rPr>
        <w:t>投标人须根据项目要求安排具备相应资质和经验的专业人员从事本项目工作，提供不少于10人的服务团队，须确保项目实施队伍的稳定。投标人需提供项目团队组织架构、成员名单、成员职责，保证担任重要岗位的人员具备相应专业资质。</w:t>
      </w:r>
    </w:p>
    <w:p w14:paraId="40D904EB">
      <w:pPr>
        <w:pStyle w:val="7"/>
        <w:adjustRightInd w:val="0"/>
        <w:snapToGrid w:val="0"/>
        <w:spacing w:before="0" w:line="240" w:lineRule="auto"/>
        <w:ind w:firstLine="480"/>
        <w:textAlignment w:val="baseline"/>
        <w:rPr>
          <w:rFonts w:cs="宋体"/>
          <w:color w:val="auto"/>
          <w:highlight w:val="none"/>
        </w:rPr>
      </w:pPr>
      <w:r>
        <w:rPr>
          <w:rFonts w:hint="eastAsia" w:cs="宋体"/>
          <w:color w:val="auto"/>
          <w:highlight w:val="none"/>
        </w:rPr>
        <w:t>项目经理1名，需具有5年及以上项目管理工作经验（提供个人简历、项目经历），需具备有效期内的高级信息系统项目管理师证书（计算机技术与软件专业技术资格）、信息安全保障人员认证证书（安全运维专业级或以上、信息安全保障人员认证证书（应急服务专业级或以上）、重要信息系统安全等级保护培训证书（CIIP）等。</w:t>
      </w:r>
    </w:p>
    <w:p w14:paraId="36157CFE">
      <w:pPr>
        <w:pStyle w:val="7"/>
        <w:adjustRightInd w:val="0"/>
        <w:snapToGrid w:val="0"/>
        <w:spacing w:before="0" w:line="240" w:lineRule="auto"/>
        <w:ind w:firstLine="480"/>
        <w:textAlignment w:val="baseline"/>
        <w:rPr>
          <w:rFonts w:cs="宋体"/>
          <w:color w:val="auto"/>
          <w:highlight w:val="none"/>
        </w:rPr>
      </w:pPr>
      <w:r>
        <w:rPr>
          <w:rFonts w:hint="eastAsia" w:cs="宋体"/>
          <w:color w:val="auto"/>
          <w:highlight w:val="none"/>
        </w:rPr>
        <w:t>安全（技术）负责人员1名（不能与项目经理为同一人），需具有五年以上工作经验，需具有在有效期内的信息安全保障人员认证证书（安全集成专业级或以上）、信息安全保障人员认证证书（应急服务专业级或以上）、注册信息安全工程师（CISE）认证证书等。</w:t>
      </w:r>
    </w:p>
    <w:p w14:paraId="1C5942CB">
      <w:pPr>
        <w:pStyle w:val="7"/>
        <w:adjustRightInd w:val="0"/>
        <w:snapToGrid w:val="0"/>
        <w:spacing w:before="0" w:line="240" w:lineRule="auto"/>
        <w:ind w:firstLine="480"/>
        <w:textAlignment w:val="baseline"/>
        <w:rPr>
          <w:rFonts w:cs="宋体"/>
          <w:color w:val="auto"/>
          <w:highlight w:val="none"/>
        </w:rPr>
      </w:pPr>
      <w:r>
        <w:rPr>
          <w:rFonts w:hint="eastAsia" w:cs="宋体"/>
          <w:color w:val="auto"/>
          <w:highlight w:val="none"/>
        </w:rPr>
        <w:t>其他项目团队成员：不少于8名（不包含项目经理和安全（技术）负责人），团队人员须具备以下证书：系统规划与管理师资质证书（高级）、系统分析师资质证书（高级）、系统架构设计师认证证书（高级）、CISP证书。</w:t>
      </w:r>
    </w:p>
    <w:p w14:paraId="281D0DDA">
      <w:pPr>
        <w:pStyle w:val="2"/>
        <w:spacing w:before="0" w:after="0" w:line="240" w:lineRule="auto"/>
        <w:jc w:val="both"/>
        <w:rPr>
          <w:rFonts w:ascii="黑体" w:hAnsi="黑体" w:eastAsia="黑体" w:cs="黑体"/>
          <w:color w:val="auto"/>
          <w:sz w:val="24"/>
          <w:highlight w:val="none"/>
        </w:rPr>
      </w:pPr>
      <w:r>
        <w:rPr>
          <w:rFonts w:hint="eastAsia" w:ascii="黑体" w:hAnsi="黑体" w:eastAsia="黑体" w:cs="黑体"/>
          <w:color w:val="auto"/>
          <w:sz w:val="24"/>
          <w:highlight w:val="none"/>
        </w:rPr>
        <w:t>五、 保密要求</w:t>
      </w:r>
    </w:p>
    <w:p w14:paraId="319B3788">
      <w:pPr>
        <w:pStyle w:val="4"/>
        <w:snapToGrid w:val="0"/>
        <w:ind w:firstLine="480"/>
        <w:rPr>
          <w:rFonts w:hAnsi="宋体" w:cs="宋体"/>
          <w:color w:val="auto"/>
          <w:highlight w:val="none"/>
        </w:rPr>
      </w:pPr>
      <w:r>
        <w:rPr>
          <w:rFonts w:hint="eastAsia" w:hAnsi="宋体" w:cs="宋体"/>
          <w:color w:val="auto"/>
          <w:highlight w:val="none"/>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0AC9406A">
      <w:pPr>
        <w:pStyle w:val="4"/>
        <w:snapToGrid w:val="0"/>
        <w:ind w:firstLine="480"/>
        <w:rPr>
          <w:rFonts w:hAnsi="宋体" w:cs="宋体"/>
          <w:color w:val="auto"/>
          <w:highlight w:val="none"/>
        </w:rPr>
      </w:pPr>
      <w:r>
        <w:rPr>
          <w:rFonts w:hint="eastAsia" w:hAnsi="宋体" w:cs="宋体"/>
          <w:color w:val="auto"/>
          <w:highlight w:val="none"/>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4B3E13F6">
      <w:pPr>
        <w:pStyle w:val="4"/>
        <w:snapToGrid w:val="0"/>
        <w:ind w:firstLine="480"/>
        <w:rPr>
          <w:rFonts w:hAnsi="宋体" w:cs="宋体"/>
          <w:color w:val="auto"/>
          <w:highlight w:val="none"/>
        </w:rPr>
      </w:pPr>
      <w:r>
        <w:rPr>
          <w:rFonts w:hint="eastAsia" w:hAnsi="宋体" w:cs="宋体"/>
          <w:color w:val="auto"/>
          <w:highlight w:val="none"/>
        </w:rPr>
        <w:t>（3）投标人保证将保密信息的披露范围严格控制在直接从事该项目工作且因工作需要有必要知悉保密信息的工作人员范围内,对投标人非从事该项目的人员一律严格保密。</w:t>
      </w:r>
    </w:p>
    <w:p w14:paraId="21C20927">
      <w:pPr>
        <w:pStyle w:val="4"/>
        <w:snapToGrid w:val="0"/>
        <w:ind w:firstLine="480"/>
        <w:rPr>
          <w:rFonts w:hAnsi="宋体" w:cs="宋体"/>
          <w:color w:val="auto"/>
          <w:highlight w:val="none"/>
        </w:rPr>
      </w:pPr>
      <w:r>
        <w:rPr>
          <w:rFonts w:hint="eastAsia" w:hAnsi="宋体" w:cs="宋体"/>
          <w:color w:val="auto"/>
          <w:highlight w:val="none"/>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3B3E6882">
      <w:pPr>
        <w:pStyle w:val="4"/>
        <w:snapToGrid w:val="0"/>
        <w:ind w:firstLine="480"/>
        <w:rPr>
          <w:rFonts w:hAnsi="宋体" w:cs="宋体"/>
          <w:color w:val="auto"/>
          <w:highlight w:val="none"/>
        </w:rPr>
      </w:pPr>
      <w:r>
        <w:rPr>
          <w:rFonts w:hint="eastAsia" w:hAnsi="宋体" w:cs="宋体"/>
          <w:color w:val="auto"/>
          <w:highlight w:val="none"/>
        </w:rPr>
        <w:t>（5）任何时间内，一经采购人提出要求，投标人应按照采购人指示在收到采购人书面通知后 5 日内将含有保密信息的所有文件或其他资料归还采购人，且不得擅自复制留存。</w:t>
      </w:r>
    </w:p>
    <w:p w14:paraId="50374356">
      <w:pPr>
        <w:pStyle w:val="4"/>
        <w:snapToGrid w:val="0"/>
        <w:ind w:firstLine="480"/>
        <w:rPr>
          <w:rFonts w:hAnsi="宋体" w:cs="宋体"/>
          <w:color w:val="auto"/>
          <w:highlight w:val="none"/>
        </w:rPr>
      </w:pPr>
      <w:r>
        <w:rPr>
          <w:rFonts w:hint="eastAsia" w:hAnsi="宋体" w:cs="宋体"/>
          <w:color w:val="auto"/>
          <w:highlight w:val="none"/>
        </w:rPr>
        <w:t>（6）非经采购人特别授权，采购人向投标人提供的任何保密信息并不包括授予投标人该保密信息包含的任何专利权、商标权、著作权、商业秘密或其它类型的知识产权。</w:t>
      </w:r>
    </w:p>
    <w:p w14:paraId="613F7E81">
      <w:pPr>
        <w:pStyle w:val="4"/>
        <w:snapToGrid w:val="0"/>
        <w:ind w:firstLine="480"/>
        <w:rPr>
          <w:rFonts w:hAnsi="宋体" w:cs="宋体"/>
          <w:color w:val="auto"/>
          <w:highlight w:val="none"/>
        </w:rPr>
      </w:pPr>
      <w:r>
        <w:rPr>
          <w:rFonts w:hint="eastAsia" w:hAnsi="宋体" w:cs="宋体"/>
          <w:color w:val="auto"/>
          <w:highlight w:val="none"/>
        </w:rPr>
        <w:t>（7）投标人承担上述保密义务的期限为合同有效期间及合同终止后2年，承担上述保密义务的责任主体为投标人（含投标人服务人员）。</w:t>
      </w:r>
    </w:p>
    <w:p w14:paraId="72CC87B2">
      <w:pPr>
        <w:pStyle w:val="4"/>
        <w:snapToGrid w:val="0"/>
        <w:ind w:firstLine="480"/>
        <w:rPr>
          <w:rFonts w:hAnsi="宋体" w:cs="宋体"/>
          <w:color w:val="auto"/>
          <w:highlight w:val="none"/>
        </w:rPr>
      </w:pPr>
      <w:r>
        <w:rPr>
          <w:rFonts w:hint="eastAsia" w:hAnsi="宋体" w:cs="宋体"/>
          <w:color w:val="auto"/>
          <w:highlight w:val="none"/>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0F65FDAF">
      <w:pPr>
        <w:pStyle w:val="4"/>
        <w:snapToGrid w:val="0"/>
        <w:ind w:firstLine="480"/>
        <w:rPr>
          <w:rFonts w:hAnsi="宋体" w:cs="宋体"/>
          <w:color w:val="auto"/>
          <w:highlight w:val="none"/>
        </w:rPr>
      </w:pPr>
      <w:r>
        <w:rPr>
          <w:rFonts w:hint="eastAsia" w:hAnsi="宋体" w:cs="宋体"/>
          <w:color w:val="auto"/>
          <w:highlight w:val="none"/>
        </w:rPr>
        <w:t>（9）投标人应当对获悉的政务数据、个人信息等予以保密，不得用于其他用途，不得泄露、出售或者非法向他人提供。</w:t>
      </w:r>
    </w:p>
    <w:p w14:paraId="6D5F9E29">
      <w:pPr>
        <w:rPr>
          <w:color w:val="auto"/>
          <w:highlight w:val="none"/>
        </w:rPr>
      </w:pPr>
    </w:p>
    <w:p w14:paraId="6DE2EC6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9E981"/>
    <w:multiLevelType w:val="singleLevel"/>
    <w:tmpl w:val="F1F9E981"/>
    <w:lvl w:ilvl="0" w:tentative="0">
      <w:start w:val="1"/>
      <w:numFmt w:val="decimal"/>
      <w:suff w:val="nothing"/>
      <w:lvlText w:val="（%1）"/>
      <w:lvlJc w:val="left"/>
    </w:lvl>
  </w:abstractNum>
  <w:abstractNum w:abstractNumId="1">
    <w:nsid w:val="5F4A5108"/>
    <w:multiLevelType w:val="singleLevel"/>
    <w:tmpl w:val="5F4A51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54C69"/>
    <w:rsid w:val="7CF54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Salutation"/>
    <w:basedOn w:val="1"/>
    <w:next w:val="1"/>
    <w:qFormat/>
    <w:uiPriority w:val="0"/>
    <w:rPr>
      <w:rFonts w:ascii="Calibri" w:hAnsi="Calibri" w:eastAsia="宋体" w:cs="Times New Roman"/>
    </w:r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customStyle="1" w:styleId="8">
    <w:name w:val="目录 11"/>
    <w:next w:val="1"/>
    <w:qFormat/>
    <w:uiPriority w:val="0"/>
    <w:pPr>
      <w:wordWrap w:val="0"/>
      <w:jc w:val="both"/>
    </w:pPr>
    <w:rPr>
      <w:rFonts w:ascii="Calibri" w:hAnsi="Calibri" w:eastAsia="宋体" w:cs="Calibri"/>
      <w:sz w:val="21"/>
      <w:szCs w:val="22"/>
      <w:lang w:val="en-US" w:eastAsia="zh-CN" w:bidi="ar-SA"/>
    </w:rPr>
  </w:style>
  <w:style w:type="character" w:customStyle="1" w:styleId="11">
    <w:name w:val="font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2025-05-09T08:31:00Z</dcterms:created>
  <dc:creator>卓</dc:creator>
  <cp:lastModifiedBy>卓</cp:lastModifiedBy>
  <dcterms:modified xsi:type="dcterms:W3CDTF">2025-05-09T08:32:04Z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61DE42BA5A874F3DA22B543B58BC100B_11</vt:lpwstr>
  </property>
  <property fmtid="{D5CDD505-2E9C-101B-9397-08002B2CF9AE}" pid="4" name="KSOTemplateDocerSaveRecord">
    <vt:lpwstr>eyJoZGlkIjoiNTQ2YWU4ZmVkMTg2MmRlOGU2ZWVkODQzZWU5OTBiZDAiLCJ1c2VySWQiOiI1NDQ3NjE0MjMifQ==</vt:lpwstr>
  </property>
</Properties>
</file>