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CB166">
      <w:pPr>
        <w:spacing w:line="360" w:lineRule="auto"/>
        <w:jc w:val="center"/>
        <w:outlineLvl w:val="0"/>
        <w:rPr>
          <w:b/>
          <w:sz w:val="36"/>
          <w:szCs w:val="36"/>
        </w:rPr>
      </w:pPr>
      <w:bookmarkStart w:id="0" w:name="_Toc99301424"/>
      <w:r>
        <w:rPr>
          <w:b/>
          <w:sz w:val="36"/>
          <w:szCs w:val="36"/>
        </w:rPr>
        <w:t>第五章   采购需求</w:t>
      </w:r>
      <w:bookmarkEnd w:id="0"/>
    </w:p>
    <w:p w14:paraId="6F9B90A0">
      <w:pPr>
        <w:tabs>
          <w:tab w:val="left" w:pos="360"/>
          <w:tab w:val="left" w:pos="900"/>
        </w:tabs>
        <w:snapToGrid w:val="0"/>
        <w:spacing w:line="360" w:lineRule="auto"/>
        <w:jc w:val="center"/>
        <w:outlineLvl w:val="1"/>
        <w:rPr>
          <w:b/>
        </w:rPr>
      </w:pPr>
      <w:r>
        <w:rPr>
          <w:b/>
          <w:sz w:val="24"/>
        </w:rPr>
        <w:t>一、</w:t>
      </w:r>
      <w:r>
        <w:rPr>
          <w:rFonts w:hint="eastAsia"/>
          <w:b/>
          <w:sz w:val="24"/>
        </w:rPr>
        <w:t>采购标的</w:t>
      </w:r>
    </w:p>
    <w:p w14:paraId="24B19134">
      <w:pPr>
        <w:pStyle w:val="2"/>
        <w:numPr>
          <w:ilvl w:val="0"/>
          <w:numId w:val="1"/>
        </w:numPr>
        <w:snapToGrid w:val="0"/>
        <w:spacing w:line="360" w:lineRule="auto"/>
        <w:ind w:left="900" w:hanging="900"/>
        <w:jc w:val="left"/>
        <w:outlineLvl w:val="1"/>
        <w:rPr>
          <w:rFonts w:ascii="宋体" w:hAnsi="宋体" w:eastAsia="宋体" w:cs="宋体"/>
          <w:sz w:val="24"/>
          <w:szCs w:val="24"/>
        </w:rPr>
      </w:pPr>
      <w:r>
        <w:rPr>
          <w:rFonts w:hint="eastAsia" w:ascii="宋体" w:hAnsi="宋体" w:eastAsia="宋体" w:cs="宋体"/>
          <w:sz w:val="24"/>
          <w:szCs w:val="24"/>
        </w:rPr>
        <w:t>采购标的</w:t>
      </w:r>
    </w:p>
    <w:p w14:paraId="5D72D965">
      <w:pPr>
        <w:spacing w:line="360" w:lineRule="auto"/>
        <w:ind w:left="1919" w:leftChars="228" w:hanging="1440" w:hangingChars="600"/>
        <w:rPr>
          <w:sz w:val="24"/>
        </w:rPr>
      </w:pPr>
      <w:r>
        <w:rPr>
          <w:rFonts w:hint="eastAsia"/>
          <w:sz w:val="24"/>
        </w:rPr>
        <w:t>北京市住房和城乡建设委员会综合事务中心2025年度市级政务云租用</w:t>
      </w:r>
    </w:p>
    <w:p w14:paraId="115D4BE8">
      <w:pPr>
        <w:numPr>
          <w:ilvl w:val="0"/>
          <w:numId w:val="0"/>
        </w:numPr>
        <w:snapToGrid/>
        <w:spacing w:line="360" w:lineRule="auto"/>
        <w:ind w:left="0" w:firstLine="480" w:firstLineChars="200"/>
        <w:outlineLvl w:val="9"/>
        <w:rPr>
          <w:rFonts w:ascii="宋体" w:hAnsi="宋体" w:cs="宋体"/>
          <w:sz w:val="24"/>
        </w:rPr>
      </w:pPr>
      <w:r>
        <w:rPr>
          <w:rFonts w:hint="eastAsia"/>
          <w:sz w:val="24"/>
        </w:rPr>
        <w:t>采购项目</w:t>
      </w:r>
    </w:p>
    <w:p w14:paraId="07DAAF43">
      <w:pPr>
        <w:pStyle w:val="2"/>
        <w:numPr>
          <w:ilvl w:val="0"/>
          <w:numId w:val="1"/>
        </w:numPr>
        <w:ind w:left="425" w:hanging="425"/>
        <w:jc w:val="left"/>
        <w:rPr>
          <w:rFonts w:ascii="宋体" w:hAnsi="宋体" w:eastAsia="宋体" w:cs="宋体"/>
          <w:sz w:val="24"/>
          <w:szCs w:val="24"/>
        </w:rPr>
      </w:pPr>
      <w:r>
        <w:rPr>
          <w:rFonts w:hint="eastAsia" w:ascii="宋体" w:hAnsi="宋体" w:eastAsia="宋体" w:cs="宋体"/>
          <w:b/>
          <w:sz w:val="24"/>
          <w:szCs w:val="24"/>
        </w:rPr>
        <w:t>项目背景</w:t>
      </w:r>
    </w:p>
    <w:p w14:paraId="19D1966A">
      <w:pPr>
        <w:spacing w:line="360" w:lineRule="auto"/>
        <w:ind w:firstLine="480" w:firstLineChars="200"/>
        <w:rPr>
          <w:rFonts w:ascii="宋体" w:hAnsi="宋体" w:cs="宋体"/>
          <w:sz w:val="24"/>
        </w:rPr>
      </w:pPr>
      <w:r>
        <w:rPr>
          <w:rFonts w:hint="eastAsia" w:ascii="宋体" w:hAnsi="宋体" w:cs="宋体"/>
          <w:sz w:val="24"/>
        </w:rPr>
        <w:t>本项目继续租用北京市级政务云的计算服务、存储服务、网络服务等各类服务，保障已入云系统安全，实现系统在云长期稳定的运行。</w:t>
      </w:r>
    </w:p>
    <w:p w14:paraId="5FFA4EB6">
      <w:pPr>
        <w:spacing w:line="360" w:lineRule="auto"/>
        <w:ind w:firstLine="480" w:firstLineChars="200"/>
        <w:rPr>
          <w:rFonts w:ascii="宋体" w:hAnsi="宋体" w:cs="宋体"/>
          <w:sz w:val="24"/>
        </w:rPr>
      </w:pPr>
      <w:r>
        <w:rPr>
          <w:rFonts w:hint="eastAsia" w:ascii="宋体" w:hAnsi="宋体" w:cs="宋体"/>
          <w:sz w:val="24"/>
        </w:rPr>
        <w:t>依照国家及北京市统一协调部署，北京市住房和城乡建设委员会（以下简称 “市住建委”）已搬迁至北京城市副中心行政办公区开展工作, 市住建委业务系统已全部入云部署运行，整体运行良好，根据北京市市级政务云相关管理办法和安全服务保障要求，市住建委需要针对入云后的信息系统开展云上基础资源租用、入云信息系统的安全保障服务租用等工作，确保市住建委各项业务顺利开展，提升信息系统安全保障能力。</w:t>
      </w:r>
    </w:p>
    <w:p w14:paraId="3436E3B3">
      <w:pPr>
        <w:tabs>
          <w:tab w:val="left" w:pos="360"/>
          <w:tab w:val="left" w:pos="900"/>
        </w:tabs>
        <w:snapToGrid w:val="0"/>
        <w:spacing w:line="360" w:lineRule="auto"/>
        <w:jc w:val="center"/>
        <w:outlineLvl w:val="1"/>
        <w:rPr>
          <w:b/>
        </w:rPr>
      </w:pPr>
      <w:r>
        <w:rPr>
          <w:rFonts w:hint="eastAsia"/>
          <w:b/>
          <w:sz w:val="24"/>
        </w:rPr>
        <w:t>二</w:t>
      </w:r>
      <w:r>
        <w:rPr>
          <w:b/>
          <w:sz w:val="24"/>
        </w:rPr>
        <w:t>、</w:t>
      </w:r>
      <w:r>
        <w:rPr>
          <w:rFonts w:hint="eastAsia"/>
          <w:b/>
          <w:sz w:val="24"/>
        </w:rPr>
        <w:t>商务要求</w:t>
      </w:r>
    </w:p>
    <w:p w14:paraId="553B1C2F">
      <w:pPr>
        <w:pStyle w:val="2"/>
        <w:numPr>
          <w:ilvl w:val="0"/>
          <w:numId w:val="2"/>
        </w:numPr>
        <w:jc w:val="left"/>
        <w:rPr>
          <w:rFonts w:ascii="宋体" w:hAnsi="宋体" w:eastAsia="宋体" w:cs="宋体"/>
          <w:sz w:val="24"/>
          <w:szCs w:val="24"/>
        </w:rPr>
      </w:pPr>
      <w:r>
        <w:rPr>
          <w:rFonts w:hint="eastAsia" w:ascii="宋体" w:hAnsi="宋体" w:eastAsia="宋体" w:cs="宋体"/>
          <w:sz w:val="24"/>
          <w:szCs w:val="24"/>
        </w:rPr>
        <w:t>交付的时间和地点</w:t>
      </w:r>
    </w:p>
    <w:p w14:paraId="63A5096D">
      <w:pPr>
        <w:spacing w:line="360" w:lineRule="auto"/>
        <w:ind w:firstLine="480" w:firstLineChars="200"/>
        <w:rPr>
          <w:rFonts w:ascii="宋体" w:hAnsi="宋体" w:cs="宋体"/>
          <w:sz w:val="24"/>
        </w:rPr>
      </w:pPr>
      <w:r>
        <w:rPr>
          <w:rFonts w:hint="eastAsia" w:ascii="宋体" w:hAnsi="宋体" w:cs="宋体"/>
          <w:sz w:val="24"/>
        </w:rPr>
        <w:t>服务周期：</w:t>
      </w:r>
      <w:r>
        <w:rPr>
          <w:rFonts w:ascii="宋体" w:hAnsi="宋体" w:cs="宋体"/>
          <w:sz w:val="24"/>
        </w:rPr>
        <w:t>12</w:t>
      </w:r>
      <w:r>
        <w:rPr>
          <w:rFonts w:hint="eastAsia" w:ascii="宋体" w:hAnsi="宋体" w:cs="宋体"/>
          <w:sz w:val="24"/>
        </w:rPr>
        <w:t>个月。</w:t>
      </w:r>
    </w:p>
    <w:p w14:paraId="0D0E59DF">
      <w:pPr>
        <w:spacing w:line="360" w:lineRule="auto"/>
        <w:ind w:firstLine="480" w:firstLineChars="200"/>
        <w:rPr>
          <w:rFonts w:ascii="宋体" w:hAnsi="宋体" w:cs="宋体"/>
          <w:sz w:val="24"/>
        </w:rPr>
      </w:pPr>
      <w:r>
        <w:rPr>
          <w:rFonts w:hint="eastAsia" w:ascii="宋体" w:hAnsi="宋体" w:cs="宋体"/>
          <w:sz w:val="24"/>
        </w:rPr>
        <w:t>交付地点：六里桥市级政务云机房。</w:t>
      </w:r>
    </w:p>
    <w:p w14:paraId="517D5C2C">
      <w:pPr>
        <w:spacing w:line="360" w:lineRule="auto"/>
        <w:ind w:firstLine="480" w:firstLineChars="200"/>
        <w:rPr>
          <w:rFonts w:ascii="宋体" w:hAnsi="宋体" w:cs="宋体"/>
          <w:sz w:val="24"/>
        </w:rPr>
      </w:pPr>
      <w:r>
        <w:rPr>
          <w:rFonts w:hint="eastAsia" w:ascii="宋体" w:hAnsi="宋体" w:cs="宋体"/>
          <w:sz w:val="24"/>
        </w:rPr>
        <w:t>迁移周期：</w:t>
      </w:r>
      <w:r>
        <w:rPr>
          <w:rFonts w:ascii="宋体" w:hAnsi="宋体" w:cs="宋体"/>
          <w:sz w:val="24"/>
        </w:rPr>
        <w:t>3</w:t>
      </w:r>
      <w:r>
        <w:rPr>
          <w:rFonts w:hint="eastAsia" w:ascii="宋体" w:hAnsi="宋体" w:cs="宋体"/>
          <w:sz w:val="24"/>
        </w:rPr>
        <w:t>个工作日内完成迁移，由于超过期限导致主机滞留在原云服务商产生的相关费用由投标人自行承担。</w:t>
      </w:r>
    </w:p>
    <w:p w14:paraId="1A261539">
      <w:pPr>
        <w:pStyle w:val="2"/>
        <w:numPr>
          <w:ilvl w:val="0"/>
          <w:numId w:val="2"/>
        </w:numPr>
        <w:jc w:val="left"/>
        <w:rPr>
          <w:rFonts w:ascii="宋体" w:hAnsi="宋体" w:eastAsia="宋体" w:cs="宋体"/>
          <w:sz w:val="24"/>
          <w:szCs w:val="24"/>
        </w:rPr>
      </w:pPr>
      <w:r>
        <w:rPr>
          <w:rFonts w:hint="eastAsia" w:ascii="宋体" w:hAnsi="宋体" w:eastAsia="宋体" w:cs="宋体"/>
          <w:sz w:val="24"/>
          <w:szCs w:val="24"/>
        </w:rPr>
        <w:t>付款条件（进度和方式）</w:t>
      </w:r>
    </w:p>
    <w:p w14:paraId="48B24395">
      <w:pPr>
        <w:numPr>
          <w:ilvl w:val="0"/>
          <w:numId w:val="3"/>
        </w:numPr>
        <w:tabs>
          <w:tab w:val="clear" w:pos="900"/>
        </w:tabs>
        <w:spacing w:line="360" w:lineRule="auto"/>
        <w:ind w:left="900" w:firstLine="480" w:firstLineChars="200"/>
        <w:rPr>
          <w:rFonts w:ascii="宋体" w:hAnsi="宋体" w:cs="宋体"/>
          <w:sz w:val="24"/>
        </w:rPr>
      </w:pPr>
      <w:r>
        <w:rPr>
          <w:rFonts w:hint="eastAsia" w:ascii="宋体" w:hAnsi="宋体" w:cs="宋体"/>
          <w:sz w:val="24"/>
        </w:rPr>
        <w:t>首付款：本合同生效且财政资金下达后，采购人自收到发票之日起10个工作日内向乙方支付合同总价款的50%；</w:t>
      </w:r>
    </w:p>
    <w:p w14:paraId="75041DE8">
      <w:pPr>
        <w:numPr>
          <w:ilvl w:val="0"/>
          <w:numId w:val="3"/>
        </w:numPr>
        <w:tabs>
          <w:tab w:val="clear" w:pos="900"/>
        </w:tabs>
        <w:spacing w:line="360" w:lineRule="auto"/>
        <w:ind w:left="900" w:firstLine="480" w:firstLineChars="200"/>
        <w:rPr>
          <w:rFonts w:ascii="宋体" w:hAnsi="宋体" w:cs="宋体"/>
          <w:sz w:val="24"/>
        </w:rPr>
      </w:pPr>
      <w:r>
        <w:rPr>
          <w:rFonts w:hint="eastAsia" w:ascii="宋体" w:hAnsi="宋体" w:cs="宋体"/>
          <w:sz w:val="24"/>
        </w:rPr>
        <w:t>中期款：</w:t>
      </w:r>
      <w:r>
        <w:rPr>
          <w:rFonts w:ascii="宋体" w:hAnsi="宋体" w:cs="宋体"/>
          <w:sz w:val="24"/>
        </w:rPr>
        <w:t>2025</w:t>
      </w:r>
      <w:r>
        <w:rPr>
          <w:rFonts w:hint="eastAsia" w:ascii="宋体" w:hAnsi="宋体" w:cs="宋体"/>
          <w:sz w:val="24"/>
        </w:rPr>
        <w:t>年</w:t>
      </w:r>
      <w:r>
        <w:rPr>
          <w:rFonts w:ascii="宋体" w:hAnsi="宋体" w:cs="宋体"/>
          <w:sz w:val="24"/>
        </w:rPr>
        <w:t>xx</w:t>
      </w:r>
      <w:r>
        <w:rPr>
          <w:rFonts w:hint="eastAsia" w:ascii="宋体" w:hAnsi="宋体" w:cs="宋体"/>
          <w:sz w:val="24"/>
        </w:rPr>
        <w:t>月</w:t>
      </w:r>
      <w:r>
        <w:rPr>
          <w:rFonts w:ascii="宋体" w:hAnsi="宋体" w:cs="宋体"/>
          <w:sz w:val="24"/>
        </w:rPr>
        <w:t>xx</w:t>
      </w:r>
      <w:r>
        <w:rPr>
          <w:rFonts w:hint="eastAsia" w:ascii="宋体" w:hAnsi="宋体" w:cs="宋体"/>
          <w:sz w:val="24"/>
        </w:rPr>
        <w:t>日前，采购人自收到发票之日起</w:t>
      </w:r>
      <w:r>
        <w:rPr>
          <w:rFonts w:ascii="宋体" w:hAnsi="宋体" w:cs="宋体"/>
          <w:sz w:val="24"/>
        </w:rPr>
        <w:t>10个工作日内向乙方支付合同总价款的30%；</w:t>
      </w:r>
    </w:p>
    <w:p w14:paraId="5D65564B">
      <w:pPr>
        <w:numPr>
          <w:ilvl w:val="0"/>
          <w:numId w:val="3"/>
        </w:numPr>
        <w:tabs>
          <w:tab w:val="clear" w:pos="900"/>
        </w:tabs>
        <w:spacing w:line="360" w:lineRule="auto"/>
        <w:ind w:left="900" w:firstLine="480" w:firstLineChars="200"/>
        <w:rPr>
          <w:rFonts w:ascii="宋体" w:hAnsi="宋体" w:cs="宋体"/>
          <w:sz w:val="24"/>
        </w:rPr>
      </w:pPr>
      <w:r>
        <w:rPr>
          <w:rFonts w:hint="eastAsia" w:ascii="宋体" w:hAnsi="宋体" w:cs="宋体"/>
          <w:sz w:val="24"/>
        </w:rPr>
        <w:t>尾款：</w:t>
      </w:r>
      <w:r>
        <w:rPr>
          <w:rFonts w:ascii="宋体" w:hAnsi="宋体" w:cs="宋体"/>
          <w:sz w:val="24"/>
        </w:rPr>
        <w:t>2025</w:t>
      </w:r>
      <w:r>
        <w:rPr>
          <w:rFonts w:hint="eastAsia" w:ascii="宋体" w:hAnsi="宋体" w:cs="宋体"/>
          <w:sz w:val="24"/>
        </w:rPr>
        <w:t>年</w:t>
      </w:r>
      <w:r>
        <w:rPr>
          <w:rFonts w:ascii="宋体" w:hAnsi="宋体" w:cs="宋体"/>
          <w:sz w:val="24"/>
        </w:rPr>
        <w:t>xx</w:t>
      </w:r>
      <w:r>
        <w:rPr>
          <w:rFonts w:hint="eastAsia" w:ascii="宋体" w:hAnsi="宋体" w:cs="宋体"/>
          <w:sz w:val="24"/>
        </w:rPr>
        <w:t>月</w:t>
      </w:r>
      <w:r>
        <w:rPr>
          <w:rFonts w:ascii="宋体" w:hAnsi="宋体" w:cs="宋体"/>
          <w:sz w:val="24"/>
        </w:rPr>
        <w:t>xx</w:t>
      </w:r>
      <w:r>
        <w:rPr>
          <w:rFonts w:hint="eastAsia" w:ascii="宋体" w:hAnsi="宋体" w:cs="宋体"/>
          <w:sz w:val="24"/>
        </w:rPr>
        <w:t>日前，采购人自收到发票之日起</w:t>
      </w:r>
      <w:r>
        <w:rPr>
          <w:rFonts w:ascii="宋体" w:hAnsi="宋体" w:cs="宋体"/>
          <w:sz w:val="24"/>
        </w:rPr>
        <w:t>10个工作日内向乙方支付合同总价款的20%。</w:t>
      </w:r>
    </w:p>
    <w:p w14:paraId="37FED799"/>
    <w:p w14:paraId="2658C461">
      <w:pPr>
        <w:tabs>
          <w:tab w:val="left" w:pos="360"/>
          <w:tab w:val="left" w:pos="900"/>
        </w:tabs>
        <w:snapToGrid w:val="0"/>
        <w:spacing w:line="360" w:lineRule="auto"/>
        <w:jc w:val="center"/>
        <w:outlineLvl w:val="1"/>
        <w:rPr>
          <w:sz w:val="24"/>
        </w:rPr>
      </w:pPr>
      <w:r>
        <w:rPr>
          <w:rFonts w:hint="eastAsia"/>
          <w:b/>
          <w:sz w:val="24"/>
        </w:rPr>
        <w:t>三、技术要求</w:t>
      </w:r>
    </w:p>
    <w:p w14:paraId="46CC1079">
      <w:pPr>
        <w:pStyle w:val="2"/>
        <w:numPr>
          <w:ilvl w:val="0"/>
          <w:numId w:val="4"/>
        </w:numPr>
        <w:jc w:val="left"/>
        <w:rPr>
          <w:rFonts w:ascii="宋体" w:hAnsi="宋体" w:eastAsia="宋体" w:cs="宋体"/>
          <w:sz w:val="24"/>
          <w:szCs w:val="24"/>
        </w:rPr>
      </w:pPr>
      <w:r>
        <w:rPr>
          <w:rFonts w:hint="eastAsia" w:ascii="宋体" w:hAnsi="宋体" w:eastAsia="宋体" w:cs="宋体"/>
          <w:sz w:val="24"/>
          <w:szCs w:val="24"/>
        </w:rPr>
        <w:t>基本要求</w:t>
      </w:r>
    </w:p>
    <w:p w14:paraId="58E2CAF2">
      <w:pPr>
        <w:numPr>
          <w:ilvl w:val="0"/>
          <w:numId w:val="4"/>
        </w:numPr>
        <w:spacing w:line="360" w:lineRule="auto"/>
        <w:ind w:left="425" w:firstLine="480" w:firstLineChars="200"/>
        <w:rPr>
          <w:rFonts w:ascii="宋体" w:hAnsi="宋体" w:cs="宋体"/>
          <w:sz w:val="24"/>
        </w:rPr>
      </w:pPr>
      <w:r>
        <w:rPr>
          <w:rFonts w:hint="eastAsia" w:ascii="宋体" w:hAnsi="宋体" w:cs="宋体"/>
          <w:sz w:val="24"/>
        </w:rPr>
        <w:t>为了巩固前期工作成果，保障住建委现有信息系统的正常运行，保障业务数据高效、安全、可靠的连接，提升信息化水平，实现业务系统安全稳定运行，营造网络信任空间环境。本项目继续租用北京市级政务云计算服务、存储服务、网络服务、云主机深度监控服务。</w:t>
      </w:r>
    </w:p>
    <w:p w14:paraId="6C7BE945">
      <w:pPr>
        <w:rPr>
          <w:rFonts w:hint="eastAsia"/>
        </w:rPr>
      </w:pPr>
    </w:p>
    <w:p w14:paraId="4257D7A1">
      <w:pPr>
        <w:pStyle w:val="2"/>
        <w:numPr>
          <w:ilvl w:val="0"/>
          <w:numId w:val="4"/>
        </w:numPr>
        <w:snapToGrid w:val="0"/>
        <w:spacing w:line="360" w:lineRule="auto"/>
        <w:ind w:left="900" w:hanging="900"/>
        <w:jc w:val="left"/>
        <w:outlineLvl w:val="1"/>
        <w:rPr>
          <w:rFonts w:ascii="宋体" w:hAnsi="宋体" w:eastAsia="宋体" w:cs="宋体"/>
          <w:sz w:val="24"/>
          <w:szCs w:val="24"/>
        </w:rPr>
      </w:pPr>
      <w:r>
        <w:rPr>
          <w:rFonts w:hint="eastAsia" w:ascii="宋体" w:hAnsi="宋体" w:eastAsia="宋体" w:cs="宋体"/>
          <w:sz w:val="24"/>
          <w:szCs w:val="24"/>
        </w:rPr>
        <w:t>服务内容及要求</w:t>
      </w:r>
    </w:p>
    <w:tbl>
      <w:tblPr>
        <w:tblStyle w:val="5"/>
        <w:tblW w:w="8296" w:type="dxa"/>
        <w:tblInd w:w="0" w:type="dxa"/>
        <w:tblLayout w:type="fixed"/>
        <w:tblCellMar>
          <w:top w:w="0" w:type="dxa"/>
          <w:left w:w="108" w:type="dxa"/>
          <w:bottom w:w="0" w:type="dxa"/>
          <w:right w:w="108" w:type="dxa"/>
        </w:tblCellMar>
      </w:tblPr>
      <w:tblGrid>
        <w:gridCol w:w="696"/>
        <w:gridCol w:w="456"/>
        <w:gridCol w:w="1465"/>
        <w:gridCol w:w="2749"/>
        <w:gridCol w:w="938"/>
        <w:gridCol w:w="1056"/>
        <w:gridCol w:w="936"/>
      </w:tblGrid>
      <w:tr w14:paraId="002F84C8">
        <w:tblPrEx>
          <w:tblCellMar>
            <w:top w:w="0" w:type="dxa"/>
            <w:left w:w="108" w:type="dxa"/>
            <w:bottom w:w="0" w:type="dxa"/>
            <w:right w:w="108" w:type="dxa"/>
          </w:tblCellMar>
        </w:tblPrEx>
        <w:trPr>
          <w:trHeight w:val="540" w:hRule="atLeast"/>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51B71">
            <w:pPr>
              <w:widowControl/>
              <w:jc w:val="center"/>
              <w:rPr>
                <w:rFonts w:ascii="宋体" w:hAnsi="宋体" w:cs="宋体"/>
                <w:color w:val="000000"/>
                <w:sz w:val="24"/>
              </w:rPr>
            </w:pPr>
            <w:r>
              <w:rPr>
                <w:rFonts w:hint="eastAsia" w:ascii="宋体" w:hAnsi="宋体" w:cs="宋体"/>
                <w:color w:val="000000"/>
                <w:sz w:val="24"/>
              </w:rPr>
              <w:t>序号</w:t>
            </w:r>
          </w:p>
        </w:tc>
        <w:tc>
          <w:tcPr>
            <w:tcW w:w="456" w:type="dxa"/>
            <w:tcBorders>
              <w:top w:val="single" w:color="auto" w:sz="4" w:space="0"/>
              <w:left w:val="nil"/>
              <w:bottom w:val="single" w:color="auto" w:sz="4" w:space="0"/>
              <w:right w:val="single" w:color="auto" w:sz="4" w:space="0"/>
            </w:tcBorders>
            <w:shd w:val="clear" w:color="auto" w:fill="auto"/>
            <w:vAlign w:val="center"/>
          </w:tcPr>
          <w:p w14:paraId="1ED4F92F">
            <w:pPr>
              <w:widowControl/>
              <w:jc w:val="center"/>
              <w:rPr>
                <w:rFonts w:ascii="宋体" w:hAnsi="宋体" w:cs="宋体"/>
                <w:color w:val="000000"/>
                <w:sz w:val="24"/>
              </w:rPr>
            </w:pPr>
            <w:r>
              <w:rPr>
                <w:rFonts w:hint="eastAsia" w:ascii="宋体" w:hAnsi="宋体" w:cs="宋体"/>
                <w:color w:val="000000"/>
                <w:sz w:val="24"/>
              </w:rPr>
              <w:t>服务类别</w:t>
            </w:r>
          </w:p>
        </w:tc>
        <w:tc>
          <w:tcPr>
            <w:tcW w:w="1465" w:type="dxa"/>
            <w:tcBorders>
              <w:top w:val="single" w:color="auto" w:sz="4" w:space="0"/>
              <w:left w:val="nil"/>
              <w:bottom w:val="single" w:color="auto" w:sz="4" w:space="0"/>
              <w:right w:val="single" w:color="auto" w:sz="4" w:space="0"/>
            </w:tcBorders>
            <w:shd w:val="clear" w:color="auto" w:fill="auto"/>
            <w:vAlign w:val="center"/>
          </w:tcPr>
          <w:p w14:paraId="405AF450">
            <w:pPr>
              <w:widowControl/>
              <w:jc w:val="center"/>
              <w:rPr>
                <w:rFonts w:ascii="宋体" w:hAnsi="宋体" w:cs="宋体"/>
                <w:color w:val="000000"/>
                <w:sz w:val="24"/>
              </w:rPr>
            </w:pPr>
            <w:r>
              <w:rPr>
                <w:rFonts w:hint="eastAsia" w:ascii="宋体" w:hAnsi="宋体" w:cs="宋体"/>
                <w:color w:val="000000"/>
                <w:sz w:val="24"/>
              </w:rPr>
              <w:t>服务名称</w:t>
            </w:r>
          </w:p>
        </w:tc>
        <w:tc>
          <w:tcPr>
            <w:tcW w:w="2749" w:type="dxa"/>
            <w:tcBorders>
              <w:top w:val="single" w:color="auto" w:sz="4" w:space="0"/>
              <w:left w:val="nil"/>
              <w:bottom w:val="single" w:color="auto" w:sz="4" w:space="0"/>
              <w:right w:val="single" w:color="auto" w:sz="4" w:space="0"/>
            </w:tcBorders>
            <w:shd w:val="clear" w:color="auto" w:fill="auto"/>
            <w:vAlign w:val="center"/>
          </w:tcPr>
          <w:p w14:paraId="4FFBF3DD">
            <w:pPr>
              <w:widowControl/>
              <w:jc w:val="center"/>
              <w:rPr>
                <w:rFonts w:ascii="宋体" w:hAnsi="宋体" w:cs="宋体"/>
                <w:color w:val="000000"/>
                <w:sz w:val="24"/>
              </w:rPr>
            </w:pPr>
            <w:r>
              <w:rPr>
                <w:rFonts w:hint="eastAsia" w:ascii="宋体" w:hAnsi="宋体" w:cs="宋体"/>
                <w:color w:val="000000"/>
                <w:sz w:val="24"/>
              </w:rPr>
              <w:t>服务描述</w:t>
            </w:r>
          </w:p>
        </w:tc>
        <w:tc>
          <w:tcPr>
            <w:tcW w:w="938" w:type="dxa"/>
            <w:tcBorders>
              <w:top w:val="single" w:color="auto" w:sz="4" w:space="0"/>
              <w:left w:val="nil"/>
              <w:bottom w:val="single" w:color="auto" w:sz="4" w:space="0"/>
              <w:right w:val="single" w:color="auto" w:sz="4" w:space="0"/>
            </w:tcBorders>
            <w:shd w:val="clear" w:color="auto" w:fill="auto"/>
            <w:noWrap/>
            <w:vAlign w:val="center"/>
          </w:tcPr>
          <w:p w14:paraId="6B23FCA2">
            <w:pPr>
              <w:widowControl/>
              <w:jc w:val="center"/>
              <w:rPr>
                <w:rFonts w:ascii="宋体" w:hAnsi="宋体" w:cs="宋体"/>
                <w:color w:val="000000"/>
                <w:sz w:val="24"/>
              </w:rPr>
            </w:pPr>
            <w:r>
              <w:rPr>
                <w:rFonts w:hint="eastAsia" w:ascii="宋体" w:hAnsi="宋体" w:cs="宋体"/>
                <w:color w:val="000000"/>
                <w:sz w:val="24"/>
              </w:rPr>
              <w:t>计费单位</w:t>
            </w:r>
          </w:p>
        </w:tc>
        <w:tc>
          <w:tcPr>
            <w:tcW w:w="1056" w:type="dxa"/>
            <w:tcBorders>
              <w:top w:val="single" w:color="auto" w:sz="4" w:space="0"/>
              <w:left w:val="nil"/>
              <w:bottom w:val="single" w:color="auto" w:sz="4" w:space="0"/>
              <w:right w:val="single" w:color="auto" w:sz="4" w:space="0"/>
            </w:tcBorders>
            <w:shd w:val="clear" w:color="auto" w:fill="auto"/>
            <w:noWrap/>
            <w:vAlign w:val="center"/>
          </w:tcPr>
          <w:p w14:paraId="2E514BD1">
            <w:pPr>
              <w:widowControl/>
              <w:jc w:val="center"/>
              <w:rPr>
                <w:rFonts w:ascii="宋体" w:hAnsi="宋体" w:cs="宋体"/>
                <w:color w:val="000000"/>
                <w:sz w:val="24"/>
              </w:rPr>
            </w:pPr>
            <w:r>
              <w:rPr>
                <w:rFonts w:hint="eastAsia" w:ascii="宋体" w:hAnsi="宋体" w:cs="宋体"/>
                <w:color w:val="000000"/>
                <w:sz w:val="24"/>
              </w:rPr>
              <w:t>数量</w:t>
            </w:r>
          </w:p>
        </w:tc>
        <w:tc>
          <w:tcPr>
            <w:tcW w:w="936" w:type="dxa"/>
            <w:tcBorders>
              <w:top w:val="single" w:color="auto" w:sz="4" w:space="0"/>
              <w:left w:val="nil"/>
              <w:bottom w:val="single" w:color="auto" w:sz="4" w:space="0"/>
              <w:right w:val="single" w:color="auto" w:sz="4" w:space="0"/>
            </w:tcBorders>
            <w:shd w:val="clear" w:color="auto" w:fill="auto"/>
            <w:vAlign w:val="center"/>
          </w:tcPr>
          <w:p w14:paraId="59FAEDE5">
            <w:pPr>
              <w:widowControl/>
              <w:jc w:val="center"/>
              <w:rPr>
                <w:rFonts w:ascii="宋体" w:hAnsi="宋体" w:cs="宋体"/>
                <w:color w:val="000000"/>
                <w:sz w:val="24"/>
              </w:rPr>
            </w:pPr>
            <w:r>
              <w:rPr>
                <w:rFonts w:hint="eastAsia" w:ascii="宋体" w:hAnsi="宋体" w:cs="宋体"/>
                <w:color w:val="000000"/>
                <w:sz w:val="24"/>
              </w:rPr>
              <w:t>租用期限（月）</w:t>
            </w:r>
          </w:p>
        </w:tc>
      </w:tr>
      <w:tr w14:paraId="6ECEF6C9">
        <w:tblPrEx>
          <w:tblCellMar>
            <w:top w:w="0" w:type="dxa"/>
            <w:left w:w="108" w:type="dxa"/>
            <w:bottom w:w="0" w:type="dxa"/>
            <w:right w:w="108" w:type="dxa"/>
          </w:tblCellMar>
        </w:tblPrEx>
        <w:trPr>
          <w:trHeight w:val="285" w:hRule="atLeast"/>
        </w:trPr>
        <w:tc>
          <w:tcPr>
            <w:tcW w:w="696" w:type="dxa"/>
            <w:tcBorders>
              <w:top w:val="nil"/>
              <w:left w:val="single" w:color="auto" w:sz="4" w:space="0"/>
              <w:bottom w:val="single" w:color="auto" w:sz="4" w:space="0"/>
              <w:right w:val="single" w:color="auto" w:sz="4" w:space="0"/>
            </w:tcBorders>
            <w:shd w:val="clear" w:color="auto" w:fill="auto"/>
            <w:noWrap/>
            <w:vAlign w:val="center"/>
          </w:tcPr>
          <w:p w14:paraId="522D4389">
            <w:pPr>
              <w:widowControl/>
              <w:jc w:val="center"/>
              <w:rPr>
                <w:rFonts w:ascii="宋体" w:hAnsi="宋体" w:cs="宋体"/>
                <w:color w:val="000000"/>
                <w:sz w:val="24"/>
              </w:rPr>
            </w:pPr>
            <w:r>
              <w:rPr>
                <w:rFonts w:hint="eastAsia" w:ascii="宋体" w:hAnsi="宋体" w:cs="宋体"/>
                <w:color w:val="000000"/>
                <w:sz w:val="24"/>
              </w:rPr>
              <w:t>1</w:t>
            </w:r>
          </w:p>
        </w:tc>
        <w:tc>
          <w:tcPr>
            <w:tcW w:w="456" w:type="dxa"/>
            <w:vMerge w:val="restart"/>
            <w:tcBorders>
              <w:top w:val="nil"/>
              <w:left w:val="single" w:color="auto" w:sz="4" w:space="0"/>
              <w:bottom w:val="single" w:color="auto" w:sz="4" w:space="0"/>
              <w:right w:val="single" w:color="auto" w:sz="4" w:space="0"/>
            </w:tcBorders>
            <w:shd w:val="clear" w:color="auto" w:fill="auto"/>
            <w:vAlign w:val="center"/>
          </w:tcPr>
          <w:p w14:paraId="1E41F45D">
            <w:pPr>
              <w:widowControl/>
              <w:jc w:val="center"/>
              <w:rPr>
                <w:rFonts w:ascii="宋体" w:hAnsi="宋体" w:cs="宋体"/>
                <w:color w:val="000000"/>
                <w:sz w:val="24"/>
              </w:rPr>
            </w:pPr>
            <w:r>
              <w:rPr>
                <w:rFonts w:hint="eastAsia" w:ascii="宋体" w:hAnsi="宋体" w:cs="宋体"/>
                <w:color w:val="000000"/>
                <w:sz w:val="24"/>
              </w:rPr>
              <w:t>计算服务</w:t>
            </w:r>
          </w:p>
        </w:tc>
        <w:tc>
          <w:tcPr>
            <w:tcW w:w="1465" w:type="dxa"/>
            <w:vMerge w:val="restart"/>
            <w:tcBorders>
              <w:top w:val="nil"/>
              <w:left w:val="single" w:color="auto" w:sz="4" w:space="0"/>
              <w:bottom w:val="single" w:color="auto" w:sz="4" w:space="0"/>
              <w:right w:val="single" w:color="auto" w:sz="4" w:space="0"/>
            </w:tcBorders>
            <w:shd w:val="clear" w:color="auto" w:fill="auto"/>
            <w:vAlign w:val="center"/>
          </w:tcPr>
          <w:p w14:paraId="5B9D18C8">
            <w:pPr>
              <w:widowControl/>
              <w:jc w:val="center"/>
              <w:rPr>
                <w:rFonts w:ascii="宋体" w:hAnsi="宋体" w:cs="宋体"/>
                <w:color w:val="000000"/>
                <w:sz w:val="24"/>
              </w:rPr>
            </w:pPr>
            <w:r>
              <w:rPr>
                <w:rFonts w:hint="eastAsia" w:ascii="宋体" w:hAnsi="宋体" w:cs="宋体"/>
                <w:color w:val="000000"/>
                <w:sz w:val="24"/>
              </w:rPr>
              <w:t>x86平台云主机服务</w:t>
            </w:r>
          </w:p>
        </w:tc>
        <w:tc>
          <w:tcPr>
            <w:tcW w:w="2749" w:type="dxa"/>
            <w:tcBorders>
              <w:top w:val="nil"/>
              <w:left w:val="nil"/>
              <w:bottom w:val="single" w:color="auto" w:sz="4" w:space="0"/>
              <w:right w:val="single" w:color="auto" w:sz="4" w:space="0"/>
            </w:tcBorders>
            <w:shd w:val="clear" w:color="auto" w:fill="auto"/>
            <w:noWrap/>
            <w:vAlign w:val="center"/>
          </w:tcPr>
          <w:p w14:paraId="4D9790F1">
            <w:pPr>
              <w:widowControl/>
              <w:jc w:val="center"/>
              <w:rPr>
                <w:rFonts w:ascii="宋体" w:hAnsi="宋体" w:cs="宋体"/>
                <w:color w:val="000000"/>
                <w:sz w:val="24"/>
              </w:rPr>
            </w:pPr>
            <w:r>
              <w:rPr>
                <w:rFonts w:hint="eastAsia" w:ascii="宋体" w:hAnsi="宋体" w:cs="宋体"/>
                <w:color w:val="000000"/>
                <w:sz w:val="24"/>
              </w:rPr>
              <w:t>vCPU（主频不低于2.4GHz）</w:t>
            </w:r>
          </w:p>
        </w:tc>
        <w:tc>
          <w:tcPr>
            <w:tcW w:w="938" w:type="dxa"/>
            <w:tcBorders>
              <w:top w:val="nil"/>
              <w:left w:val="nil"/>
              <w:bottom w:val="single" w:color="auto" w:sz="4" w:space="0"/>
              <w:right w:val="single" w:color="auto" w:sz="4" w:space="0"/>
            </w:tcBorders>
            <w:shd w:val="clear" w:color="auto" w:fill="auto"/>
            <w:noWrap/>
            <w:vAlign w:val="center"/>
          </w:tcPr>
          <w:p w14:paraId="64FFB375">
            <w:pPr>
              <w:widowControl/>
              <w:jc w:val="center"/>
              <w:rPr>
                <w:rFonts w:ascii="宋体" w:hAnsi="宋体" w:cs="宋体"/>
                <w:color w:val="000000"/>
                <w:sz w:val="24"/>
              </w:rPr>
            </w:pPr>
            <w:r>
              <w:rPr>
                <w:rFonts w:hint="eastAsia" w:ascii="宋体" w:hAnsi="宋体" w:cs="宋体"/>
                <w:color w:val="000000"/>
                <w:sz w:val="24"/>
              </w:rPr>
              <w:t>元/vCPU/月</w:t>
            </w:r>
          </w:p>
        </w:tc>
        <w:tc>
          <w:tcPr>
            <w:tcW w:w="1056" w:type="dxa"/>
            <w:tcBorders>
              <w:top w:val="nil"/>
              <w:left w:val="nil"/>
              <w:bottom w:val="single" w:color="auto" w:sz="4" w:space="0"/>
              <w:right w:val="single" w:color="auto" w:sz="4" w:space="0"/>
            </w:tcBorders>
            <w:shd w:val="clear" w:color="auto" w:fill="auto"/>
            <w:noWrap/>
            <w:vAlign w:val="center"/>
          </w:tcPr>
          <w:p w14:paraId="7A2DE570">
            <w:pPr>
              <w:widowControl/>
              <w:jc w:val="center"/>
              <w:rPr>
                <w:rFonts w:ascii="宋体" w:hAnsi="宋体" w:cs="宋体"/>
                <w:color w:val="000000"/>
                <w:sz w:val="24"/>
              </w:rPr>
            </w:pPr>
            <w:r>
              <w:rPr>
                <w:rFonts w:hint="eastAsia" w:ascii="宋体" w:hAnsi="宋体" w:cs="宋体"/>
                <w:color w:val="000000"/>
                <w:sz w:val="24"/>
              </w:rPr>
              <w:t>7133</w:t>
            </w:r>
          </w:p>
        </w:tc>
        <w:tc>
          <w:tcPr>
            <w:tcW w:w="936" w:type="dxa"/>
            <w:tcBorders>
              <w:top w:val="nil"/>
              <w:left w:val="nil"/>
              <w:bottom w:val="single" w:color="auto" w:sz="4" w:space="0"/>
              <w:right w:val="single" w:color="auto" w:sz="4" w:space="0"/>
            </w:tcBorders>
            <w:shd w:val="clear" w:color="auto" w:fill="auto"/>
            <w:noWrap/>
            <w:vAlign w:val="center"/>
          </w:tcPr>
          <w:p w14:paraId="00FA202E">
            <w:pPr>
              <w:widowControl/>
              <w:jc w:val="center"/>
              <w:rPr>
                <w:rFonts w:ascii="宋体" w:hAnsi="宋体" w:cs="宋体"/>
                <w:color w:val="000000"/>
                <w:sz w:val="24"/>
              </w:rPr>
            </w:pPr>
            <w:r>
              <w:rPr>
                <w:rFonts w:hint="eastAsia" w:ascii="宋体" w:hAnsi="宋体" w:cs="宋体"/>
                <w:color w:val="000000"/>
                <w:sz w:val="24"/>
              </w:rPr>
              <w:t>12</w:t>
            </w:r>
          </w:p>
        </w:tc>
      </w:tr>
      <w:tr w14:paraId="4485CA91">
        <w:tblPrEx>
          <w:tblCellMar>
            <w:top w:w="0" w:type="dxa"/>
            <w:left w:w="108" w:type="dxa"/>
            <w:bottom w:w="0" w:type="dxa"/>
            <w:right w:w="108" w:type="dxa"/>
          </w:tblCellMar>
        </w:tblPrEx>
        <w:trPr>
          <w:trHeight w:val="285" w:hRule="atLeast"/>
        </w:trPr>
        <w:tc>
          <w:tcPr>
            <w:tcW w:w="696" w:type="dxa"/>
            <w:tcBorders>
              <w:top w:val="nil"/>
              <w:left w:val="single" w:color="auto" w:sz="4" w:space="0"/>
              <w:bottom w:val="single" w:color="auto" w:sz="4" w:space="0"/>
              <w:right w:val="single" w:color="auto" w:sz="4" w:space="0"/>
            </w:tcBorders>
            <w:shd w:val="clear" w:color="auto" w:fill="auto"/>
            <w:noWrap/>
            <w:vAlign w:val="center"/>
          </w:tcPr>
          <w:p w14:paraId="21B45518">
            <w:pPr>
              <w:widowControl/>
              <w:jc w:val="center"/>
              <w:rPr>
                <w:rFonts w:ascii="宋体" w:hAnsi="宋体" w:cs="宋体"/>
                <w:color w:val="000000"/>
                <w:sz w:val="24"/>
              </w:rPr>
            </w:pPr>
            <w:r>
              <w:rPr>
                <w:rFonts w:hint="eastAsia" w:ascii="宋体" w:hAnsi="宋体" w:cs="宋体"/>
                <w:color w:val="000000"/>
                <w:sz w:val="24"/>
              </w:rPr>
              <w:t>2</w:t>
            </w:r>
          </w:p>
        </w:tc>
        <w:tc>
          <w:tcPr>
            <w:tcW w:w="456" w:type="dxa"/>
            <w:vMerge w:val="continue"/>
            <w:tcBorders>
              <w:top w:val="nil"/>
              <w:left w:val="single" w:color="auto" w:sz="4" w:space="0"/>
              <w:bottom w:val="single" w:color="auto" w:sz="4" w:space="0"/>
              <w:right w:val="single" w:color="auto" w:sz="4" w:space="0"/>
            </w:tcBorders>
            <w:vAlign w:val="center"/>
          </w:tcPr>
          <w:p w14:paraId="78653A98">
            <w:pPr>
              <w:widowControl/>
              <w:rPr>
                <w:rFonts w:ascii="宋体" w:hAnsi="宋体" w:cs="宋体"/>
                <w:color w:val="000000"/>
                <w:sz w:val="24"/>
              </w:rPr>
            </w:pPr>
          </w:p>
        </w:tc>
        <w:tc>
          <w:tcPr>
            <w:tcW w:w="1465" w:type="dxa"/>
            <w:vMerge w:val="continue"/>
            <w:tcBorders>
              <w:top w:val="nil"/>
              <w:left w:val="single" w:color="auto" w:sz="4" w:space="0"/>
              <w:bottom w:val="single" w:color="auto" w:sz="4" w:space="0"/>
              <w:right w:val="single" w:color="auto" w:sz="4" w:space="0"/>
            </w:tcBorders>
            <w:vAlign w:val="center"/>
          </w:tcPr>
          <w:p w14:paraId="054FEC13">
            <w:pPr>
              <w:widowControl/>
              <w:rPr>
                <w:rFonts w:ascii="宋体" w:hAnsi="宋体" w:cs="宋体"/>
                <w:color w:val="000000"/>
                <w:sz w:val="24"/>
              </w:rPr>
            </w:pPr>
          </w:p>
        </w:tc>
        <w:tc>
          <w:tcPr>
            <w:tcW w:w="2749" w:type="dxa"/>
            <w:tcBorders>
              <w:top w:val="nil"/>
              <w:left w:val="nil"/>
              <w:bottom w:val="single" w:color="auto" w:sz="4" w:space="0"/>
              <w:right w:val="single" w:color="auto" w:sz="4" w:space="0"/>
            </w:tcBorders>
            <w:shd w:val="clear" w:color="auto" w:fill="auto"/>
            <w:noWrap/>
            <w:vAlign w:val="center"/>
          </w:tcPr>
          <w:p w14:paraId="5CFF196A">
            <w:pPr>
              <w:widowControl/>
              <w:jc w:val="center"/>
              <w:rPr>
                <w:rFonts w:ascii="宋体" w:hAnsi="宋体" w:cs="宋体"/>
                <w:color w:val="000000"/>
                <w:sz w:val="24"/>
              </w:rPr>
            </w:pPr>
            <w:r>
              <w:rPr>
                <w:rFonts w:hint="eastAsia" w:ascii="宋体" w:hAnsi="宋体" w:cs="宋体"/>
                <w:color w:val="000000"/>
                <w:sz w:val="24"/>
              </w:rPr>
              <w:t>内存</w:t>
            </w:r>
          </w:p>
        </w:tc>
        <w:tc>
          <w:tcPr>
            <w:tcW w:w="938" w:type="dxa"/>
            <w:tcBorders>
              <w:top w:val="nil"/>
              <w:left w:val="nil"/>
              <w:bottom w:val="single" w:color="auto" w:sz="4" w:space="0"/>
              <w:right w:val="single" w:color="auto" w:sz="4" w:space="0"/>
            </w:tcBorders>
            <w:shd w:val="clear" w:color="auto" w:fill="auto"/>
            <w:noWrap/>
            <w:vAlign w:val="center"/>
          </w:tcPr>
          <w:p w14:paraId="7900C601">
            <w:pPr>
              <w:widowControl/>
              <w:jc w:val="center"/>
              <w:rPr>
                <w:rFonts w:ascii="宋体" w:hAnsi="宋体" w:cs="宋体"/>
                <w:color w:val="000000"/>
                <w:sz w:val="24"/>
              </w:rPr>
            </w:pPr>
            <w:r>
              <w:rPr>
                <w:rFonts w:hint="eastAsia" w:ascii="宋体" w:hAnsi="宋体" w:cs="宋体"/>
                <w:color w:val="000000"/>
                <w:sz w:val="24"/>
              </w:rPr>
              <w:t>元/GB/月</w:t>
            </w:r>
          </w:p>
        </w:tc>
        <w:tc>
          <w:tcPr>
            <w:tcW w:w="1056" w:type="dxa"/>
            <w:tcBorders>
              <w:top w:val="nil"/>
              <w:left w:val="nil"/>
              <w:bottom w:val="single" w:color="auto" w:sz="4" w:space="0"/>
              <w:right w:val="single" w:color="auto" w:sz="4" w:space="0"/>
            </w:tcBorders>
            <w:shd w:val="clear" w:color="auto" w:fill="auto"/>
            <w:noWrap/>
            <w:vAlign w:val="center"/>
          </w:tcPr>
          <w:p w14:paraId="33AA4279">
            <w:pPr>
              <w:widowControl/>
              <w:jc w:val="center"/>
              <w:rPr>
                <w:rFonts w:ascii="宋体" w:hAnsi="宋体" w:cs="宋体"/>
                <w:color w:val="000000"/>
                <w:sz w:val="24"/>
              </w:rPr>
            </w:pPr>
            <w:r>
              <w:rPr>
                <w:rFonts w:hint="eastAsia" w:ascii="宋体" w:hAnsi="宋体" w:cs="宋体"/>
                <w:color w:val="000000"/>
                <w:sz w:val="24"/>
              </w:rPr>
              <w:t>21755</w:t>
            </w:r>
          </w:p>
        </w:tc>
        <w:tc>
          <w:tcPr>
            <w:tcW w:w="936" w:type="dxa"/>
            <w:tcBorders>
              <w:top w:val="nil"/>
              <w:left w:val="nil"/>
              <w:bottom w:val="single" w:color="auto" w:sz="4" w:space="0"/>
              <w:right w:val="single" w:color="auto" w:sz="4" w:space="0"/>
            </w:tcBorders>
            <w:shd w:val="clear" w:color="auto" w:fill="auto"/>
            <w:noWrap/>
            <w:vAlign w:val="center"/>
          </w:tcPr>
          <w:p w14:paraId="6C09C544">
            <w:pPr>
              <w:widowControl/>
              <w:jc w:val="center"/>
              <w:rPr>
                <w:rFonts w:ascii="宋体" w:hAnsi="宋体" w:cs="宋体"/>
                <w:color w:val="000000"/>
                <w:sz w:val="24"/>
              </w:rPr>
            </w:pPr>
            <w:r>
              <w:rPr>
                <w:rFonts w:hint="eastAsia" w:ascii="宋体" w:hAnsi="宋体" w:cs="宋体"/>
                <w:color w:val="000000"/>
                <w:sz w:val="24"/>
              </w:rPr>
              <w:t>12</w:t>
            </w:r>
          </w:p>
        </w:tc>
      </w:tr>
      <w:tr w14:paraId="2192CA52">
        <w:tblPrEx>
          <w:tblCellMar>
            <w:top w:w="0" w:type="dxa"/>
            <w:left w:w="108" w:type="dxa"/>
            <w:bottom w:w="0" w:type="dxa"/>
            <w:right w:w="108" w:type="dxa"/>
          </w:tblCellMar>
        </w:tblPrEx>
        <w:trPr>
          <w:trHeight w:val="1080" w:hRule="atLeast"/>
        </w:trPr>
        <w:tc>
          <w:tcPr>
            <w:tcW w:w="696" w:type="dxa"/>
            <w:tcBorders>
              <w:top w:val="nil"/>
              <w:left w:val="single" w:color="auto" w:sz="4" w:space="0"/>
              <w:bottom w:val="single" w:color="auto" w:sz="4" w:space="0"/>
              <w:right w:val="single" w:color="auto" w:sz="4" w:space="0"/>
            </w:tcBorders>
            <w:shd w:val="clear" w:color="auto" w:fill="auto"/>
            <w:noWrap/>
            <w:vAlign w:val="center"/>
          </w:tcPr>
          <w:p w14:paraId="3DB31869">
            <w:pPr>
              <w:widowControl/>
              <w:jc w:val="center"/>
              <w:rPr>
                <w:rFonts w:ascii="宋体" w:hAnsi="宋体" w:cs="宋体"/>
                <w:color w:val="000000"/>
                <w:sz w:val="24"/>
              </w:rPr>
            </w:pPr>
            <w:r>
              <w:rPr>
                <w:rFonts w:hint="eastAsia" w:ascii="宋体" w:hAnsi="宋体" w:cs="宋体"/>
                <w:color w:val="000000"/>
                <w:sz w:val="24"/>
              </w:rPr>
              <w:t>3</w:t>
            </w:r>
          </w:p>
        </w:tc>
        <w:tc>
          <w:tcPr>
            <w:tcW w:w="456" w:type="dxa"/>
            <w:vMerge w:val="continue"/>
            <w:tcBorders>
              <w:top w:val="nil"/>
              <w:left w:val="single" w:color="auto" w:sz="4" w:space="0"/>
              <w:bottom w:val="single" w:color="auto" w:sz="4" w:space="0"/>
              <w:right w:val="single" w:color="auto" w:sz="4" w:space="0"/>
            </w:tcBorders>
            <w:vAlign w:val="center"/>
          </w:tcPr>
          <w:p w14:paraId="193277FA">
            <w:pPr>
              <w:widowControl/>
              <w:rPr>
                <w:rFonts w:ascii="宋体" w:hAnsi="宋体" w:cs="宋体"/>
                <w:color w:val="000000"/>
                <w:sz w:val="24"/>
              </w:rPr>
            </w:pPr>
          </w:p>
        </w:tc>
        <w:tc>
          <w:tcPr>
            <w:tcW w:w="1465" w:type="dxa"/>
            <w:tcBorders>
              <w:top w:val="nil"/>
              <w:left w:val="nil"/>
              <w:bottom w:val="single" w:color="auto" w:sz="4" w:space="0"/>
              <w:right w:val="single" w:color="auto" w:sz="4" w:space="0"/>
            </w:tcBorders>
            <w:shd w:val="clear" w:color="auto" w:fill="auto"/>
            <w:vAlign w:val="center"/>
          </w:tcPr>
          <w:p w14:paraId="3D31AD18">
            <w:pPr>
              <w:widowControl/>
              <w:jc w:val="center"/>
              <w:rPr>
                <w:rFonts w:ascii="宋体" w:hAnsi="宋体" w:cs="宋体"/>
                <w:color w:val="000000"/>
                <w:sz w:val="24"/>
              </w:rPr>
            </w:pPr>
            <w:r>
              <w:rPr>
                <w:rFonts w:hint="eastAsia" w:ascii="宋体" w:hAnsi="宋体" w:cs="宋体"/>
                <w:color w:val="000000"/>
                <w:sz w:val="24"/>
              </w:rPr>
              <w:t>x86物理服务器租用服务</w:t>
            </w:r>
          </w:p>
        </w:tc>
        <w:tc>
          <w:tcPr>
            <w:tcW w:w="2749" w:type="dxa"/>
            <w:tcBorders>
              <w:top w:val="nil"/>
              <w:left w:val="nil"/>
              <w:bottom w:val="single" w:color="auto" w:sz="4" w:space="0"/>
              <w:right w:val="single" w:color="auto" w:sz="4" w:space="0"/>
            </w:tcBorders>
            <w:shd w:val="clear" w:color="auto" w:fill="auto"/>
            <w:vAlign w:val="center"/>
          </w:tcPr>
          <w:p w14:paraId="70757CC4">
            <w:pPr>
              <w:widowControl/>
              <w:jc w:val="center"/>
              <w:rPr>
                <w:rFonts w:ascii="宋体" w:hAnsi="宋体" w:cs="宋体"/>
                <w:color w:val="000000"/>
                <w:sz w:val="24"/>
              </w:rPr>
            </w:pPr>
            <w:r>
              <w:rPr>
                <w:rFonts w:hint="eastAsia" w:ascii="宋体" w:hAnsi="宋体" w:cs="宋体"/>
                <w:color w:val="000000"/>
                <w:sz w:val="24"/>
              </w:rPr>
              <w:t>x86 物理服务器配置1：2 路12 核（主频≥2.0Ghz），64G内存，2 块600G SAS 硬盘,2 个HBA 卡，2 个万兆端口</w:t>
            </w:r>
          </w:p>
        </w:tc>
        <w:tc>
          <w:tcPr>
            <w:tcW w:w="938" w:type="dxa"/>
            <w:tcBorders>
              <w:top w:val="nil"/>
              <w:left w:val="nil"/>
              <w:bottom w:val="single" w:color="auto" w:sz="4" w:space="0"/>
              <w:right w:val="single" w:color="auto" w:sz="4" w:space="0"/>
            </w:tcBorders>
            <w:shd w:val="clear" w:color="auto" w:fill="auto"/>
            <w:noWrap/>
            <w:vAlign w:val="center"/>
          </w:tcPr>
          <w:p w14:paraId="59EF68B1">
            <w:pPr>
              <w:widowControl/>
              <w:jc w:val="center"/>
              <w:rPr>
                <w:rFonts w:ascii="宋体" w:hAnsi="宋体" w:cs="宋体"/>
                <w:color w:val="000000"/>
                <w:sz w:val="24"/>
              </w:rPr>
            </w:pPr>
            <w:r>
              <w:rPr>
                <w:rFonts w:hint="eastAsia" w:ascii="宋体" w:hAnsi="宋体" w:cs="宋体"/>
                <w:color w:val="000000"/>
                <w:sz w:val="24"/>
              </w:rPr>
              <w:t>元/台/月</w:t>
            </w:r>
          </w:p>
        </w:tc>
        <w:tc>
          <w:tcPr>
            <w:tcW w:w="1056" w:type="dxa"/>
            <w:tcBorders>
              <w:top w:val="nil"/>
              <w:left w:val="nil"/>
              <w:bottom w:val="single" w:color="auto" w:sz="4" w:space="0"/>
              <w:right w:val="single" w:color="auto" w:sz="4" w:space="0"/>
            </w:tcBorders>
            <w:shd w:val="clear" w:color="auto" w:fill="auto"/>
            <w:noWrap/>
            <w:vAlign w:val="center"/>
          </w:tcPr>
          <w:p w14:paraId="2FAB2EC2">
            <w:pPr>
              <w:widowControl/>
              <w:jc w:val="center"/>
              <w:rPr>
                <w:rFonts w:ascii="宋体" w:hAnsi="宋体" w:cs="宋体"/>
                <w:color w:val="000000"/>
                <w:sz w:val="24"/>
              </w:rPr>
            </w:pPr>
            <w:r>
              <w:rPr>
                <w:rFonts w:hint="eastAsia" w:ascii="宋体" w:hAnsi="宋体" w:cs="宋体"/>
                <w:color w:val="000000"/>
                <w:sz w:val="24"/>
              </w:rPr>
              <w:t>2</w:t>
            </w:r>
          </w:p>
        </w:tc>
        <w:tc>
          <w:tcPr>
            <w:tcW w:w="936" w:type="dxa"/>
            <w:tcBorders>
              <w:top w:val="nil"/>
              <w:left w:val="nil"/>
              <w:bottom w:val="single" w:color="auto" w:sz="4" w:space="0"/>
              <w:right w:val="single" w:color="auto" w:sz="4" w:space="0"/>
            </w:tcBorders>
            <w:shd w:val="clear" w:color="auto" w:fill="auto"/>
            <w:noWrap/>
            <w:vAlign w:val="center"/>
          </w:tcPr>
          <w:p w14:paraId="434FBE1D">
            <w:pPr>
              <w:widowControl/>
              <w:jc w:val="center"/>
              <w:rPr>
                <w:rFonts w:ascii="宋体" w:hAnsi="宋体" w:cs="宋体"/>
                <w:color w:val="000000"/>
                <w:sz w:val="24"/>
              </w:rPr>
            </w:pPr>
            <w:r>
              <w:rPr>
                <w:rFonts w:hint="eastAsia" w:ascii="宋体" w:hAnsi="宋体" w:cs="宋体"/>
                <w:color w:val="000000"/>
                <w:sz w:val="24"/>
              </w:rPr>
              <w:t>12</w:t>
            </w:r>
          </w:p>
        </w:tc>
      </w:tr>
      <w:tr w14:paraId="3CBA4E20">
        <w:tblPrEx>
          <w:tblCellMar>
            <w:top w:w="0" w:type="dxa"/>
            <w:left w:w="108" w:type="dxa"/>
            <w:bottom w:w="0" w:type="dxa"/>
            <w:right w:w="108" w:type="dxa"/>
          </w:tblCellMar>
        </w:tblPrEx>
        <w:trPr>
          <w:trHeight w:val="1080" w:hRule="atLeast"/>
        </w:trPr>
        <w:tc>
          <w:tcPr>
            <w:tcW w:w="696" w:type="dxa"/>
            <w:tcBorders>
              <w:top w:val="nil"/>
              <w:left w:val="single" w:color="auto" w:sz="4" w:space="0"/>
              <w:bottom w:val="single" w:color="auto" w:sz="4" w:space="0"/>
              <w:right w:val="single" w:color="auto" w:sz="4" w:space="0"/>
            </w:tcBorders>
            <w:shd w:val="clear" w:color="auto" w:fill="auto"/>
            <w:noWrap/>
            <w:vAlign w:val="center"/>
          </w:tcPr>
          <w:p w14:paraId="6A637334">
            <w:pPr>
              <w:widowControl/>
              <w:jc w:val="center"/>
              <w:rPr>
                <w:rFonts w:ascii="宋体" w:hAnsi="宋体" w:cs="宋体"/>
                <w:color w:val="000000"/>
                <w:sz w:val="24"/>
              </w:rPr>
            </w:pPr>
            <w:r>
              <w:rPr>
                <w:rFonts w:hint="eastAsia" w:ascii="宋体" w:hAnsi="宋体" w:cs="宋体"/>
                <w:color w:val="000000"/>
                <w:sz w:val="24"/>
              </w:rPr>
              <w:t>4</w:t>
            </w:r>
          </w:p>
        </w:tc>
        <w:tc>
          <w:tcPr>
            <w:tcW w:w="456" w:type="dxa"/>
            <w:vMerge w:val="continue"/>
            <w:tcBorders>
              <w:top w:val="nil"/>
              <w:left w:val="single" w:color="auto" w:sz="4" w:space="0"/>
              <w:bottom w:val="single" w:color="auto" w:sz="4" w:space="0"/>
              <w:right w:val="single" w:color="auto" w:sz="4" w:space="0"/>
            </w:tcBorders>
            <w:vAlign w:val="center"/>
          </w:tcPr>
          <w:p w14:paraId="2566C4EB">
            <w:pPr>
              <w:widowControl/>
              <w:rPr>
                <w:rFonts w:ascii="宋体" w:hAnsi="宋体" w:cs="宋体"/>
                <w:color w:val="000000"/>
                <w:sz w:val="24"/>
              </w:rPr>
            </w:pPr>
          </w:p>
        </w:tc>
        <w:tc>
          <w:tcPr>
            <w:tcW w:w="1465" w:type="dxa"/>
            <w:tcBorders>
              <w:top w:val="nil"/>
              <w:left w:val="nil"/>
              <w:bottom w:val="single" w:color="auto" w:sz="4" w:space="0"/>
              <w:right w:val="single" w:color="auto" w:sz="4" w:space="0"/>
            </w:tcBorders>
            <w:shd w:val="clear" w:color="auto" w:fill="auto"/>
            <w:vAlign w:val="center"/>
          </w:tcPr>
          <w:p w14:paraId="2F749C59">
            <w:pPr>
              <w:widowControl/>
              <w:jc w:val="center"/>
              <w:rPr>
                <w:rFonts w:ascii="宋体" w:hAnsi="宋体" w:cs="宋体"/>
                <w:color w:val="000000"/>
                <w:sz w:val="24"/>
              </w:rPr>
            </w:pPr>
            <w:r>
              <w:rPr>
                <w:rFonts w:hint="eastAsia" w:ascii="宋体" w:hAnsi="宋体" w:cs="宋体"/>
                <w:color w:val="000000"/>
                <w:sz w:val="24"/>
              </w:rPr>
              <w:t>x86物理服务器租用服务</w:t>
            </w:r>
          </w:p>
        </w:tc>
        <w:tc>
          <w:tcPr>
            <w:tcW w:w="2749" w:type="dxa"/>
            <w:tcBorders>
              <w:top w:val="nil"/>
              <w:left w:val="nil"/>
              <w:bottom w:val="single" w:color="auto" w:sz="4" w:space="0"/>
              <w:right w:val="single" w:color="auto" w:sz="4" w:space="0"/>
            </w:tcBorders>
            <w:shd w:val="clear" w:color="auto" w:fill="auto"/>
            <w:vAlign w:val="center"/>
          </w:tcPr>
          <w:p w14:paraId="590CC8DD">
            <w:pPr>
              <w:widowControl/>
              <w:jc w:val="center"/>
              <w:rPr>
                <w:rFonts w:ascii="宋体" w:hAnsi="宋体" w:cs="宋体"/>
                <w:color w:val="000000"/>
                <w:sz w:val="24"/>
              </w:rPr>
            </w:pPr>
            <w:r>
              <w:rPr>
                <w:rFonts w:hint="eastAsia" w:ascii="宋体" w:hAnsi="宋体" w:cs="宋体"/>
                <w:color w:val="000000"/>
                <w:sz w:val="24"/>
              </w:rPr>
              <w:t>x86 物理服务器配置3：8 路16核（主频≥2.0Ghz），256G内存 ，2 块600 SAS 硬盘,2 个HBA 卡，2 个万兆端口</w:t>
            </w:r>
          </w:p>
        </w:tc>
        <w:tc>
          <w:tcPr>
            <w:tcW w:w="938" w:type="dxa"/>
            <w:tcBorders>
              <w:top w:val="nil"/>
              <w:left w:val="nil"/>
              <w:bottom w:val="single" w:color="auto" w:sz="4" w:space="0"/>
              <w:right w:val="single" w:color="auto" w:sz="4" w:space="0"/>
            </w:tcBorders>
            <w:shd w:val="clear" w:color="auto" w:fill="auto"/>
            <w:noWrap/>
            <w:vAlign w:val="center"/>
          </w:tcPr>
          <w:p w14:paraId="343C6250">
            <w:pPr>
              <w:widowControl/>
              <w:jc w:val="center"/>
              <w:rPr>
                <w:rFonts w:ascii="宋体" w:hAnsi="宋体" w:cs="宋体"/>
                <w:color w:val="000000"/>
                <w:sz w:val="24"/>
              </w:rPr>
            </w:pPr>
            <w:r>
              <w:rPr>
                <w:rFonts w:hint="eastAsia" w:ascii="宋体" w:hAnsi="宋体" w:cs="宋体"/>
                <w:color w:val="000000"/>
                <w:sz w:val="24"/>
              </w:rPr>
              <w:t>元/台/月</w:t>
            </w:r>
          </w:p>
        </w:tc>
        <w:tc>
          <w:tcPr>
            <w:tcW w:w="1056" w:type="dxa"/>
            <w:tcBorders>
              <w:top w:val="nil"/>
              <w:left w:val="nil"/>
              <w:bottom w:val="single" w:color="auto" w:sz="4" w:space="0"/>
              <w:right w:val="single" w:color="auto" w:sz="4" w:space="0"/>
            </w:tcBorders>
            <w:shd w:val="clear" w:color="auto" w:fill="auto"/>
            <w:noWrap/>
            <w:vAlign w:val="center"/>
          </w:tcPr>
          <w:p w14:paraId="0B7FA5AC">
            <w:pPr>
              <w:widowControl/>
              <w:jc w:val="center"/>
              <w:rPr>
                <w:rFonts w:ascii="宋体" w:hAnsi="宋体" w:cs="宋体"/>
                <w:color w:val="000000"/>
                <w:sz w:val="24"/>
              </w:rPr>
            </w:pPr>
            <w:r>
              <w:rPr>
                <w:rFonts w:hint="eastAsia" w:ascii="宋体" w:hAnsi="宋体" w:cs="宋体"/>
                <w:color w:val="000000"/>
                <w:sz w:val="24"/>
              </w:rPr>
              <w:t>9</w:t>
            </w:r>
          </w:p>
        </w:tc>
        <w:tc>
          <w:tcPr>
            <w:tcW w:w="936" w:type="dxa"/>
            <w:tcBorders>
              <w:top w:val="nil"/>
              <w:left w:val="nil"/>
              <w:bottom w:val="single" w:color="auto" w:sz="4" w:space="0"/>
              <w:right w:val="single" w:color="auto" w:sz="4" w:space="0"/>
            </w:tcBorders>
            <w:shd w:val="clear" w:color="auto" w:fill="auto"/>
            <w:noWrap/>
            <w:vAlign w:val="center"/>
          </w:tcPr>
          <w:p w14:paraId="3E317170">
            <w:pPr>
              <w:widowControl/>
              <w:jc w:val="center"/>
              <w:rPr>
                <w:rFonts w:ascii="宋体" w:hAnsi="宋体" w:cs="宋体"/>
                <w:color w:val="000000"/>
                <w:sz w:val="24"/>
              </w:rPr>
            </w:pPr>
            <w:r>
              <w:rPr>
                <w:rFonts w:hint="eastAsia" w:ascii="宋体" w:hAnsi="宋体" w:cs="宋体"/>
                <w:color w:val="000000"/>
                <w:sz w:val="24"/>
              </w:rPr>
              <w:t>12</w:t>
            </w:r>
          </w:p>
        </w:tc>
      </w:tr>
      <w:tr w14:paraId="587ABD6F">
        <w:tblPrEx>
          <w:tblCellMar>
            <w:top w:w="0" w:type="dxa"/>
            <w:left w:w="108" w:type="dxa"/>
            <w:bottom w:w="0" w:type="dxa"/>
            <w:right w:w="108" w:type="dxa"/>
          </w:tblCellMar>
        </w:tblPrEx>
        <w:trPr>
          <w:trHeight w:val="540" w:hRule="atLeast"/>
        </w:trPr>
        <w:tc>
          <w:tcPr>
            <w:tcW w:w="696" w:type="dxa"/>
            <w:tcBorders>
              <w:top w:val="nil"/>
              <w:left w:val="single" w:color="auto" w:sz="4" w:space="0"/>
              <w:bottom w:val="single" w:color="auto" w:sz="4" w:space="0"/>
              <w:right w:val="single" w:color="auto" w:sz="4" w:space="0"/>
            </w:tcBorders>
            <w:shd w:val="clear" w:color="auto" w:fill="auto"/>
            <w:noWrap/>
            <w:vAlign w:val="center"/>
          </w:tcPr>
          <w:p w14:paraId="5221767A">
            <w:pPr>
              <w:widowControl/>
              <w:jc w:val="center"/>
              <w:rPr>
                <w:rFonts w:ascii="宋体" w:hAnsi="宋体" w:cs="宋体"/>
                <w:color w:val="000000"/>
                <w:sz w:val="24"/>
              </w:rPr>
            </w:pPr>
            <w:r>
              <w:rPr>
                <w:rFonts w:hint="eastAsia" w:ascii="宋体" w:hAnsi="宋体" w:cs="宋体"/>
                <w:color w:val="000000"/>
                <w:sz w:val="24"/>
              </w:rPr>
              <w:t>5</w:t>
            </w:r>
          </w:p>
        </w:tc>
        <w:tc>
          <w:tcPr>
            <w:tcW w:w="456" w:type="dxa"/>
            <w:vMerge w:val="restart"/>
            <w:tcBorders>
              <w:top w:val="nil"/>
              <w:left w:val="single" w:color="auto" w:sz="4" w:space="0"/>
              <w:bottom w:val="single" w:color="auto" w:sz="4" w:space="0"/>
              <w:right w:val="single" w:color="auto" w:sz="4" w:space="0"/>
            </w:tcBorders>
            <w:shd w:val="clear" w:color="auto" w:fill="auto"/>
            <w:vAlign w:val="center"/>
          </w:tcPr>
          <w:p w14:paraId="721D8382">
            <w:pPr>
              <w:widowControl/>
              <w:jc w:val="center"/>
              <w:rPr>
                <w:rFonts w:ascii="宋体" w:hAnsi="宋体" w:cs="宋体"/>
                <w:color w:val="000000"/>
                <w:sz w:val="24"/>
              </w:rPr>
            </w:pPr>
            <w:r>
              <w:rPr>
                <w:rFonts w:hint="eastAsia" w:ascii="宋体" w:hAnsi="宋体" w:cs="宋体"/>
                <w:color w:val="000000"/>
                <w:sz w:val="24"/>
              </w:rPr>
              <w:t>存储服务</w:t>
            </w:r>
          </w:p>
        </w:tc>
        <w:tc>
          <w:tcPr>
            <w:tcW w:w="1465" w:type="dxa"/>
            <w:tcBorders>
              <w:top w:val="nil"/>
              <w:left w:val="nil"/>
              <w:bottom w:val="single" w:color="auto" w:sz="4" w:space="0"/>
              <w:right w:val="single" w:color="auto" w:sz="4" w:space="0"/>
            </w:tcBorders>
            <w:shd w:val="clear" w:color="auto" w:fill="auto"/>
            <w:vAlign w:val="center"/>
          </w:tcPr>
          <w:p w14:paraId="7475DC49">
            <w:pPr>
              <w:widowControl/>
              <w:jc w:val="center"/>
              <w:rPr>
                <w:rFonts w:ascii="宋体" w:hAnsi="宋体" w:cs="宋体"/>
                <w:color w:val="000000"/>
                <w:sz w:val="24"/>
              </w:rPr>
            </w:pPr>
            <w:r>
              <w:rPr>
                <w:rFonts w:hint="eastAsia" w:ascii="宋体" w:hAnsi="宋体" w:cs="宋体"/>
                <w:color w:val="000000"/>
                <w:sz w:val="24"/>
              </w:rPr>
              <w:t>普通性能存储</w:t>
            </w:r>
          </w:p>
        </w:tc>
        <w:tc>
          <w:tcPr>
            <w:tcW w:w="2749" w:type="dxa"/>
            <w:tcBorders>
              <w:top w:val="nil"/>
              <w:left w:val="nil"/>
              <w:bottom w:val="single" w:color="auto" w:sz="4" w:space="0"/>
              <w:right w:val="single" w:color="auto" w:sz="4" w:space="0"/>
            </w:tcBorders>
            <w:shd w:val="clear" w:color="auto" w:fill="auto"/>
            <w:vAlign w:val="center"/>
          </w:tcPr>
          <w:p w14:paraId="3442109C">
            <w:pPr>
              <w:widowControl/>
              <w:jc w:val="center"/>
              <w:rPr>
                <w:rFonts w:ascii="宋体" w:hAnsi="宋体" w:cs="宋体"/>
                <w:color w:val="000000"/>
                <w:sz w:val="24"/>
              </w:rPr>
            </w:pPr>
            <w:r>
              <w:rPr>
                <w:rFonts w:hint="eastAsia" w:ascii="宋体" w:hAnsi="宋体" w:cs="宋体"/>
                <w:color w:val="000000"/>
                <w:sz w:val="24"/>
              </w:rPr>
              <w:t>普通存储(单盘技术指标:单盘IOPS 2000-5000)）</w:t>
            </w:r>
          </w:p>
        </w:tc>
        <w:tc>
          <w:tcPr>
            <w:tcW w:w="938" w:type="dxa"/>
            <w:tcBorders>
              <w:top w:val="nil"/>
              <w:left w:val="nil"/>
              <w:bottom w:val="single" w:color="auto" w:sz="4" w:space="0"/>
              <w:right w:val="single" w:color="auto" w:sz="4" w:space="0"/>
            </w:tcBorders>
            <w:shd w:val="clear" w:color="auto" w:fill="auto"/>
            <w:noWrap/>
            <w:vAlign w:val="center"/>
          </w:tcPr>
          <w:p w14:paraId="788429B4">
            <w:pPr>
              <w:widowControl/>
              <w:jc w:val="center"/>
              <w:rPr>
                <w:rFonts w:ascii="宋体" w:hAnsi="宋体" w:cs="宋体"/>
                <w:color w:val="000000"/>
                <w:sz w:val="24"/>
              </w:rPr>
            </w:pPr>
            <w:r>
              <w:rPr>
                <w:rFonts w:hint="eastAsia" w:ascii="宋体" w:hAnsi="宋体" w:cs="宋体"/>
                <w:color w:val="000000"/>
                <w:sz w:val="24"/>
              </w:rPr>
              <w:t>元/GB/月</w:t>
            </w:r>
          </w:p>
        </w:tc>
        <w:tc>
          <w:tcPr>
            <w:tcW w:w="1056" w:type="dxa"/>
            <w:tcBorders>
              <w:top w:val="nil"/>
              <w:left w:val="nil"/>
              <w:bottom w:val="single" w:color="auto" w:sz="4" w:space="0"/>
              <w:right w:val="single" w:color="auto" w:sz="4" w:space="0"/>
            </w:tcBorders>
            <w:shd w:val="clear" w:color="auto" w:fill="auto"/>
            <w:noWrap/>
            <w:vAlign w:val="center"/>
          </w:tcPr>
          <w:p w14:paraId="3D8A2CE5">
            <w:pPr>
              <w:widowControl/>
              <w:jc w:val="center"/>
              <w:rPr>
                <w:rFonts w:ascii="宋体" w:hAnsi="宋体" w:cs="宋体"/>
                <w:color w:val="000000"/>
                <w:sz w:val="24"/>
              </w:rPr>
            </w:pPr>
            <w:r>
              <w:rPr>
                <w:rFonts w:hint="eastAsia" w:ascii="宋体" w:hAnsi="宋体" w:cs="宋体"/>
                <w:color w:val="000000"/>
                <w:sz w:val="24"/>
              </w:rPr>
              <w:t>1085994</w:t>
            </w:r>
          </w:p>
        </w:tc>
        <w:tc>
          <w:tcPr>
            <w:tcW w:w="936" w:type="dxa"/>
            <w:tcBorders>
              <w:top w:val="nil"/>
              <w:left w:val="nil"/>
              <w:bottom w:val="single" w:color="auto" w:sz="4" w:space="0"/>
              <w:right w:val="single" w:color="auto" w:sz="4" w:space="0"/>
            </w:tcBorders>
            <w:shd w:val="clear" w:color="auto" w:fill="auto"/>
            <w:noWrap/>
            <w:vAlign w:val="center"/>
          </w:tcPr>
          <w:p w14:paraId="28F4B05A">
            <w:pPr>
              <w:widowControl/>
              <w:jc w:val="center"/>
              <w:rPr>
                <w:rFonts w:ascii="宋体" w:hAnsi="宋体" w:cs="宋体"/>
                <w:color w:val="000000"/>
                <w:sz w:val="24"/>
              </w:rPr>
            </w:pPr>
            <w:r>
              <w:rPr>
                <w:rFonts w:hint="eastAsia" w:ascii="宋体" w:hAnsi="宋体" w:cs="宋体"/>
                <w:color w:val="000000"/>
                <w:sz w:val="24"/>
              </w:rPr>
              <w:t>12</w:t>
            </w:r>
          </w:p>
        </w:tc>
      </w:tr>
      <w:tr w14:paraId="4B0234B2">
        <w:tblPrEx>
          <w:tblCellMar>
            <w:top w:w="0" w:type="dxa"/>
            <w:left w:w="108" w:type="dxa"/>
            <w:bottom w:w="0" w:type="dxa"/>
            <w:right w:w="108" w:type="dxa"/>
          </w:tblCellMar>
        </w:tblPrEx>
        <w:trPr>
          <w:trHeight w:val="540" w:hRule="atLeast"/>
        </w:trPr>
        <w:tc>
          <w:tcPr>
            <w:tcW w:w="696" w:type="dxa"/>
            <w:tcBorders>
              <w:top w:val="nil"/>
              <w:left w:val="single" w:color="auto" w:sz="4" w:space="0"/>
              <w:bottom w:val="single" w:color="auto" w:sz="4" w:space="0"/>
              <w:right w:val="single" w:color="auto" w:sz="4" w:space="0"/>
            </w:tcBorders>
            <w:shd w:val="clear" w:color="auto" w:fill="auto"/>
            <w:noWrap/>
            <w:vAlign w:val="center"/>
          </w:tcPr>
          <w:p w14:paraId="16A3E988">
            <w:pPr>
              <w:widowControl/>
              <w:jc w:val="center"/>
              <w:rPr>
                <w:rFonts w:ascii="宋体" w:hAnsi="宋体" w:cs="宋体"/>
                <w:color w:val="000000"/>
                <w:sz w:val="24"/>
              </w:rPr>
            </w:pPr>
            <w:r>
              <w:rPr>
                <w:rFonts w:hint="eastAsia" w:ascii="宋体" w:hAnsi="宋体" w:cs="宋体"/>
                <w:color w:val="000000"/>
                <w:sz w:val="24"/>
              </w:rPr>
              <w:t>6</w:t>
            </w:r>
          </w:p>
        </w:tc>
        <w:tc>
          <w:tcPr>
            <w:tcW w:w="456" w:type="dxa"/>
            <w:vMerge w:val="continue"/>
            <w:tcBorders>
              <w:top w:val="nil"/>
              <w:left w:val="single" w:color="auto" w:sz="4" w:space="0"/>
              <w:bottom w:val="single" w:color="auto" w:sz="4" w:space="0"/>
              <w:right w:val="single" w:color="auto" w:sz="4" w:space="0"/>
            </w:tcBorders>
            <w:vAlign w:val="center"/>
          </w:tcPr>
          <w:p w14:paraId="0997BAEA">
            <w:pPr>
              <w:widowControl/>
              <w:rPr>
                <w:rFonts w:ascii="宋体" w:hAnsi="宋体" w:cs="宋体"/>
                <w:color w:val="000000"/>
                <w:sz w:val="24"/>
              </w:rPr>
            </w:pPr>
          </w:p>
        </w:tc>
        <w:tc>
          <w:tcPr>
            <w:tcW w:w="1465" w:type="dxa"/>
            <w:tcBorders>
              <w:top w:val="nil"/>
              <w:left w:val="nil"/>
              <w:bottom w:val="single" w:color="auto" w:sz="4" w:space="0"/>
              <w:right w:val="single" w:color="auto" w:sz="4" w:space="0"/>
            </w:tcBorders>
            <w:shd w:val="clear" w:color="auto" w:fill="auto"/>
            <w:vAlign w:val="center"/>
          </w:tcPr>
          <w:p w14:paraId="0E9227E3">
            <w:pPr>
              <w:widowControl/>
              <w:jc w:val="center"/>
              <w:rPr>
                <w:rFonts w:ascii="宋体" w:hAnsi="宋体" w:cs="宋体"/>
                <w:color w:val="000000"/>
                <w:sz w:val="24"/>
              </w:rPr>
            </w:pPr>
            <w:r>
              <w:rPr>
                <w:rFonts w:hint="eastAsia" w:ascii="宋体" w:hAnsi="宋体" w:cs="宋体"/>
                <w:color w:val="000000"/>
                <w:sz w:val="24"/>
              </w:rPr>
              <w:t>高性能存储</w:t>
            </w:r>
          </w:p>
        </w:tc>
        <w:tc>
          <w:tcPr>
            <w:tcW w:w="2749" w:type="dxa"/>
            <w:tcBorders>
              <w:top w:val="nil"/>
              <w:left w:val="nil"/>
              <w:bottom w:val="single" w:color="auto" w:sz="4" w:space="0"/>
              <w:right w:val="single" w:color="auto" w:sz="4" w:space="0"/>
            </w:tcBorders>
            <w:shd w:val="clear" w:color="auto" w:fill="auto"/>
            <w:vAlign w:val="center"/>
          </w:tcPr>
          <w:p w14:paraId="7180C83C">
            <w:pPr>
              <w:widowControl/>
              <w:jc w:val="center"/>
              <w:rPr>
                <w:rFonts w:ascii="宋体" w:hAnsi="宋体" w:cs="宋体"/>
                <w:color w:val="000000"/>
                <w:sz w:val="24"/>
              </w:rPr>
            </w:pPr>
            <w:r>
              <w:rPr>
                <w:rFonts w:hint="eastAsia" w:ascii="宋体" w:hAnsi="宋体" w:cs="宋体"/>
                <w:color w:val="000000"/>
                <w:sz w:val="24"/>
              </w:rPr>
              <w:t>高性能存储(单盘技术指标：单盘IOPS 10000-25000)</w:t>
            </w:r>
          </w:p>
        </w:tc>
        <w:tc>
          <w:tcPr>
            <w:tcW w:w="938" w:type="dxa"/>
            <w:tcBorders>
              <w:top w:val="nil"/>
              <w:left w:val="nil"/>
              <w:bottom w:val="single" w:color="auto" w:sz="4" w:space="0"/>
              <w:right w:val="single" w:color="auto" w:sz="4" w:space="0"/>
            </w:tcBorders>
            <w:shd w:val="clear" w:color="auto" w:fill="auto"/>
            <w:noWrap/>
            <w:vAlign w:val="center"/>
          </w:tcPr>
          <w:p w14:paraId="57912028">
            <w:pPr>
              <w:widowControl/>
              <w:jc w:val="center"/>
              <w:rPr>
                <w:rFonts w:ascii="宋体" w:hAnsi="宋体" w:cs="宋体"/>
                <w:color w:val="000000"/>
                <w:sz w:val="24"/>
              </w:rPr>
            </w:pPr>
            <w:r>
              <w:rPr>
                <w:rFonts w:hint="eastAsia" w:ascii="宋体" w:hAnsi="宋体" w:cs="宋体"/>
                <w:color w:val="000000"/>
                <w:sz w:val="24"/>
              </w:rPr>
              <w:t>元/GB/月</w:t>
            </w:r>
          </w:p>
        </w:tc>
        <w:tc>
          <w:tcPr>
            <w:tcW w:w="1056" w:type="dxa"/>
            <w:tcBorders>
              <w:top w:val="nil"/>
              <w:left w:val="nil"/>
              <w:bottom w:val="single" w:color="auto" w:sz="4" w:space="0"/>
              <w:right w:val="single" w:color="auto" w:sz="4" w:space="0"/>
            </w:tcBorders>
            <w:shd w:val="clear" w:color="auto" w:fill="auto"/>
            <w:noWrap/>
            <w:vAlign w:val="center"/>
          </w:tcPr>
          <w:p w14:paraId="3D106C48">
            <w:pPr>
              <w:widowControl/>
              <w:jc w:val="center"/>
              <w:rPr>
                <w:rFonts w:ascii="宋体" w:hAnsi="宋体" w:cs="宋体"/>
                <w:color w:val="000000"/>
                <w:sz w:val="24"/>
              </w:rPr>
            </w:pPr>
            <w:r>
              <w:rPr>
                <w:rFonts w:hint="eastAsia" w:ascii="宋体" w:hAnsi="宋体" w:cs="宋体"/>
                <w:color w:val="000000"/>
                <w:sz w:val="24"/>
              </w:rPr>
              <w:t>293086</w:t>
            </w:r>
          </w:p>
        </w:tc>
        <w:tc>
          <w:tcPr>
            <w:tcW w:w="936" w:type="dxa"/>
            <w:tcBorders>
              <w:top w:val="nil"/>
              <w:left w:val="nil"/>
              <w:bottom w:val="single" w:color="auto" w:sz="4" w:space="0"/>
              <w:right w:val="single" w:color="auto" w:sz="4" w:space="0"/>
            </w:tcBorders>
            <w:shd w:val="clear" w:color="auto" w:fill="auto"/>
            <w:noWrap/>
            <w:vAlign w:val="center"/>
          </w:tcPr>
          <w:p w14:paraId="455D0A91">
            <w:pPr>
              <w:widowControl/>
              <w:jc w:val="center"/>
              <w:rPr>
                <w:rFonts w:ascii="宋体" w:hAnsi="宋体" w:cs="宋体"/>
                <w:color w:val="000000"/>
                <w:sz w:val="24"/>
              </w:rPr>
            </w:pPr>
            <w:r>
              <w:rPr>
                <w:rFonts w:hint="eastAsia" w:ascii="宋体" w:hAnsi="宋体" w:cs="宋体"/>
                <w:color w:val="000000"/>
                <w:sz w:val="24"/>
              </w:rPr>
              <w:t>12</w:t>
            </w:r>
          </w:p>
        </w:tc>
      </w:tr>
      <w:tr w14:paraId="748F6328">
        <w:tblPrEx>
          <w:tblCellMar>
            <w:top w:w="0" w:type="dxa"/>
            <w:left w:w="108" w:type="dxa"/>
            <w:bottom w:w="0" w:type="dxa"/>
            <w:right w:w="108" w:type="dxa"/>
          </w:tblCellMar>
        </w:tblPrEx>
        <w:trPr>
          <w:trHeight w:val="540" w:hRule="atLeast"/>
        </w:trPr>
        <w:tc>
          <w:tcPr>
            <w:tcW w:w="696" w:type="dxa"/>
            <w:tcBorders>
              <w:top w:val="nil"/>
              <w:left w:val="single" w:color="auto" w:sz="4" w:space="0"/>
              <w:bottom w:val="single" w:color="auto" w:sz="4" w:space="0"/>
              <w:right w:val="single" w:color="auto" w:sz="4" w:space="0"/>
            </w:tcBorders>
            <w:shd w:val="clear" w:color="auto" w:fill="auto"/>
            <w:noWrap/>
            <w:vAlign w:val="center"/>
          </w:tcPr>
          <w:p w14:paraId="767094D1">
            <w:pPr>
              <w:widowControl/>
              <w:jc w:val="center"/>
              <w:rPr>
                <w:rFonts w:ascii="宋体" w:hAnsi="宋体" w:cs="宋体"/>
                <w:color w:val="000000"/>
                <w:sz w:val="24"/>
              </w:rPr>
            </w:pPr>
            <w:r>
              <w:rPr>
                <w:rFonts w:hint="eastAsia" w:ascii="宋体" w:hAnsi="宋体" w:cs="宋体"/>
                <w:color w:val="000000"/>
                <w:sz w:val="24"/>
              </w:rPr>
              <w:t>7</w:t>
            </w:r>
          </w:p>
        </w:tc>
        <w:tc>
          <w:tcPr>
            <w:tcW w:w="456" w:type="dxa"/>
            <w:vMerge w:val="continue"/>
            <w:tcBorders>
              <w:top w:val="nil"/>
              <w:left w:val="single" w:color="auto" w:sz="4" w:space="0"/>
              <w:bottom w:val="single" w:color="auto" w:sz="4" w:space="0"/>
              <w:right w:val="single" w:color="auto" w:sz="4" w:space="0"/>
            </w:tcBorders>
            <w:vAlign w:val="center"/>
          </w:tcPr>
          <w:p w14:paraId="39E08A11">
            <w:pPr>
              <w:widowControl/>
              <w:rPr>
                <w:rFonts w:ascii="宋体" w:hAnsi="宋体" w:cs="宋体"/>
                <w:color w:val="000000"/>
                <w:sz w:val="24"/>
              </w:rPr>
            </w:pPr>
          </w:p>
        </w:tc>
        <w:tc>
          <w:tcPr>
            <w:tcW w:w="1465" w:type="dxa"/>
            <w:tcBorders>
              <w:top w:val="nil"/>
              <w:left w:val="nil"/>
              <w:bottom w:val="single" w:color="auto" w:sz="4" w:space="0"/>
              <w:right w:val="single" w:color="auto" w:sz="4" w:space="0"/>
            </w:tcBorders>
            <w:shd w:val="clear" w:color="auto" w:fill="auto"/>
            <w:vAlign w:val="center"/>
          </w:tcPr>
          <w:p w14:paraId="038A0B49">
            <w:pPr>
              <w:widowControl/>
              <w:jc w:val="center"/>
              <w:rPr>
                <w:rFonts w:ascii="宋体" w:hAnsi="宋体" w:cs="宋体"/>
                <w:color w:val="000000"/>
                <w:sz w:val="24"/>
              </w:rPr>
            </w:pPr>
            <w:r>
              <w:rPr>
                <w:rFonts w:hint="eastAsia" w:ascii="宋体" w:hAnsi="宋体" w:cs="宋体"/>
                <w:color w:val="000000"/>
                <w:sz w:val="24"/>
              </w:rPr>
              <w:t>静态存储</w:t>
            </w:r>
          </w:p>
        </w:tc>
        <w:tc>
          <w:tcPr>
            <w:tcW w:w="2749" w:type="dxa"/>
            <w:tcBorders>
              <w:top w:val="nil"/>
              <w:left w:val="nil"/>
              <w:bottom w:val="single" w:color="auto" w:sz="4" w:space="0"/>
              <w:right w:val="single" w:color="auto" w:sz="4" w:space="0"/>
            </w:tcBorders>
            <w:shd w:val="clear" w:color="auto" w:fill="auto"/>
            <w:vAlign w:val="center"/>
          </w:tcPr>
          <w:p w14:paraId="47A4F4FB">
            <w:pPr>
              <w:widowControl/>
              <w:jc w:val="center"/>
              <w:rPr>
                <w:rFonts w:ascii="宋体" w:hAnsi="宋体" w:cs="宋体"/>
                <w:color w:val="000000"/>
                <w:sz w:val="24"/>
              </w:rPr>
            </w:pPr>
            <w:r>
              <w:rPr>
                <w:rFonts w:hint="eastAsia" w:ascii="宋体" w:hAnsi="宋体" w:cs="宋体"/>
                <w:color w:val="000000"/>
                <w:sz w:val="24"/>
              </w:rPr>
              <w:t>大容量、高可靠的数据存储服务，具备PB级线性扩展能力</w:t>
            </w:r>
          </w:p>
        </w:tc>
        <w:tc>
          <w:tcPr>
            <w:tcW w:w="938" w:type="dxa"/>
            <w:tcBorders>
              <w:top w:val="nil"/>
              <w:left w:val="nil"/>
              <w:bottom w:val="single" w:color="auto" w:sz="4" w:space="0"/>
              <w:right w:val="single" w:color="auto" w:sz="4" w:space="0"/>
            </w:tcBorders>
            <w:shd w:val="clear" w:color="auto" w:fill="auto"/>
            <w:noWrap/>
            <w:vAlign w:val="center"/>
          </w:tcPr>
          <w:p w14:paraId="58FC08FE">
            <w:pPr>
              <w:widowControl/>
              <w:jc w:val="center"/>
              <w:rPr>
                <w:rFonts w:ascii="宋体" w:hAnsi="宋体" w:cs="宋体"/>
                <w:color w:val="000000"/>
                <w:sz w:val="24"/>
              </w:rPr>
            </w:pPr>
            <w:r>
              <w:rPr>
                <w:rFonts w:hint="eastAsia" w:ascii="宋体" w:hAnsi="宋体" w:cs="宋体"/>
                <w:color w:val="000000"/>
                <w:sz w:val="24"/>
              </w:rPr>
              <w:t>元/GB/月</w:t>
            </w:r>
          </w:p>
        </w:tc>
        <w:tc>
          <w:tcPr>
            <w:tcW w:w="1056" w:type="dxa"/>
            <w:tcBorders>
              <w:top w:val="nil"/>
              <w:left w:val="nil"/>
              <w:bottom w:val="single" w:color="auto" w:sz="4" w:space="0"/>
              <w:right w:val="single" w:color="auto" w:sz="4" w:space="0"/>
            </w:tcBorders>
            <w:shd w:val="clear" w:color="auto" w:fill="auto"/>
            <w:noWrap/>
            <w:vAlign w:val="center"/>
          </w:tcPr>
          <w:p w14:paraId="151CED45">
            <w:pPr>
              <w:widowControl/>
              <w:jc w:val="center"/>
              <w:rPr>
                <w:rFonts w:ascii="宋体" w:hAnsi="宋体" w:cs="宋体"/>
                <w:color w:val="000000"/>
                <w:sz w:val="24"/>
              </w:rPr>
            </w:pPr>
            <w:r>
              <w:rPr>
                <w:rFonts w:hint="eastAsia" w:ascii="宋体" w:hAnsi="宋体" w:cs="宋体"/>
                <w:color w:val="000000"/>
                <w:sz w:val="24"/>
              </w:rPr>
              <w:t>10000</w:t>
            </w:r>
          </w:p>
        </w:tc>
        <w:tc>
          <w:tcPr>
            <w:tcW w:w="936" w:type="dxa"/>
            <w:tcBorders>
              <w:top w:val="nil"/>
              <w:left w:val="nil"/>
              <w:bottom w:val="single" w:color="auto" w:sz="4" w:space="0"/>
              <w:right w:val="single" w:color="auto" w:sz="4" w:space="0"/>
            </w:tcBorders>
            <w:shd w:val="clear" w:color="auto" w:fill="auto"/>
            <w:noWrap/>
            <w:vAlign w:val="center"/>
          </w:tcPr>
          <w:p w14:paraId="59B67E1D">
            <w:pPr>
              <w:widowControl/>
              <w:jc w:val="center"/>
              <w:rPr>
                <w:rFonts w:ascii="宋体" w:hAnsi="宋体" w:cs="宋体"/>
                <w:color w:val="000000"/>
                <w:sz w:val="24"/>
              </w:rPr>
            </w:pPr>
            <w:r>
              <w:rPr>
                <w:rFonts w:hint="eastAsia" w:ascii="宋体" w:hAnsi="宋体" w:cs="宋体"/>
                <w:color w:val="000000"/>
                <w:sz w:val="24"/>
              </w:rPr>
              <w:t>12</w:t>
            </w:r>
          </w:p>
        </w:tc>
      </w:tr>
      <w:tr w14:paraId="5F5B2773">
        <w:tblPrEx>
          <w:tblCellMar>
            <w:top w:w="0" w:type="dxa"/>
            <w:left w:w="108" w:type="dxa"/>
            <w:bottom w:w="0" w:type="dxa"/>
            <w:right w:w="108" w:type="dxa"/>
          </w:tblCellMar>
        </w:tblPrEx>
        <w:trPr>
          <w:trHeight w:val="540" w:hRule="atLeast"/>
        </w:trPr>
        <w:tc>
          <w:tcPr>
            <w:tcW w:w="696" w:type="dxa"/>
            <w:tcBorders>
              <w:top w:val="nil"/>
              <w:left w:val="single" w:color="auto" w:sz="4" w:space="0"/>
              <w:bottom w:val="single" w:color="auto" w:sz="4" w:space="0"/>
              <w:right w:val="single" w:color="auto" w:sz="4" w:space="0"/>
            </w:tcBorders>
            <w:shd w:val="clear" w:color="auto" w:fill="auto"/>
            <w:noWrap/>
            <w:vAlign w:val="center"/>
          </w:tcPr>
          <w:p w14:paraId="3D7063F5">
            <w:pPr>
              <w:widowControl/>
              <w:jc w:val="center"/>
              <w:rPr>
                <w:rFonts w:ascii="宋体" w:hAnsi="宋体" w:cs="宋体"/>
                <w:color w:val="000000"/>
                <w:sz w:val="24"/>
              </w:rPr>
            </w:pPr>
            <w:r>
              <w:rPr>
                <w:rFonts w:hint="eastAsia" w:ascii="宋体" w:hAnsi="宋体" w:cs="宋体"/>
                <w:color w:val="000000"/>
                <w:sz w:val="24"/>
              </w:rPr>
              <w:t>8</w:t>
            </w:r>
          </w:p>
        </w:tc>
        <w:tc>
          <w:tcPr>
            <w:tcW w:w="456" w:type="dxa"/>
            <w:vMerge w:val="restart"/>
            <w:tcBorders>
              <w:top w:val="nil"/>
              <w:left w:val="single" w:color="auto" w:sz="4" w:space="0"/>
              <w:bottom w:val="single" w:color="auto" w:sz="4" w:space="0"/>
              <w:right w:val="single" w:color="auto" w:sz="4" w:space="0"/>
            </w:tcBorders>
            <w:shd w:val="clear" w:color="auto" w:fill="auto"/>
            <w:vAlign w:val="center"/>
          </w:tcPr>
          <w:p w14:paraId="09DAA5DB">
            <w:pPr>
              <w:widowControl/>
              <w:jc w:val="center"/>
              <w:rPr>
                <w:rFonts w:ascii="宋体" w:hAnsi="宋体" w:cs="宋体"/>
                <w:color w:val="000000"/>
                <w:sz w:val="24"/>
              </w:rPr>
            </w:pPr>
            <w:r>
              <w:rPr>
                <w:rFonts w:hint="eastAsia" w:ascii="宋体" w:hAnsi="宋体" w:cs="宋体"/>
                <w:color w:val="000000"/>
                <w:sz w:val="24"/>
              </w:rPr>
              <w:t>网络服务</w:t>
            </w:r>
          </w:p>
        </w:tc>
        <w:tc>
          <w:tcPr>
            <w:tcW w:w="1465" w:type="dxa"/>
            <w:tcBorders>
              <w:top w:val="nil"/>
              <w:left w:val="nil"/>
              <w:bottom w:val="single" w:color="auto" w:sz="4" w:space="0"/>
              <w:right w:val="single" w:color="auto" w:sz="4" w:space="0"/>
            </w:tcBorders>
            <w:shd w:val="clear" w:color="auto" w:fill="auto"/>
            <w:vAlign w:val="center"/>
          </w:tcPr>
          <w:p w14:paraId="798A4D30">
            <w:pPr>
              <w:widowControl/>
              <w:jc w:val="center"/>
              <w:rPr>
                <w:rFonts w:ascii="宋体" w:hAnsi="宋体" w:cs="宋体"/>
                <w:color w:val="000000"/>
                <w:sz w:val="24"/>
              </w:rPr>
            </w:pPr>
            <w:r>
              <w:rPr>
                <w:rFonts w:hint="eastAsia" w:ascii="宋体" w:hAnsi="宋体" w:cs="宋体"/>
                <w:color w:val="000000"/>
                <w:sz w:val="24"/>
              </w:rPr>
              <w:t>互联网链路服务</w:t>
            </w:r>
          </w:p>
        </w:tc>
        <w:tc>
          <w:tcPr>
            <w:tcW w:w="2749" w:type="dxa"/>
            <w:tcBorders>
              <w:top w:val="nil"/>
              <w:left w:val="nil"/>
              <w:bottom w:val="single" w:color="auto" w:sz="4" w:space="0"/>
              <w:right w:val="single" w:color="auto" w:sz="4" w:space="0"/>
            </w:tcBorders>
            <w:shd w:val="clear" w:color="auto" w:fill="auto"/>
            <w:vAlign w:val="center"/>
          </w:tcPr>
          <w:p w14:paraId="4C590BF9">
            <w:pPr>
              <w:widowControl/>
              <w:jc w:val="center"/>
              <w:rPr>
                <w:rFonts w:ascii="宋体" w:hAnsi="宋体" w:cs="宋体"/>
                <w:color w:val="000000"/>
                <w:sz w:val="24"/>
              </w:rPr>
            </w:pPr>
            <w:r>
              <w:rPr>
                <w:rFonts w:hint="eastAsia" w:ascii="宋体" w:hAnsi="宋体" w:cs="宋体"/>
                <w:color w:val="000000"/>
                <w:sz w:val="24"/>
              </w:rPr>
              <w:t>互联网链路带宽</w:t>
            </w:r>
          </w:p>
        </w:tc>
        <w:tc>
          <w:tcPr>
            <w:tcW w:w="938" w:type="dxa"/>
            <w:tcBorders>
              <w:top w:val="nil"/>
              <w:left w:val="nil"/>
              <w:bottom w:val="single" w:color="auto" w:sz="4" w:space="0"/>
              <w:right w:val="single" w:color="auto" w:sz="4" w:space="0"/>
            </w:tcBorders>
            <w:shd w:val="clear" w:color="auto" w:fill="auto"/>
            <w:noWrap/>
            <w:vAlign w:val="center"/>
          </w:tcPr>
          <w:p w14:paraId="4AFDF3E1">
            <w:pPr>
              <w:widowControl/>
              <w:jc w:val="center"/>
              <w:rPr>
                <w:rFonts w:ascii="宋体" w:hAnsi="宋体" w:cs="宋体"/>
                <w:color w:val="000000"/>
                <w:sz w:val="24"/>
              </w:rPr>
            </w:pPr>
            <w:r>
              <w:rPr>
                <w:rFonts w:hint="eastAsia" w:ascii="宋体" w:hAnsi="宋体" w:cs="宋体"/>
                <w:color w:val="000000"/>
                <w:sz w:val="24"/>
              </w:rPr>
              <w:t>元/Mb/月</w:t>
            </w:r>
          </w:p>
        </w:tc>
        <w:tc>
          <w:tcPr>
            <w:tcW w:w="1056" w:type="dxa"/>
            <w:tcBorders>
              <w:top w:val="nil"/>
              <w:left w:val="nil"/>
              <w:bottom w:val="single" w:color="auto" w:sz="4" w:space="0"/>
              <w:right w:val="single" w:color="auto" w:sz="4" w:space="0"/>
            </w:tcBorders>
            <w:shd w:val="clear" w:color="auto" w:fill="auto"/>
            <w:noWrap/>
            <w:vAlign w:val="center"/>
          </w:tcPr>
          <w:p w14:paraId="7311BFF0">
            <w:pPr>
              <w:widowControl/>
              <w:jc w:val="center"/>
              <w:rPr>
                <w:rFonts w:ascii="宋体" w:hAnsi="宋体" w:cs="宋体"/>
                <w:color w:val="000000"/>
                <w:sz w:val="24"/>
              </w:rPr>
            </w:pPr>
            <w:r>
              <w:rPr>
                <w:rFonts w:hint="eastAsia" w:ascii="宋体" w:hAnsi="宋体" w:cs="宋体"/>
                <w:color w:val="000000"/>
                <w:sz w:val="24"/>
              </w:rPr>
              <w:t>400</w:t>
            </w:r>
          </w:p>
        </w:tc>
        <w:tc>
          <w:tcPr>
            <w:tcW w:w="936" w:type="dxa"/>
            <w:tcBorders>
              <w:top w:val="nil"/>
              <w:left w:val="nil"/>
              <w:bottom w:val="single" w:color="auto" w:sz="4" w:space="0"/>
              <w:right w:val="single" w:color="auto" w:sz="4" w:space="0"/>
            </w:tcBorders>
            <w:shd w:val="clear" w:color="auto" w:fill="auto"/>
            <w:noWrap/>
            <w:vAlign w:val="center"/>
          </w:tcPr>
          <w:p w14:paraId="226122B4">
            <w:pPr>
              <w:widowControl/>
              <w:jc w:val="center"/>
              <w:rPr>
                <w:rFonts w:ascii="宋体" w:hAnsi="宋体" w:cs="宋体"/>
                <w:color w:val="000000"/>
                <w:sz w:val="24"/>
              </w:rPr>
            </w:pPr>
            <w:r>
              <w:rPr>
                <w:rFonts w:hint="eastAsia" w:ascii="宋体" w:hAnsi="宋体" w:cs="宋体"/>
                <w:color w:val="000000"/>
                <w:sz w:val="24"/>
              </w:rPr>
              <w:t>12</w:t>
            </w:r>
          </w:p>
        </w:tc>
      </w:tr>
      <w:tr w14:paraId="217ED7E2">
        <w:tblPrEx>
          <w:tblCellMar>
            <w:top w:w="0" w:type="dxa"/>
            <w:left w:w="108" w:type="dxa"/>
            <w:bottom w:w="0" w:type="dxa"/>
            <w:right w:w="108" w:type="dxa"/>
          </w:tblCellMar>
        </w:tblPrEx>
        <w:trPr>
          <w:trHeight w:val="810" w:hRule="atLeast"/>
        </w:trPr>
        <w:tc>
          <w:tcPr>
            <w:tcW w:w="696" w:type="dxa"/>
            <w:tcBorders>
              <w:top w:val="nil"/>
              <w:left w:val="single" w:color="auto" w:sz="4" w:space="0"/>
              <w:bottom w:val="single" w:color="auto" w:sz="4" w:space="0"/>
              <w:right w:val="single" w:color="auto" w:sz="4" w:space="0"/>
            </w:tcBorders>
            <w:shd w:val="clear" w:color="auto" w:fill="auto"/>
            <w:noWrap/>
            <w:vAlign w:val="center"/>
          </w:tcPr>
          <w:p w14:paraId="7189FEE6">
            <w:pPr>
              <w:widowControl/>
              <w:jc w:val="center"/>
              <w:rPr>
                <w:rFonts w:ascii="宋体" w:hAnsi="宋体" w:cs="宋体"/>
                <w:color w:val="000000"/>
                <w:sz w:val="24"/>
              </w:rPr>
            </w:pPr>
            <w:r>
              <w:rPr>
                <w:rFonts w:hint="eastAsia" w:ascii="宋体" w:hAnsi="宋体" w:cs="宋体"/>
                <w:color w:val="000000"/>
                <w:sz w:val="24"/>
              </w:rPr>
              <w:t>9</w:t>
            </w:r>
          </w:p>
        </w:tc>
        <w:tc>
          <w:tcPr>
            <w:tcW w:w="456" w:type="dxa"/>
            <w:vMerge w:val="continue"/>
            <w:tcBorders>
              <w:top w:val="nil"/>
              <w:left w:val="single" w:color="auto" w:sz="4" w:space="0"/>
              <w:bottom w:val="single" w:color="auto" w:sz="4" w:space="0"/>
              <w:right w:val="single" w:color="auto" w:sz="4" w:space="0"/>
            </w:tcBorders>
            <w:vAlign w:val="center"/>
          </w:tcPr>
          <w:p w14:paraId="078962B2">
            <w:pPr>
              <w:widowControl/>
              <w:rPr>
                <w:rFonts w:ascii="宋体" w:hAnsi="宋体" w:cs="宋体"/>
                <w:color w:val="000000"/>
                <w:sz w:val="24"/>
              </w:rPr>
            </w:pPr>
          </w:p>
        </w:tc>
        <w:tc>
          <w:tcPr>
            <w:tcW w:w="1465" w:type="dxa"/>
            <w:tcBorders>
              <w:top w:val="nil"/>
              <w:left w:val="nil"/>
              <w:bottom w:val="single" w:color="auto" w:sz="4" w:space="0"/>
              <w:right w:val="single" w:color="auto" w:sz="4" w:space="0"/>
            </w:tcBorders>
            <w:shd w:val="clear" w:color="auto" w:fill="auto"/>
            <w:vAlign w:val="center"/>
          </w:tcPr>
          <w:p w14:paraId="6BFCAC6C">
            <w:pPr>
              <w:widowControl/>
              <w:jc w:val="center"/>
              <w:rPr>
                <w:rFonts w:ascii="宋体" w:hAnsi="宋体" w:cs="宋体"/>
                <w:color w:val="000000"/>
                <w:sz w:val="24"/>
              </w:rPr>
            </w:pPr>
            <w:r>
              <w:rPr>
                <w:rFonts w:hint="eastAsia" w:ascii="宋体" w:hAnsi="宋体" w:cs="宋体"/>
                <w:color w:val="000000"/>
                <w:sz w:val="24"/>
              </w:rPr>
              <w:t>互联网IP地址租用服务</w:t>
            </w:r>
          </w:p>
        </w:tc>
        <w:tc>
          <w:tcPr>
            <w:tcW w:w="2749" w:type="dxa"/>
            <w:tcBorders>
              <w:top w:val="nil"/>
              <w:left w:val="nil"/>
              <w:bottom w:val="single" w:color="auto" w:sz="4" w:space="0"/>
              <w:right w:val="single" w:color="auto" w:sz="4" w:space="0"/>
            </w:tcBorders>
            <w:shd w:val="clear" w:color="auto" w:fill="auto"/>
            <w:vAlign w:val="center"/>
          </w:tcPr>
          <w:p w14:paraId="61AACDA2">
            <w:pPr>
              <w:widowControl/>
              <w:jc w:val="center"/>
              <w:rPr>
                <w:rFonts w:ascii="宋体" w:hAnsi="宋体" w:cs="宋体"/>
                <w:color w:val="000000"/>
                <w:sz w:val="24"/>
              </w:rPr>
            </w:pPr>
            <w:r>
              <w:rPr>
                <w:rFonts w:hint="eastAsia" w:ascii="宋体" w:hAnsi="宋体" w:cs="宋体"/>
                <w:color w:val="000000"/>
                <w:sz w:val="24"/>
              </w:rPr>
              <w:t>互联网IP地址租用服务、并提供备案服务</w:t>
            </w:r>
          </w:p>
        </w:tc>
        <w:tc>
          <w:tcPr>
            <w:tcW w:w="938" w:type="dxa"/>
            <w:tcBorders>
              <w:top w:val="nil"/>
              <w:left w:val="nil"/>
              <w:bottom w:val="single" w:color="auto" w:sz="4" w:space="0"/>
              <w:right w:val="single" w:color="auto" w:sz="4" w:space="0"/>
            </w:tcBorders>
            <w:shd w:val="clear" w:color="auto" w:fill="auto"/>
            <w:noWrap/>
            <w:vAlign w:val="center"/>
          </w:tcPr>
          <w:p w14:paraId="456A641D">
            <w:pPr>
              <w:widowControl/>
              <w:jc w:val="center"/>
              <w:rPr>
                <w:rFonts w:ascii="宋体" w:hAnsi="宋体" w:cs="宋体"/>
                <w:color w:val="000000"/>
                <w:sz w:val="24"/>
              </w:rPr>
            </w:pPr>
            <w:r>
              <w:rPr>
                <w:rFonts w:hint="eastAsia" w:ascii="宋体" w:hAnsi="宋体" w:cs="宋体"/>
                <w:color w:val="000000"/>
                <w:sz w:val="24"/>
              </w:rPr>
              <w:t>元/IP（互联网）/月</w:t>
            </w:r>
          </w:p>
        </w:tc>
        <w:tc>
          <w:tcPr>
            <w:tcW w:w="1056" w:type="dxa"/>
            <w:tcBorders>
              <w:top w:val="nil"/>
              <w:left w:val="nil"/>
              <w:bottom w:val="single" w:color="auto" w:sz="4" w:space="0"/>
              <w:right w:val="single" w:color="auto" w:sz="4" w:space="0"/>
            </w:tcBorders>
            <w:shd w:val="clear" w:color="auto" w:fill="auto"/>
            <w:noWrap/>
            <w:vAlign w:val="center"/>
          </w:tcPr>
          <w:p w14:paraId="63C7FA13">
            <w:pPr>
              <w:widowControl/>
              <w:jc w:val="center"/>
              <w:rPr>
                <w:rFonts w:ascii="宋体" w:hAnsi="宋体" w:cs="宋体"/>
                <w:color w:val="000000"/>
                <w:sz w:val="24"/>
              </w:rPr>
            </w:pPr>
            <w:r>
              <w:rPr>
                <w:rFonts w:hint="eastAsia" w:ascii="宋体" w:hAnsi="宋体" w:cs="宋体"/>
                <w:color w:val="000000"/>
                <w:sz w:val="24"/>
              </w:rPr>
              <w:t>64</w:t>
            </w:r>
          </w:p>
        </w:tc>
        <w:tc>
          <w:tcPr>
            <w:tcW w:w="936" w:type="dxa"/>
            <w:tcBorders>
              <w:top w:val="nil"/>
              <w:left w:val="nil"/>
              <w:bottom w:val="single" w:color="auto" w:sz="4" w:space="0"/>
              <w:right w:val="single" w:color="auto" w:sz="4" w:space="0"/>
            </w:tcBorders>
            <w:shd w:val="clear" w:color="auto" w:fill="auto"/>
            <w:noWrap/>
            <w:vAlign w:val="center"/>
          </w:tcPr>
          <w:p w14:paraId="1B188000">
            <w:pPr>
              <w:widowControl/>
              <w:jc w:val="center"/>
              <w:rPr>
                <w:rFonts w:ascii="宋体" w:hAnsi="宋体" w:cs="宋体"/>
                <w:color w:val="000000"/>
                <w:sz w:val="24"/>
              </w:rPr>
            </w:pPr>
            <w:r>
              <w:rPr>
                <w:rFonts w:hint="eastAsia" w:ascii="宋体" w:hAnsi="宋体" w:cs="宋体"/>
                <w:color w:val="000000"/>
                <w:sz w:val="24"/>
              </w:rPr>
              <w:t>12</w:t>
            </w:r>
          </w:p>
        </w:tc>
      </w:tr>
      <w:tr w14:paraId="2EDDC2EB">
        <w:tblPrEx>
          <w:tblCellMar>
            <w:top w:w="0" w:type="dxa"/>
            <w:left w:w="108" w:type="dxa"/>
            <w:bottom w:w="0" w:type="dxa"/>
            <w:right w:w="108" w:type="dxa"/>
          </w:tblCellMar>
        </w:tblPrEx>
        <w:trPr>
          <w:trHeight w:val="540" w:hRule="atLeast"/>
        </w:trPr>
        <w:tc>
          <w:tcPr>
            <w:tcW w:w="696" w:type="dxa"/>
            <w:tcBorders>
              <w:top w:val="nil"/>
              <w:left w:val="single" w:color="auto" w:sz="4" w:space="0"/>
              <w:bottom w:val="single" w:color="auto" w:sz="4" w:space="0"/>
              <w:right w:val="single" w:color="auto" w:sz="4" w:space="0"/>
            </w:tcBorders>
            <w:shd w:val="clear" w:color="auto" w:fill="auto"/>
            <w:noWrap/>
            <w:vAlign w:val="center"/>
          </w:tcPr>
          <w:p w14:paraId="7D223D49">
            <w:pPr>
              <w:widowControl/>
              <w:jc w:val="center"/>
              <w:rPr>
                <w:rFonts w:ascii="宋体" w:hAnsi="宋体" w:cs="宋体"/>
                <w:color w:val="000000"/>
                <w:sz w:val="24"/>
              </w:rPr>
            </w:pPr>
            <w:r>
              <w:rPr>
                <w:rFonts w:hint="eastAsia" w:ascii="宋体" w:hAnsi="宋体" w:cs="宋体"/>
                <w:color w:val="000000"/>
                <w:sz w:val="24"/>
              </w:rPr>
              <w:t>10</w:t>
            </w:r>
          </w:p>
        </w:tc>
        <w:tc>
          <w:tcPr>
            <w:tcW w:w="456" w:type="dxa"/>
            <w:vMerge w:val="continue"/>
            <w:tcBorders>
              <w:top w:val="nil"/>
              <w:left w:val="single" w:color="auto" w:sz="4" w:space="0"/>
              <w:bottom w:val="single" w:color="auto" w:sz="4" w:space="0"/>
              <w:right w:val="single" w:color="auto" w:sz="4" w:space="0"/>
            </w:tcBorders>
            <w:vAlign w:val="center"/>
          </w:tcPr>
          <w:p w14:paraId="3377BB3B">
            <w:pPr>
              <w:widowControl/>
              <w:rPr>
                <w:rFonts w:ascii="宋体" w:hAnsi="宋体" w:cs="宋体"/>
                <w:color w:val="000000"/>
                <w:sz w:val="24"/>
              </w:rPr>
            </w:pPr>
          </w:p>
        </w:tc>
        <w:tc>
          <w:tcPr>
            <w:tcW w:w="1465" w:type="dxa"/>
            <w:tcBorders>
              <w:top w:val="nil"/>
              <w:left w:val="nil"/>
              <w:bottom w:val="single" w:color="auto" w:sz="4" w:space="0"/>
              <w:right w:val="single" w:color="auto" w:sz="4" w:space="0"/>
            </w:tcBorders>
            <w:shd w:val="clear" w:color="auto" w:fill="auto"/>
            <w:vAlign w:val="center"/>
          </w:tcPr>
          <w:p w14:paraId="745EA01C">
            <w:pPr>
              <w:widowControl/>
              <w:jc w:val="center"/>
              <w:rPr>
                <w:rFonts w:ascii="宋体" w:hAnsi="宋体" w:cs="宋体"/>
                <w:color w:val="000000"/>
                <w:sz w:val="24"/>
              </w:rPr>
            </w:pPr>
            <w:r>
              <w:rPr>
                <w:rFonts w:hint="eastAsia" w:ascii="宋体" w:hAnsi="宋体" w:cs="宋体"/>
                <w:color w:val="000000"/>
                <w:sz w:val="24"/>
              </w:rPr>
              <w:t>主机负载均衡服务</w:t>
            </w:r>
          </w:p>
        </w:tc>
        <w:tc>
          <w:tcPr>
            <w:tcW w:w="2749" w:type="dxa"/>
            <w:tcBorders>
              <w:top w:val="nil"/>
              <w:left w:val="nil"/>
              <w:bottom w:val="single" w:color="auto" w:sz="4" w:space="0"/>
              <w:right w:val="single" w:color="auto" w:sz="4" w:space="0"/>
            </w:tcBorders>
            <w:shd w:val="clear" w:color="auto" w:fill="auto"/>
            <w:vAlign w:val="center"/>
          </w:tcPr>
          <w:p w14:paraId="60EA5D10">
            <w:pPr>
              <w:widowControl/>
              <w:jc w:val="center"/>
              <w:rPr>
                <w:rFonts w:ascii="宋体" w:hAnsi="宋体" w:cs="宋体"/>
                <w:color w:val="000000"/>
                <w:sz w:val="24"/>
              </w:rPr>
            </w:pPr>
            <w:r>
              <w:rPr>
                <w:rFonts w:hint="eastAsia" w:ascii="宋体" w:hAnsi="宋体" w:cs="宋体"/>
                <w:color w:val="000000"/>
                <w:sz w:val="24"/>
              </w:rPr>
              <w:t>主机负载均衡服务</w:t>
            </w:r>
          </w:p>
        </w:tc>
        <w:tc>
          <w:tcPr>
            <w:tcW w:w="938" w:type="dxa"/>
            <w:tcBorders>
              <w:top w:val="nil"/>
              <w:left w:val="nil"/>
              <w:bottom w:val="single" w:color="auto" w:sz="4" w:space="0"/>
              <w:right w:val="single" w:color="auto" w:sz="4" w:space="0"/>
            </w:tcBorders>
            <w:shd w:val="clear" w:color="auto" w:fill="auto"/>
            <w:noWrap/>
            <w:vAlign w:val="center"/>
          </w:tcPr>
          <w:p w14:paraId="45E22E4E">
            <w:pPr>
              <w:widowControl/>
              <w:jc w:val="center"/>
              <w:rPr>
                <w:rFonts w:ascii="宋体" w:hAnsi="宋体" w:cs="宋体"/>
                <w:color w:val="000000"/>
                <w:sz w:val="24"/>
              </w:rPr>
            </w:pPr>
            <w:r>
              <w:rPr>
                <w:rFonts w:hint="eastAsia" w:ascii="宋体" w:hAnsi="宋体" w:cs="宋体"/>
                <w:color w:val="000000"/>
                <w:sz w:val="24"/>
              </w:rPr>
              <w:t>元/IP（内网）/月</w:t>
            </w:r>
          </w:p>
        </w:tc>
        <w:tc>
          <w:tcPr>
            <w:tcW w:w="1056" w:type="dxa"/>
            <w:tcBorders>
              <w:top w:val="nil"/>
              <w:left w:val="nil"/>
              <w:bottom w:val="single" w:color="auto" w:sz="4" w:space="0"/>
              <w:right w:val="single" w:color="auto" w:sz="4" w:space="0"/>
            </w:tcBorders>
            <w:shd w:val="clear" w:color="auto" w:fill="auto"/>
            <w:noWrap/>
            <w:vAlign w:val="center"/>
          </w:tcPr>
          <w:p w14:paraId="39DEC1C2">
            <w:pPr>
              <w:widowControl/>
              <w:jc w:val="center"/>
              <w:rPr>
                <w:rFonts w:ascii="宋体" w:hAnsi="宋体" w:cs="宋体"/>
                <w:color w:val="000000"/>
                <w:sz w:val="24"/>
              </w:rPr>
            </w:pPr>
            <w:r>
              <w:rPr>
                <w:rFonts w:hint="eastAsia" w:ascii="宋体" w:hAnsi="宋体" w:cs="宋体"/>
                <w:color w:val="000000"/>
                <w:sz w:val="24"/>
              </w:rPr>
              <w:t>20</w:t>
            </w:r>
          </w:p>
        </w:tc>
        <w:tc>
          <w:tcPr>
            <w:tcW w:w="936" w:type="dxa"/>
            <w:tcBorders>
              <w:top w:val="nil"/>
              <w:left w:val="nil"/>
              <w:bottom w:val="single" w:color="auto" w:sz="4" w:space="0"/>
              <w:right w:val="single" w:color="auto" w:sz="4" w:space="0"/>
            </w:tcBorders>
            <w:shd w:val="clear" w:color="auto" w:fill="auto"/>
            <w:noWrap/>
            <w:vAlign w:val="center"/>
          </w:tcPr>
          <w:p w14:paraId="29484AD9">
            <w:pPr>
              <w:widowControl/>
              <w:jc w:val="center"/>
              <w:rPr>
                <w:rFonts w:ascii="宋体" w:hAnsi="宋体" w:cs="宋体"/>
                <w:color w:val="000000"/>
                <w:sz w:val="24"/>
              </w:rPr>
            </w:pPr>
            <w:r>
              <w:rPr>
                <w:rFonts w:hint="eastAsia" w:ascii="宋体" w:hAnsi="宋体" w:cs="宋体"/>
                <w:color w:val="000000"/>
                <w:sz w:val="24"/>
              </w:rPr>
              <w:t>12</w:t>
            </w:r>
          </w:p>
        </w:tc>
      </w:tr>
      <w:tr w14:paraId="32555A08">
        <w:tblPrEx>
          <w:tblCellMar>
            <w:top w:w="0" w:type="dxa"/>
            <w:left w:w="108" w:type="dxa"/>
            <w:bottom w:w="0" w:type="dxa"/>
            <w:right w:w="108" w:type="dxa"/>
          </w:tblCellMar>
        </w:tblPrEx>
        <w:trPr>
          <w:trHeight w:val="540" w:hRule="atLeast"/>
        </w:trPr>
        <w:tc>
          <w:tcPr>
            <w:tcW w:w="696" w:type="dxa"/>
            <w:tcBorders>
              <w:top w:val="nil"/>
              <w:left w:val="single" w:color="auto" w:sz="4" w:space="0"/>
              <w:bottom w:val="single" w:color="auto" w:sz="4" w:space="0"/>
              <w:right w:val="single" w:color="auto" w:sz="4" w:space="0"/>
            </w:tcBorders>
            <w:shd w:val="clear" w:color="auto" w:fill="auto"/>
            <w:noWrap/>
            <w:vAlign w:val="center"/>
          </w:tcPr>
          <w:p w14:paraId="7A1DDE9F">
            <w:pPr>
              <w:widowControl/>
              <w:jc w:val="center"/>
              <w:rPr>
                <w:rFonts w:ascii="宋体" w:hAnsi="宋体" w:cs="宋体"/>
                <w:color w:val="000000"/>
                <w:sz w:val="24"/>
              </w:rPr>
            </w:pPr>
            <w:r>
              <w:rPr>
                <w:rFonts w:hint="eastAsia" w:ascii="宋体" w:hAnsi="宋体" w:cs="宋体"/>
                <w:color w:val="000000"/>
                <w:sz w:val="24"/>
              </w:rPr>
              <w:t>11</w:t>
            </w:r>
          </w:p>
        </w:tc>
        <w:tc>
          <w:tcPr>
            <w:tcW w:w="456" w:type="dxa"/>
            <w:vMerge w:val="continue"/>
            <w:tcBorders>
              <w:top w:val="nil"/>
              <w:left w:val="single" w:color="auto" w:sz="4" w:space="0"/>
              <w:bottom w:val="single" w:color="auto" w:sz="4" w:space="0"/>
              <w:right w:val="single" w:color="auto" w:sz="4" w:space="0"/>
            </w:tcBorders>
            <w:vAlign w:val="center"/>
          </w:tcPr>
          <w:p w14:paraId="1176B48F">
            <w:pPr>
              <w:widowControl/>
              <w:rPr>
                <w:rFonts w:ascii="宋体" w:hAnsi="宋体" w:cs="宋体"/>
                <w:color w:val="000000"/>
                <w:sz w:val="24"/>
              </w:rPr>
            </w:pPr>
          </w:p>
        </w:tc>
        <w:tc>
          <w:tcPr>
            <w:tcW w:w="1465" w:type="dxa"/>
            <w:tcBorders>
              <w:top w:val="nil"/>
              <w:left w:val="nil"/>
              <w:bottom w:val="single" w:color="auto" w:sz="4" w:space="0"/>
              <w:right w:val="single" w:color="auto" w:sz="4" w:space="0"/>
            </w:tcBorders>
            <w:shd w:val="clear" w:color="auto" w:fill="auto"/>
            <w:vAlign w:val="center"/>
          </w:tcPr>
          <w:p w14:paraId="019DF597">
            <w:pPr>
              <w:widowControl/>
              <w:jc w:val="center"/>
              <w:rPr>
                <w:rFonts w:ascii="宋体" w:hAnsi="宋体" w:cs="宋体"/>
                <w:color w:val="000000"/>
                <w:sz w:val="24"/>
              </w:rPr>
            </w:pPr>
            <w:r>
              <w:rPr>
                <w:rFonts w:hint="eastAsia" w:ascii="宋体" w:hAnsi="宋体" w:cs="宋体"/>
                <w:color w:val="000000"/>
                <w:sz w:val="24"/>
              </w:rPr>
              <w:t>远程接入服务</w:t>
            </w:r>
          </w:p>
        </w:tc>
        <w:tc>
          <w:tcPr>
            <w:tcW w:w="2749" w:type="dxa"/>
            <w:tcBorders>
              <w:top w:val="nil"/>
              <w:left w:val="nil"/>
              <w:bottom w:val="single" w:color="auto" w:sz="4" w:space="0"/>
              <w:right w:val="single" w:color="auto" w:sz="4" w:space="0"/>
            </w:tcBorders>
            <w:shd w:val="clear" w:color="auto" w:fill="auto"/>
            <w:vAlign w:val="center"/>
          </w:tcPr>
          <w:p w14:paraId="1939BF21">
            <w:pPr>
              <w:widowControl/>
              <w:jc w:val="center"/>
              <w:rPr>
                <w:rFonts w:ascii="宋体" w:hAnsi="宋体" w:cs="宋体"/>
                <w:color w:val="000000"/>
                <w:sz w:val="24"/>
              </w:rPr>
            </w:pPr>
            <w:r>
              <w:rPr>
                <w:rFonts w:hint="eastAsia" w:ascii="宋体" w:hAnsi="宋体" w:cs="宋体"/>
                <w:color w:val="000000"/>
                <w:sz w:val="24"/>
              </w:rPr>
              <w:t>远程接入服务</w:t>
            </w:r>
          </w:p>
        </w:tc>
        <w:tc>
          <w:tcPr>
            <w:tcW w:w="938" w:type="dxa"/>
            <w:tcBorders>
              <w:top w:val="nil"/>
              <w:left w:val="nil"/>
              <w:bottom w:val="single" w:color="auto" w:sz="4" w:space="0"/>
              <w:right w:val="single" w:color="auto" w:sz="4" w:space="0"/>
            </w:tcBorders>
            <w:shd w:val="clear" w:color="auto" w:fill="auto"/>
            <w:noWrap/>
            <w:vAlign w:val="center"/>
          </w:tcPr>
          <w:p w14:paraId="124B08C9">
            <w:pPr>
              <w:widowControl/>
              <w:jc w:val="center"/>
              <w:rPr>
                <w:rFonts w:ascii="宋体" w:hAnsi="宋体" w:cs="宋体"/>
                <w:color w:val="000000"/>
                <w:sz w:val="24"/>
              </w:rPr>
            </w:pPr>
            <w:r>
              <w:rPr>
                <w:rFonts w:hint="eastAsia" w:ascii="宋体" w:hAnsi="宋体" w:cs="宋体"/>
                <w:color w:val="000000"/>
                <w:sz w:val="24"/>
              </w:rPr>
              <w:t>元/账号/月</w:t>
            </w:r>
          </w:p>
        </w:tc>
        <w:tc>
          <w:tcPr>
            <w:tcW w:w="1056" w:type="dxa"/>
            <w:tcBorders>
              <w:top w:val="nil"/>
              <w:left w:val="nil"/>
              <w:bottom w:val="single" w:color="auto" w:sz="4" w:space="0"/>
              <w:right w:val="single" w:color="auto" w:sz="4" w:space="0"/>
            </w:tcBorders>
            <w:shd w:val="clear" w:color="auto" w:fill="auto"/>
            <w:noWrap/>
            <w:vAlign w:val="center"/>
          </w:tcPr>
          <w:p w14:paraId="30341124">
            <w:pPr>
              <w:widowControl/>
              <w:jc w:val="center"/>
              <w:rPr>
                <w:rFonts w:ascii="宋体" w:hAnsi="宋体" w:cs="宋体"/>
                <w:color w:val="000000"/>
                <w:sz w:val="24"/>
              </w:rPr>
            </w:pPr>
            <w:r>
              <w:rPr>
                <w:rFonts w:hint="eastAsia" w:ascii="宋体" w:hAnsi="宋体" w:cs="宋体"/>
                <w:color w:val="000000"/>
                <w:sz w:val="24"/>
              </w:rPr>
              <w:t>20</w:t>
            </w:r>
          </w:p>
        </w:tc>
        <w:tc>
          <w:tcPr>
            <w:tcW w:w="936" w:type="dxa"/>
            <w:tcBorders>
              <w:top w:val="nil"/>
              <w:left w:val="nil"/>
              <w:bottom w:val="single" w:color="auto" w:sz="4" w:space="0"/>
              <w:right w:val="single" w:color="auto" w:sz="4" w:space="0"/>
            </w:tcBorders>
            <w:shd w:val="clear" w:color="auto" w:fill="auto"/>
            <w:noWrap/>
            <w:vAlign w:val="center"/>
          </w:tcPr>
          <w:p w14:paraId="7535F606">
            <w:pPr>
              <w:widowControl/>
              <w:jc w:val="center"/>
              <w:rPr>
                <w:rFonts w:ascii="宋体" w:hAnsi="宋体" w:cs="宋体"/>
                <w:color w:val="000000"/>
                <w:sz w:val="24"/>
              </w:rPr>
            </w:pPr>
            <w:r>
              <w:rPr>
                <w:rFonts w:hint="eastAsia" w:ascii="宋体" w:hAnsi="宋体" w:cs="宋体"/>
                <w:color w:val="000000"/>
                <w:sz w:val="24"/>
              </w:rPr>
              <w:t>12</w:t>
            </w:r>
          </w:p>
        </w:tc>
      </w:tr>
      <w:tr w14:paraId="2ED5A56E">
        <w:tblPrEx>
          <w:tblCellMar>
            <w:top w:w="0" w:type="dxa"/>
            <w:left w:w="108" w:type="dxa"/>
            <w:bottom w:w="0" w:type="dxa"/>
            <w:right w:w="108" w:type="dxa"/>
          </w:tblCellMar>
        </w:tblPrEx>
        <w:trPr>
          <w:trHeight w:val="285" w:hRule="atLeast"/>
        </w:trPr>
        <w:tc>
          <w:tcPr>
            <w:tcW w:w="696" w:type="dxa"/>
            <w:tcBorders>
              <w:top w:val="nil"/>
              <w:left w:val="single" w:color="auto" w:sz="4" w:space="0"/>
              <w:bottom w:val="single" w:color="auto" w:sz="4" w:space="0"/>
              <w:right w:val="single" w:color="auto" w:sz="4" w:space="0"/>
            </w:tcBorders>
            <w:shd w:val="clear" w:color="auto" w:fill="auto"/>
            <w:noWrap/>
            <w:vAlign w:val="center"/>
          </w:tcPr>
          <w:p w14:paraId="27067787">
            <w:pPr>
              <w:widowControl/>
              <w:jc w:val="center"/>
              <w:rPr>
                <w:rFonts w:ascii="宋体" w:hAnsi="宋体" w:cs="宋体"/>
                <w:color w:val="000000"/>
                <w:sz w:val="24"/>
              </w:rPr>
            </w:pPr>
            <w:r>
              <w:rPr>
                <w:rFonts w:hint="eastAsia" w:ascii="宋体" w:hAnsi="宋体" w:cs="宋体"/>
                <w:color w:val="000000"/>
                <w:sz w:val="24"/>
              </w:rPr>
              <w:t>12</w:t>
            </w:r>
          </w:p>
        </w:tc>
        <w:tc>
          <w:tcPr>
            <w:tcW w:w="456" w:type="dxa"/>
            <w:vMerge w:val="continue"/>
            <w:tcBorders>
              <w:top w:val="nil"/>
              <w:left w:val="single" w:color="auto" w:sz="4" w:space="0"/>
              <w:bottom w:val="single" w:color="auto" w:sz="4" w:space="0"/>
              <w:right w:val="single" w:color="auto" w:sz="4" w:space="0"/>
            </w:tcBorders>
            <w:vAlign w:val="center"/>
          </w:tcPr>
          <w:p w14:paraId="4B4803B3">
            <w:pPr>
              <w:widowControl/>
              <w:rPr>
                <w:rFonts w:ascii="宋体" w:hAnsi="宋体" w:cs="宋体"/>
                <w:color w:val="000000"/>
                <w:sz w:val="24"/>
              </w:rPr>
            </w:pPr>
          </w:p>
        </w:tc>
        <w:tc>
          <w:tcPr>
            <w:tcW w:w="1465" w:type="dxa"/>
            <w:tcBorders>
              <w:top w:val="nil"/>
              <w:left w:val="nil"/>
              <w:bottom w:val="single" w:color="auto" w:sz="4" w:space="0"/>
              <w:right w:val="single" w:color="auto" w:sz="4" w:space="0"/>
            </w:tcBorders>
            <w:shd w:val="clear" w:color="auto" w:fill="auto"/>
            <w:vAlign w:val="center"/>
          </w:tcPr>
          <w:p w14:paraId="01C46DE2">
            <w:pPr>
              <w:widowControl/>
              <w:jc w:val="center"/>
              <w:rPr>
                <w:rFonts w:ascii="宋体" w:hAnsi="宋体" w:cs="宋体"/>
                <w:color w:val="000000"/>
                <w:sz w:val="24"/>
              </w:rPr>
            </w:pPr>
            <w:r>
              <w:rPr>
                <w:rFonts w:hint="eastAsia" w:ascii="宋体" w:hAnsi="宋体" w:cs="宋体"/>
                <w:color w:val="000000"/>
                <w:sz w:val="24"/>
              </w:rPr>
              <w:t>WAF防护</w:t>
            </w:r>
          </w:p>
        </w:tc>
        <w:tc>
          <w:tcPr>
            <w:tcW w:w="2749" w:type="dxa"/>
            <w:tcBorders>
              <w:top w:val="nil"/>
              <w:left w:val="nil"/>
              <w:bottom w:val="single" w:color="auto" w:sz="4" w:space="0"/>
              <w:right w:val="single" w:color="auto" w:sz="4" w:space="0"/>
            </w:tcBorders>
            <w:shd w:val="clear" w:color="auto" w:fill="auto"/>
            <w:vAlign w:val="center"/>
          </w:tcPr>
          <w:p w14:paraId="5A79F5FA">
            <w:pPr>
              <w:widowControl/>
              <w:jc w:val="center"/>
              <w:rPr>
                <w:rFonts w:ascii="宋体" w:hAnsi="宋体" w:cs="宋体"/>
                <w:color w:val="000000"/>
                <w:sz w:val="24"/>
              </w:rPr>
            </w:pPr>
            <w:r>
              <w:rPr>
                <w:rFonts w:hint="eastAsia" w:ascii="宋体" w:hAnsi="宋体" w:cs="宋体"/>
                <w:color w:val="000000"/>
                <w:sz w:val="24"/>
              </w:rPr>
              <w:t>web应用防火墙服务</w:t>
            </w:r>
          </w:p>
        </w:tc>
        <w:tc>
          <w:tcPr>
            <w:tcW w:w="938" w:type="dxa"/>
            <w:tcBorders>
              <w:top w:val="nil"/>
              <w:left w:val="nil"/>
              <w:bottom w:val="single" w:color="auto" w:sz="4" w:space="0"/>
              <w:right w:val="single" w:color="auto" w:sz="4" w:space="0"/>
            </w:tcBorders>
            <w:shd w:val="clear" w:color="auto" w:fill="auto"/>
            <w:noWrap/>
            <w:vAlign w:val="center"/>
          </w:tcPr>
          <w:p w14:paraId="3E79D0E6">
            <w:pPr>
              <w:widowControl/>
              <w:jc w:val="center"/>
              <w:rPr>
                <w:rFonts w:ascii="宋体" w:hAnsi="宋体" w:cs="宋体"/>
                <w:color w:val="000000"/>
                <w:sz w:val="24"/>
              </w:rPr>
            </w:pPr>
            <w:r>
              <w:rPr>
                <w:rFonts w:hint="eastAsia" w:ascii="宋体" w:hAnsi="宋体" w:cs="宋体"/>
                <w:color w:val="000000"/>
                <w:sz w:val="24"/>
              </w:rPr>
              <w:t>元/IP（互联网）/月</w:t>
            </w:r>
          </w:p>
        </w:tc>
        <w:tc>
          <w:tcPr>
            <w:tcW w:w="1056" w:type="dxa"/>
            <w:tcBorders>
              <w:top w:val="nil"/>
              <w:left w:val="nil"/>
              <w:bottom w:val="single" w:color="auto" w:sz="4" w:space="0"/>
              <w:right w:val="single" w:color="auto" w:sz="4" w:space="0"/>
            </w:tcBorders>
            <w:shd w:val="clear" w:color="auto" w:fill="auto"/>
            <w:noWrap/>
            <w:vAlign w:val="center"/>
          </w:tcPr>
          <w:p w14:paraId="4E03780D">
            <w:pPr>
              <w:widowControl/>
              <w:jc w:val="center"/>
              <w:rPr>
                <w:rFonts w:ascii="宋体" w:hAnsi="宋体" w:cs="宋体"/>
                <w:color w:val="000000"/>
                <w:sz w:val="24"/>
              </w:rPr>
            </w:pPr>
            <w:r>
              <w:rPr>
                <w:rFonts w:hint="eastAsia" w:ascii="宋体" w:hAnsi="宋体" w:cs="宋体"/>
                <w:color w:val="000000"/>
                <w:sz w:val="24"/>
              </w:rPr>
              <w:t>64</w:t>
            </w:r>
          </w:p>
        </w:tc>
        <w:tc>
          <w:tcPr>
            <w:tcW w:w="936" w:type="dxa"/>
            <w:tcBorders>
              <w:top w:val="nil"/>
              <w:left w:val="nil"/>
              <w:bottom w:val="single" w:color="auto" w:sz="4" w:space="0"/>
              <w:right w:val="single" w:color="auto" w:sz="4" w:space="0"/>
            </w:tcBorders>
            <w:shd w:val="clear" w:color="auto" w:fill="auto"/>
            <w:noWrap/>
            <w:vAlign w:val="center"/>
          </w:tcPr>
          <w:p w14:paraId="38E67C12">
            <w:pPr>
              <w:widowControl/>
              <w:jc w:val="center"/>
              <w:rPr>
                <w:rFonts w:ascii="宋体" w:hAnsi="宋体" w:cs="宋体"/>
                <w:color w:val="000000"/>
                <w:sz w:val="24"/>
              </w:rPr>
            </w:pPr>
            <w:r>
              <w:rPr>
                <w:rFonts w:hint="eastAsia" w:ascii="宋体" w:hAnsi="宋体" w:cs="宋体"/>
                <w:color w:val="000000"/>
                <w:sz w:val="24"/>
              </w:rPr>
              <w:t>12</w:t>
            </w:r>
          </w:p>
        </w:tc>
      </w:tr>
      <w:tr w14:paraId="44EC4699">
        <w:tblPrEx>
          <w:tblCellMar>
            <w:top w:w="0" w:type="dxa"/>
            <w:left w:w="108" w:type="dxa"/>
            <w:bottom w:w="0" w:type="dxa"/>
            <w:right w:w="108" w:type="dxa"/>
          </w:tblCellMar>
        </w:tblPrEx>
        <w:trPr>
          <w:trHeight w:val="1080" w:hRule="atLeast"/>
        </w:trPr>
        <w:tc>
          <w:tcPr>
            <w:tcW w:w="696" w:type="dxa"/>
            <w:tcBorders>
              <w:top w:val="nil"/>
              <w:left w:val="single" w:color="auto" w:sz="4" w:space="0"/>
              <w:bottom w:val="single" w:color="auto" w:sz="4" w:space="0"/>
              <w:right w:val="single" w:color="auto" w:sz="4" w:space="0"/>
            </w:tcBorders>
            <w:shd w:val="clear" w:color="auto" w:fill="auto"/>
            <w:noWrap/>
            <w:vAlign w:val="center"/>
          </w:tcPr>
          <w:p w14:paraId="5B0A1B19">
            <w:pPr>
              <w:widowControl/>
              <w:jc w:val="center"/>
              <w:rPr>
                <w:rFonts w:ascii="宋体" w:hAnsi="宋体" w:cs="宋体"/>
                <w:color w:val="000000"/>
                <w:sz w:val="24"/>
              </w:rPr>
            </w:pPr>
            <w:r>
              <w:rPr>
                <w:rFonts w:hint="eastAsia" w:ascii="宋体" w:hAnsi="宋体" w:cs="宋体"/>
                <w:color w:val="000000"/>
                <w:sz w:val="24"/>
              </w:rPr>
              <w:t>13</w:t>
            </w:r>
          </w:p>
        </w:tc>
        <w:tc>
          <w:tcPr>
            <w:tcW w:w="456" w:type="dxa"/>
            <w:tcBorders>
              <w:top w:val="nil"/>
              <w:left w:val="nil"/>
              <w:bottom w:val="single" w:color="auto" w:sz="4" w:space="0"/>
              <w:right w:val="single" w:color="auto" w:sz="4" w:space="0"/>
            </w:tcBorders>
            <w:shd w:val="clear" w:color="auto" w:fill="auto"/>
            <w:vAlign w:val="center"/>
          </w:tcPr>
          <w:p w14:paraId="519DA697">
            <w:pPr>
              <w:widowControl/>
              <w:jc w:val="center"/>
              <w:rPr>
                <w:rFonts w:ascii="宋体" w:hAnsi="宋体" w:cs="宋体"/>
                <w:color w:val="000000"/>
                <w:sz w:val="24"/>
              </w:rPr>
            </w:pPr>
            <w:r>
              <w:rPr>
                <w:rFonts w:hint="eastAsia" w:ascii="宋体" w:hAnsi="宋体" w:cs="宋体"/>
                <w:color w:val="000000"/>
                <w:sz w:val="24"/>
              </w:rPr>
              <w:t>云主机深度监控服务</w:t>
            </w:r>
          </w:p>
        </w:tc>
        <w:tc>
          <w:tcPr>
            <w:tcW w:w="1465" w:type="dxa"/>
            <w:tcBorders>
              <w:top w:val="nil"/>
              <w:left w:val="nil"/>
              <w:bottom w:val="single" w:color="auto" w:sz="4" w:space="0"/>
              <w:right w:val="single" w:color="auto" w:sz="4" w:space="0"/>
            </w:tcBorders>
            <w:shd w:val="clear" w:color="auto" w:fill="auto"/>
            <w:vAlign w:val="center"/>
          </w:tcPr>
          <w:p w14:paraId="625E0CE8">
            <w:pPr>
              <w:widowControl/>
              <w:jc w:val="center"/>
              <w:rPr>
                <w:rFonts w:ascii="宋体" w:hAnsi="宋体" w:cs="宋体"/>
                <w:color w:val="000000"/>
                <w:sz w:val="24"/>
              </w:rPr>
            </w:pPr>
            <w:r>
              <w:rPr>
                <w:rFonts w:hint="eastAsia" w:ascii="宋体" w:hAnsi="宋体" w:cs="宋体"/>
                <w:color w:val="000000"/>
                <w:sz w:val="24"/>
              </w:rPr>
              <w:t>特定云主机深度监控及运维保障服务</w:t>
            </w:r>
          </w:p>
        </w:tc>
        <w:tc>
          <w:tcPr>
            <w:tcW w:w="2749" w:type="dxa"/>
            <w:tcBorders>
              <w:top w:val="nil"/>
              <w:left w:val="nil"/>
              <w:bottom w:val="single" w:color="auto" w:sz="4" w:space="0"/>
              <w:right w:val="single" w:color="auto" w:sz="4" w:space="0"/>
            </w:tcBorders>
            <w:shd w:val="clear" w:color="auto" w:fill="auto"/>
            <w:vAlign w:val="center"/>
          </w:tcPr>
          <w:p w14:paraId="38CF2484">
            <w:pPr>
              <w:widowControl/>
              <w:jc w:val="center"/>
              <w:rPr>
                <w:rFonts w:ascii="宋体" w:hAnsi="宋体" w:cs="宋体"/>
                <w:color w:val="000000"/>
                <w:sz w:val="24"/>
              </w:rPr>
            </w:pPr>
            <w:r>
              <w:rPr>
                <w:rFonts w:hint="eastAsia" w:ascii="宋体" w:hAnsi="宋体" w:cs="宋体"/>
                <w:color w:val="000000"/>
                <w:sz w:val="24"/>
              </w:rPr>
              <w:t>特定云主机深度监控及运维保障服务(7*24小时值守）</w:t>
            </w:r>
          </w:p>
        </w:tc>
        <w:tc>
          <w:tcPr>
            <w:tcW w:w="938" w:type="dxa"/>
            <w:tcBorders>
              <w:top w:val="nil"/>
              <w:left w:val="nil"/>
              <w:bottom w:val="single" w:color="auto" w:sz="4" w:space="0"/>
              <w:right w:val="single" w:color="auto" w:sz="4" w:space="0"/>
            </w:tcBorders>
            <w:shd w:val="clear" w:color="auto" w:fill="auto"/>
            <w:noWrap/>
            <w:vAlign w:val="center"/>
          </w:tcPr>
          <w:p w14:paraId="4CC5B33F">
            <w:pPr>
              <w:widowControl/>
              <w:jc w:val="center"/>
              <w:rPr>
                <w:rFonts w:ascii="宋体" w:hAnsi="宋体" w:cs="宋体"/>
                <w:color w:val="000000"/>
                <w:sz w:val="24"/>
              </w:rPr>
            </w:pPr>
            <w:r>
              <w:rPr>
                <w:rFonts w:hint="eastAsia" w:ascii="宋体" w:hAnsi="宋体" w:cs="宋体"/>
                <w:color w:val="000000"/>
                <w:sz w:val="24"/>
              </w:rPr>
              <w:t>元/主机/月</w:t>
            </w:r>
          </w:p>
        </w:tc>
        <w:tc>
          <w:tcPr>
            <w:tcW w:w="1056" w:type="dxa"/>
            <w:tcBorders>
              <w:top w:val="nil"/>
              <w:left w:val="nil"/>
              <w:bottom w:val="single" w:color="auto" w:sz="4" w:space="0"/>
              <w:right w:val="single" w:color="auto" w:sz="4" w:space="0"/>
            </w:tcBorders>
            <w:shd w:val="clear" w:color="auto" w:fill="auto"/>
            <w:noWrap/>
            <w:vAlign w:val="center"/>
          </w:tcPr>
          <w:p w14:paraId="2738CEC9">
            <w:pPr>
              <w:widowControl/>
              <w:jc w:val="center"/>
              <w:rPr>
                <w:rFonts w:ascii="宋体" w:hAnsi="宋体" w:cs="宋体"/>
                <w:color w:val="000000"/>
                <w:sz w:val="24"/>
              </w:rPr>
            </w:pPr>
            <w:r>
              <w:rPr>
                <w:rFonts w:hint="eastAsia" w:ascii="宋体" w:hAnsi="宋体" w:cs="宋体"/>
                <w:color w:val="000000"/>
                <w:sz w:val="24"/>
              </w:rPr>
              <w:t>689</w:t>
            </w:r>
          </w:p>
        </w:tc>
        <w:tc>
          <w:tcPr>
            <w:tcW w:w="936" w:type="dxa"/>
            <w:tcBorders>
              <w:top w:val="nil"/>
              <w:left w:val="nil"/>
              <w:bottom w:val="single" w:color="auto" w:sz="4" w:space="0"/>
              <w:right w:val="single" w:color="auto" w:sz="4" w:space="0"/>
            </w:tcBorders>
            <w:shd w:val="clear" w:color="auto" w:fill="auto"/>
            <w:noWrap/>
            <w:vAlign w:val="center"/>
          </w:tcPr>
          <w:p w14:paraId="6D8C60A5">
            <w:pPr>
              <w:widowControl/>
              <w:jc w:val="center"/>
              <w:rPr>
                <w:rFonts w:ascii="宋体" w:hAnsi="宋体" w:cs="宋体"/>
                <w:color w:val="000000"/>
                <w:sz w:val="24"/>
              </w:rPr>
            </w:pPr>
            <w:r>
              <w:rPr>
                <w:rFonts w:hint="eastAsia" w:ascii="宋体" w:hAnsi="宋体" w:cs="宋体"/>
                <w:color w:val="000000"/>
                <w:sz w:val="24"/>
              </w:rPr>
              <w:t>12</w:t>
            </w:r>
          </w:p>
        </w:tc>
      </w:tr>
    </w:tbl>
    <w:p w14:paraId="3AE50FA4">
      <w:pPr>
        <w:pStyle w:val="2"/>
        <w:numPr>
          <w:ilvl w:val="1"/>
          <w:numId w:val="4"/>
        </w:numPr>
        <w:ind w:left="567" w:hanging="567"/>
        <w:jc w:val="left"/>
        <w:rPr>
          <w:rFonts w:ascii="宋体" w:hAnsi="宋体" w:eastAsia="宋体" w:cs="宋体"/>
          <w:sz w:val="24"/>
          <w:szCs w:val="24"/>
        </w:rPr>
      </w:pPr>
      <w:r>
        <w:rPr>
          <w:rFonts w:hint="eastAsia" w:ascii="宋体" w:hAnsi="宋体" w:eastAsia="宋体" w:cs="宋体"/>
          <w:sz w:val="24"/>
          <w:szCs w:val="24"/>
        </w:rPr>
        <w:t>采购标的需满足的技术规格要求</w:t>
      </w:r>
    </w:p>
    <w:p w14:paraId="5120FBFF">
      <w:pPr>
        <w:pStyle w:val="3"/>
        <w:numPr>
          <w:ilvl w:val="2"/>
          <w:numId w:val="4"/>
        </w:numPr>
        <w:ind w:left="709" w:hanging="709"/>
        <w:rPr>
          <w:rFonts w:hAnsi="宋体" w:cs="宋体"/>
          <w:szCs w:val="24"/>
        </w:rPr>
      </w:pPr>
      <w:r>
        <w:rPr>
          <w:rFonts w:hint="eastAsia" w:hAnsi="宋体" w:cs="宋体"/>
          <w:szCs w:val="24"/>
        </w:rPr>
        <w:t>云计算技术要求</w:t>
      </w:r>
    </w:p>
    <w:tbl>
      <w:tblPr>
        <w:tblStyle w:val="5"/>
        <w:tblW w:w="8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6739"/>
      </w:tblGrid>
      <w:tr w14:paraId="1662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50" w:type="dxa"/>
            <w:shd w:val="clear" w:color="auto" w:fill="CCCCCC"/>
            <w:vAlign w:val="center"/>
          </w:tcPr>
          <w:p w14:paraId="3F847091">
            <w:pPr>
              <w:jc w:val="center"/>
              <w:rPr>
                <w:rFonts w:ascii="宋体" w:hAnsi="宋体" w:cs="宋体"/>
                <w:b/>
                <w:sz w:val="24"/>
              </w:rPr>
            </w:pPr>
            <w:r>
              <w:rPr>
                <w:rFonts w:hint="eastAsia" w:ascii="宋体" w:hAnsi="宋体" w:cs="宋体"/>
                <w:b/>
                <w:sz w:val="24"/>
              </w:rPr>
              <w:t>指标项</w:t>
            </w:r>
          </w:p>
        </w:tc>
        <w:tc>
          <w:tcPr>
            <w:tcW w:w="6739" w:type="dxa"/>
            <w:shd w:val="clear" w:color="auto" w:fill="CCCCCC"/>
            <w:vAlign w:val="center"/>
          </w:tcPr>
          <w:p w14:paraId="45F735F9">
            <w:pPr>
              <w:jc w:val="center"/>
              <w:rPr>
                <w:rFonts w:ascii="宋体" w:hAnsi="宋体" w:cs="宋体"/>
                <w:b/>
                <w:sz w:val="24"/>
              </w:rPr>
            </w:pPr>
            <w:r>
              <w:rPr>
                <w:rFonts w:hint="eastAsia" w:ascii="宋体" w:hAnsi="宋体" w:cs="宋体"/>
                <w:b/>
                <w:sz w:val="24"/>
              </w:rPr>
              <w:t>招标要求</w:t>
            </w:r>
          </w:p>
        </w:tc>
      </w:tr>
      <w:tr w14:paraId="61B1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50" w:type="dxa"/>
            <w:vMerge w:val="restart"/>
            <w:vAlign w:val="center"/>
          </w:tcPr>
          <w:p w14:paraId="4A663CA8">
            <w:pPr>
              <w:widowControl/>
              <w:rPr>
                <w:rFonts w:ascii="宋体" w:hAnsi="宋体" w:cs="宋体"/>
                <w:sz w:val="24"/>
              </w:rPr>
            </w:pPr>
            <w:r>
              <w:rPr>
                <w:rFonts w:hint="eastAsia" w:ascii="宋体" w:hAnsi="宋体" w:cs="宋体"/>
                <w:sz w:val="24"/>
              </w:rPr>
              <w:t>基本需求</w:t>
            </w:r>
          </w:p>
        </w:tc>
        <w:tc>
          <w:tcPr>
            <w:tcW w:w="6739" w:type="dxa"/>
            <w:shd w:val="clear" w:color="auto" w:fill="FFFFFF"/>
          </w:tcPr>
          <w:p w14:paraId="1AB316C5">
            <w:pPr>
              <w:rPr>
                <w:rFonts w:ascii="宋体" w:hAnsi="宋体" w:cs="宋体"/>
                <w:sz w:val="24"/>
              </w:rPr>
            </w:pPr>
            <w:r>
              <w:rPr>
                <w:rFonts w:hint="eastAsia" w:ascii="宋体" w:hAnsi="宋体" w:cs="宋体"/>
                <w:sz w:val="24"/>
              </w:rPr>
              <w:t>云主机资源支持弹性调整，可弹提供性扩展CPU、内存及数据盘磁盘，实例可用性达99.99%</w:t>
            </w:r>
          </w:p>
        </w:tc>
      </w:tr>
      <w:tr w14:paraId="21F2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50" w:type="dxa"/>
            <w:vMerge w:val="continue"/>
            <w:vAlign w:val="center"/>
          </w:tcPr>
          <w:p w14:paraId="19555424">
            <w:pPr>
              <w:widowControl/>
              <w:rPr>
                <w:rFonts w:ascii="宋体" w:hAnsi="宋体" w:cs="宋体"/>
                <w:sz w:val="24"/>
              </w:rPr>
            </w:pPr>
          </w:p>
        </w:tc>
        <w:tc>
          <w:tcPr>
            <w:tcW w:w="6739" w:type="dxa"/>
            <w:shd w:val="clear" w:color="auto" w:fill="FFFFFF"/>
          </w:tcPr>
          <w:p w14:paraId="6FAA9FBB">
            <w:pPr>
              <w:rPr>
                <w:rFonts w:ascii="宋体" w:hAnsi="宋体" w:cs="宋体"/>
                <w:sz w:val="24"/>
              </w:rPr>
            </w:pPr>
            <w:r>
              <w:rPr>
                <w:rFonts w:hint="eastAsia" w:ascii="宋体" w:hAnsi="宋体" w:cs="宋体"/>
                <w:sz w:val="24"/>
              </w:rPr>
              <w:t>支持虚拟机的跨物理服务器的在线迁移</w:t>
            </w:r>
          </w:p>
        </w:tc>
      </w:tr>
      <w:tr w14:paraId="3807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50" w:type="dxa"/>
            <w:vMerge w:val="continue"/>
            <w:vAlign w:val="center"/>
          </w:tcPr>
          <w:p w14:paraId="4B8CC2D0">
            <w:pPr>
              <w:widowControl/>
              <w:rPr>
                <w:rFonts w:ascii="宋体" w:hAnsi="宋体" w:cs="宋体"/>
                <w:sz w:val="24"/>
              </w:rPr>
            </w:pPr>
          </w:p>
        </w:tc>
        <w:tc>
          <w:tcPr>
            <w:tcW w:w="6739" w:type="dxa"/>
            <w:shd w:val="clear" w:color="auto" w:fill="FFFFFF"/>
          </w:tcPr>
          <w:p w14:paraId="44FB8B21">
            <w:pPr>
              <w:rPr>
                <w:rFonts w:ascii="宋体" w:hAnsi="宋体" w:cs="宋体"/>
                <w:sz w:val="24"/>
              </w:rPr>
            </w:pPr>
            <w:r>
              <w:rPr>
                <w:rFonts w:hint="eastAsia" w:ascii="宋体" w:hAnsi="宋体" w:cs="宋体"/>
                <w:sz w:val="24"/>
              </w:rPr>
              <w:t>虚拟机支持秒级启动功能</w:t>
            </w:r>
          </w:p>
        </w:tc>
      </w:tr>
      <w:tr w14:paraId="6CDF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0" w:type="dxa"/>
            <w:vMerge w:val="continue"/>
            <w:vAlign w:val="center"/>
          </w:tcPr>
          <w:p w14:paraId="7A6B9CC4">
            <w:pPr>
              <w:widowControl/>
              <w:rPr>
                <w:rFonts w:ascii="宋体" w:hAnsi="宋体" w:cs="宋体"/>
                <w:sz w:val="24"/>
              </w:rPr>
            </w:pPr>
          </w:p>
        </w:tc>
        <w:tc>
          <w:tcPr>
            <w:tcW w:w="6739" w:type="dxa"/>
            <w:shd w:val="clear" w:color="auto" w:fill="FFFFFF"/>
          </w:tcPr>
          <w:p w14:paraId="03572009">
            <w:pPr>
              <w:rPr>
                <w:rFonts w:ascii="宋体" w:hAnsi="宋体" w:cs="宋体"/>
                <w:sz w:val="24"/>
              </w:rPr>
            </w:pPr>
            <w:r>
              <w:rPr>
                <w:rFonts w:hint="eastAsia" w:ascii="宋体" w:hAnsi="宋体" w:cs="宋体"/>
                <w:sz w:val="24"/>
              </w:rPr>
              <w:t>支持用户自主制作镜像功能</w:t>
            </w:r>
          </w:p>
        </w:tc>
      </w:tr>
      <w:tr w14:paraId="2B12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50" w:type="dxa"/>
            <w:vMerge w:val="continue"/>
            <w:vAlign w:val="center"/>
          </w:tcPr>
          <w:p w14:paraId="24CE12FD">
            <w:pPr>
              <w:widowControl/>
              <w:rPr>
                <w:rFonts w:ascii="宋体" w:hAnsi="宋体" w:cs="宋体"/>
                <w:sz w:val="24"/>
              </w:rPr>
            </w:pPr>
          </w:p>
        </w:tc>
        <w:tc>
          <w:tcPr>
            <w:tcW w:w="6739" w:type="dxa"/>
            <w:shd w:val="clear" w:color="auto" w:fill="FFFFFF"/>
          </w:tcPr>
          <w:p w14:paraId="26CC6B61">
            <w:pPr>
              <w:rPr>
                <w:rFonts w:ascii="宋体" w:hAnsi="宋体" w:cs="宋体"/>
                <w:sz w:val="24"/>
              </w:rPr>
            </w:pPr>
            <w:r>
              <w:rPr>
                <w:rFonts w:hint="eastAsia" w:ascii="宋体" w:hAnsi="宋体" w:cs="宋体"/>
                <w:sz w:val="24"/>
              </w:rPr>
              <w:t>支持用户自主访问、操作自服务平台</w:t>
            </w:r>
          </w:p>
        </w:tc>
      </w:tr>
      <w:tr w14:paraId="7034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Merge w:val="continue"/>
            <w:vAlign w:val="center"/>
          </w:tcPr>
          <w:p w14:paraId="612C9915">
            <w:pPr>
              <w:widowControl/>
              <w:rPr>
                <w:rFonts w:ascii="宋体" w:hAnsi="宋体" w:cs="宋体"/>
                <w:sz w:val="24"/>
              </w:rPr>
            </w:pPr>
          </w:p>
        </w:tc>
        <w:tc>
          <w:tcPr>
            <w:tcW w:w="6739" w:type="dxa"/>
            <w:shd w:val="clear" w:color="auto" w:fill="FFFFFF"/>
          </w:tcPr>
          <w:p w14:paraId="2788931E">
            <w:pPr>
              <w:rPr>
                <w:rFonts w:ascii="宋体" w:hAnsi="宋体" w:cs="宋体"/>
                <w:sz w:val="24"/>
              </w:rPr>
            </w:pPr>
            <w:r>
              <w:rPr>
                <w:rFonts w:hint="eastAsia" w:ascii="宋体" w:hAnsi="宋体" w:cs="宋体"/>
                <w:sz w:val="24"/>
              </w:rPr>
              <w:t>支持实时监控功能</w:t>
            </w:r>
          </w:p>
        </w:tc>
      </w:tr>
      <w:tr w14:paraId="3568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Merge w:val="continue"/>
            <w:vAlign w:val="center"/>
          </w:tcPr>
          <w:p w14:paraId="2C0BC5C1">
            <w:pPr>
              <w:widowControl/>
              <w:rPr>
                <w:rFonts w:ascii="宋体" w:hAnsi="宋体" w:cs="宋体"/>
                <w:sz w:val="24"/>
              </w:rPr>
            </w:pPr>
          </w:p>
        </w:tc>
        <w:tc>
          <w:tcPr>
            <w:tcW w:w="6739" w:type="dxa"/>
            <w:shd w:val="clear" w:color="auto" w:fill="FFFFFF"/>
          </w:tcPr>
          <w:p w14:paraId="4CB73B59">
            <w:pPr>
              <w:rPr>
                <w:rFonts w:ascii="宋体" w:hAnsi="宋体" w:cs="宋体"/>
                <w:sz w:val="24"/>
              </w:rPr>
            </w:pPr>
            <w:r>
              <w:rPr>
                <w:rFonts w:hint="eastAsia" w:ascii="宋体" w:hAnsi="宋体" w:cs="宋体"/>
                <w:sz w:val="24"/>
              </w:rPr>
              <w:t>支持windows server 2008  Datacenter x32 英文、windows server 2008 R2 Datacenter x64中文/英文、windows server 2012 R2 Datacenter x64中文/英文、centos x64、debian 8.2 x64、Fedora 20 x64、ubuntu  server x64等主流操作系统</w:t>
            </w:r>
          </w:p>
        </w:tc>
      </w:tr>
      <w:tr w14:paraId="35BA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Merge w:val="continue"/>
            <w:vAlign w:val="center"/>
          </w:tcPr>
          <w:p w14:paraId="13D86684">
            <w:pPr>
              <w:widowControl/>
              <w:rPr>
                <w:rFonts w:ascii="宋体" w:hAnsi="宋体" w:cs="宋体"/>
                <w:sz w:val="24"/>
              </w:rPr>
            </w:pPr>
          </w:p>
        </w:tc>
        <w:tc>
          <w:tcPr>
            <w:tcW w:w="6739" w:type="dxa"/>
            <w:shd w:val="clear" w:color="auto" w:fill="FFFFFF"/>
          </w:tcPr>
          <w:p w14:paraId="0551FC88">
            <w:pPr>
              <w:rPr>
                <w:rFonts w:ascii="宋体" w:hAnsi="宋体" w:cs="宋体"/>
                <w:sz w:val="24"/>
              </w:rPr>
            </w:pPr>
            <w:r>
              <w:rPr>
                <w:rFonts w:hint="eastAsia" w:ascii="宋体" w:hAnsi="宋体" w:cs="宋体"/>
                <w:sz w:val="24"/>
              </w:rPr>
              <w:t>#支持云主机深度监控能力，结合深度监控服务提供云主机CPU、内存、磁盘、网络相关资源使用率分析，能够清晰判别资源使用率数值及变化情况，如1天内变化；并支持自动巡检能力，可快速获取巡检时刻资源使用率。提供演示系统链接及管理工具截图证明文件，并加盖投标人公章。</w:t>
            </w:r>
          </w:p>
        </w:tc>
      </w:tr>
      <w:tr w14:paraId="194C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Merge w:val="continue"/>
            <w:vAlign w:val="center"/>
          </w:tcPr>
          <w:p w14:paraId="16DE17F2">
            <w:pPr>
              <w:widowControl/>
              <w:rPr>
                <w:rFonts w:ascii="宋体" w:hAnsi="宋体" w:cs="宋体"/>
                <w:sz w:val="24"/>
              </w:rPr>
            </w:pPr>
          </w:p>
        </w:tc>
        <w:tc>
          <w:tcPr>
            <w:tcW w:w="6739" w:type="dxa"/>
            <w:shd w:val="clear" w:color="auto" w:fill="FFFFFF"/>
          </w:tcPr>
          <w:p w14:paraId="1E70BCCD">
            <w:pPr>
              <w:rPr>
                <w:rFonts w:ascii="宋体" w:hAnsi="宋体" w:cs="宋体"/>
                <w:sz w:val="24"/>
              </w:rPr>
            </w:pPr>
            <w:r>
              <w:rPr>
                <w:rFonts w:hint="eastAsia" w:ascii="宋体" w:hAnsi="宋体" w:cs="宋体"/>
                <w:sz w:val="24"/>
              </w:rPr>
              <w:t>#通过《云计算服务安全要求 第一部分：通用安全要求》核验，达到增强级要求。（提供通过相关检验的证明材料复印件并加盖证明材料持有人公章，证明材料持有人与投标人必须完全一致。）</w:t>
            </w:r>
          </w:p>
        </w:tc>
      </w:tr>
    </w:tbl>
    <w:p w14:paraId="54D0B435">
      <w:pPr>
        <w:spacing w:line="360" w:lineRule="auto"/>
        <w:rPr>
          <w:rFonts w:ascii="宋体" w:hAnsi="宋体" w:cs="宋体"/>
          <w:b/>
          <w:bCs/>
          <w:sz w:val="24"/>
        </w:rPr>
      </w:pPr>
      <w:r>
        <w:rPr>
          <w:rFonts w:hint="eastAsia" w:ascii="宋体" w:hAnsi="宋体" w:cs="宋体"/>
          <w:b/>
          <w:bCs/>
          <w:sz w:val="24"/>
        </w:rPr>
        <w:t xml:space="preserve"> </w:t>
      </w:r>
    </w:p>
    <w:p w14:paraId="33203F58">
      <w:pPr>
        <w:pStyle w:val="3"/>
        <w:numPr>
          <w:ilvl w:val="2"/>
          <w:numId w:val="4"/>
        </w:numPr>
        <w:ind w:left="709" w:hanging="709"/>
        <w:rPr>
          <w:rFonts w:hAnsi="宋体" w:cs="宋体"/>
          <w:szCs w:val="24"/>
        </w:rPr>
      </w:pPr>
      <w:r>
        <w:rPr>
          <w:rFonts w:hint="eastAsia" w:hAnsi="宋体" w:cs="宋体"/>
          <w:szCs w:val="24"/>
        </w:rPr>
        <w:t>云存储技术要求</w:t>
      </w:r>
    </w:p>
    <w:tbl>
      <w:tblPr>
        <w:tblStyle w:val="5"/>
        <w:tblW w:w="8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6716"/>
      </w:tblGrid>
      <w:tr w14:paraId="7F86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76" w:type="dxa"/>
            <w:shd w:val="clear" w:color="auto" w:fill="CCCCCC"/>
            <w:vAlign w:val="center"/>
          </w:tcPr>
          <w:p w14:paraId="2844B5F1">
            <w:pPr>
              <w:jc w:val="center"/>
              <w:rPr>
                <w:rFonts w:ascii="宋体" w:hAnsi="宋体" w:cs="宋体"/>
                <w:b/>
                <w:sz w:val="24"/>
              </w:rPr>
            </w:pPr>
            <w:r>
              <w:rPr>
                <w:rFonts w:hint="eastAsia" w:ascii="宋体" w:hAnsi="宋体" w:cs="宋体"/>
                <w:b/>
                <w:sz w:val="24"/>
              </w:rPr>
              <w:t>指标项</w:t>
            </w:r>
          </w:p>
        </w:tc>
        <w:tc>
          <w:tcPr>
            <w:tcW w:w="6716" w:type="dxa"/>
            <w:shd w:val="clear" w:color="auto" w:fill="CCCCCC"/>
            <w:vAlign w:val="center"/>
          </w:tcPr>
          <w:p w14:paraId="216B347E">
            <w:pPr>
              <w:jc w:val="center"/>
              <w:rPr>
                <w:rFonts w:ascii="宋体" w:hAnsi="宋体" w:cs="宋体"/>
                <w:b/>
                <w:sz w:val="24"/>
              </w:rPr>
            </w:pPr>
            <w:r>
              <w:rPr>
                <w:rFonts w:hint="eastAsia" w:ascii="宋体" w:hAnsi="宋体" w:cs="宋体"/>
                <w:b/>
                <w:sz w:val="24"/>
              </w:rPr>
              <w:t>招标要求</w:t>
            </w:r>
          </w:p>
        </w:tc>
      </w:tr>
      <w:tr w14:paraId="2773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6" w:type="dxa"/>
            <w:vMerge w:val="restart"/>
            <w:vAlign w:val="center"/>
          </w:tcPr>
          <w:p w14:paraId="5BD8A915">
            <w:pPr>
              <w:jc w:val="center"/>
              <w:rPr>
                <w:rFonts w:ascii="宋体" w:hAnsi="宋体" w:cs="宋体"/>
                <w:sz w:val="24"/>
              </w:rPr>
            </w:pPr>
            <w:r>
              <w:rPr>
                <w:rFonts w:hint="eastAsia" w:ascii="宋体" w:hAnsi="宋体" w:cs="宋体"/>
                <w:sz w:val="24"/>
              </w:rPr>
              <w:t>基本要求</w:t>
            </w:r>
          </w:p>
        </w:tc>
        <w:tc>
          <w:tcPr>
            <w:tcW w:w="6716" w:type="dxa"/>
            <w:shd w:val="clear" w:color="auto" w:fill="FFFFFF"/>
            <w:vAlign w:val="center"/>
          </w:tcPr>
          <w:p w14:paraId="4C80BF07">
            <w:pPr>
              <w:rPr>
                <w:rFonts w:ascii="宋体" w:hAnsi="宋体" w:cs="宋体"/>
                <w:sz w:val="24"/>
              </w:rPr>
            </w:pPr>
            <w:r>
              <w:rPr>
                <w:rFonts w:hint="eastAsia" w:ascii="宋体" w:hAnsi="宋体" w:cs="宋体"/>
                <w:sz w:val="24"/>
              </w:rPr>
              <w:t>提供块存储服务：普通性能存储，读写IOPS：1000-3000</w:t>
            </w:r>
          </w:p>
        </w:tc>
      </w:tr>
      <w:tr w14:paraId="3C6A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6" w:type="dxa"/>
            <w:vMerge w:val="continue"/>
            <w:vAlign w:val="center"/>
          </w:tcPr>
          <w:p w14:paraId="4376F275">
            <w:pPr>
              <w:widowControl/>
              <w:rPr>
                <w:rFonts w:ascii="宋体" w:hAnsi="宋体" w:cs="宋体"/>
                <w:sz w:val="24"/>
              </w:rPr>
            </w:pPr>
          </w:p>
        </w:tc>
        <w:tc>
          <w:tcPr>
            <w:tcW w:w="6716" w:type="dxa"/>
            <w:shd w:val="clear" w:color="auto" w:fill="FFFFFF"/>
            <w:vAlign w:val="center"/>
          </w:tcPr>
          <w:p w14:paraId="589BC051">
            <w:pPr>
              <w:rPr>
                <w:rFonts w:ascii="宋体" w:hAnsi="宋体" w:cs="宋体"/>
                <w:sz w:val="24"/>
              </w:rPr>
            </w:pPr>
            <w:r>
              <w:rPr>
                <w:rFonts w:hint="eastAsia" w:ascii="宋体" w:hAnsi="宋体" w:cs="宋体"/>
                <w:sz w:val="24"/>
              </w:rPr>
              <w:t>提供块存储服务：高性能存储，读写IOPS： 3000-20000</w:t>
            </w:r>
          </w:p>
        </w:tc>
      </w:tr>
      <w:tr w14:paraId="6AF1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6" w:type="dxa"/>
            <w:vMerge w:val="continue"/>
            <w:vAlign w:val="center"/>
          </w:tcPr>
          <w:p w14:paraId="0EE64466">
            <w:pPr>
              <w:widowControl/>
              <w:rPr>
                <w:rFonts w:ascii="宋体" w:hAnsi="宋体" w:cs="宋体"/>
                <w:sz w:val="24"/>
              </w:rPr>
            </w:pPr>
          </w:p>
        </w:tc>
        <w:tc>
          <w:tcPr>
            <w:tcW w:w="6716" w:type="dxa"/>
            <w:shd w:val="clear" w:color="auto" w:fill="FFFFFF"/>
            <w:vAlign w:val="center"/>
          </w:tcPr>
          <w:p w14:paraId="55E205D8">
            <w:pPr>
              <w:rPr>
                <w:rFonts w:ascii="宋体" w:hAnsi="宋体" w:cs="宋体"/>
                <w:sz w:val="24"/>
              </w:rPr>
            </w:pPr>
            <w:r>
              <w:rPr>
                <w:rFonts w:hint="eastAsia" w:ascii="宋体" w:hAnsi="宋体" w:cs="宋体"/>
                <w:sz w:val="24"/>
              </w:rPr>
              <w:t>提供对象存储服务：静态存储，读写IOPS：1000-3000</w:t>
            </w:r>
          </w:p>
        </w:tc>
      </w:tr>
      <w:tr w14:paraId="3846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6" w:type="dxa"/>
            <w:vMerge w:val="continue"/>
            <w:vAlign w:val="center"/>
          </w:tcPr>
          <w:p w14:paraId="06A01931">
            <w:pPr>
              <w:widowControl/>
              <w:rPr>
                <w:rFonts w:ascii="宋体" w:hAnsi="宋体" w:cs="宋体"/>
                <w:sz w:val="24"/>
              </w:rPr>
            </w:pPr>
          </w:p>
        </w:tc>
        <w:tc>
          <w:tcPr>
            <w:tcW w:w="6716" w:type="dxa"/>
            <w:shd w:val="clear" w:color="auto" w:fill="FFFFFF"/>
            <w:vAlign w:val="center"/>
          </w:tcPr>
          <w:p w14:paraId="3D485138">
            <w:pPr>
              <w:rPr>
                <w:rFonts w:ascii="宋体" w:hAnsi="宋体" w:cs="宋体"/>
                <w:sz w:val="24"/>
              </w:rPr>
            </w:pPr>
            <w:r>
              <w:rPr>
                <w:rFonts w:hint="eastAsia" w:ascii="宋体" w:hAnsi="宋体" w:cs="宋体"/>
                <w:sz w:val="24"/>
              </w:rPr>
              <w:t>投标人支持对象存储技术，采用基于服务器本地硬盘提供对象存储资源池，云平台支持通过Web界面对对象存储文件夹进行增删改查（提供所投产品此项要求的系统截图或其他有效证明文件）</w:t>
            </w:r>
          </w:p>
        </w:tc>
      </w:tr>
      <w:tr w14:paraId="0E47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6" w:type="dxa"/>
            <w:vMerge w:val="continue"/>
            <w:vAlign w:val="center"/>
          </w:tcPr>
          <w:p w14:paraId="5CDDB27A">
            <w:pPr>
              <w:widowControl/>
              <w:rPr>
                <w:rFonts w:ascii="宋体" w:hAnsi="宋体" w:cs="宋体"/>
                <w:sz w:val="24"/>
              </w:rPr>
            </w:pPr>
          </w:p>
        </w:tc>
        <w:tc>
          <w:tcPr>
            <w:tcW w:w="6716" w:type="dxa"/>
            <w:shd w:val="clear" w:color="auto" w:fill="FFFFFF"/>
            <w:vAlign w:val="center"/>
          </w:tcPr>
          <w:p w14:paraId="65CFD3CB">
            <w:pPr>
              <w:rPr>
                <w:rFonts w:ascii="宋体" w:hAnsi="宋体" w:cs="宋体"/>
                <w:sz w:val="24"/>
              </w:rPr>
            </w:pPr>
            <w:r>
              <w:rPr>
                <w:rFonts w:hint="eastAsia" w:ascii="宋体" w:hAnsi="宋体" w:cs="宋体"/>
                <w:sz w:val="24"/>
              </w:rPr>
              <w:t>本地数据零丢失，提供备份数据内容</w:t>
            </w:r>
          </w:p>
        </w:tc>
      </w:tr>
      <w:tr w14:paraId="6769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6" w:type="dxa"/>
            <w:vMerge w:val="continue"/>
            <w:vAlign w:val="center"/>
          </w:tcPr>
          <w:p w14:paraId="39496894">
            <w:pPr>
              <w:widowControl/>
              <w:rPr>
                <w:rFonts w:ascii="宋体" w:hAnsi="宋体" w:cs="宋体"/>
                <w:sz w:val="24"/>
              </w:rPr>
            </w:pPr>
          </w:p>
        </w:tc>
        <w:tc>
          <w:tcPr>
            <w:tcW w:w="6716" w:type="dxa"/>
            <w:shd w:val="clear" w:color="auto" w:fill="FFFFFF"/>
            <w:vAlign w:val="center"/>
          </w:tcPr>
          <w:p w14:paraId="1900A8DD">
            <w:pPr>
              <w:rPr>
                <w:rFonts w:ascii="宋体" w:hAnsi="宋体" w:cs="宋体"/>
                <w:sz w:val="24"/>
              </w:rPr>
            </w:pPr>
            <w:r>
              <w:rPr>
                <w:rFonts w:hint="eastAsia" w:ascii="宋体" w:hAnsi="宋体" w:cs="宋体"/>
                <w:sz w:val="24"/>
              </w:rPr>
              <w:t>支持NFS，CIFS，SAMBA等协议，可进行跨平台文件共享</w:t>
            </w:r>
          </w:p>
        </w:tc>
      </w:tr>
      <w:tr w14:paraId="21D4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6" w:type="dxa"/>
            <w:vMerge w:val="continue"/>
            <w:vAlign w:val="center"/>
          </w:tcPr>
          <w:p w14:paraId="3C25A3B8">
            <w:pPr>
              <w:widowControl/>
              <w:rPr>
                <w:rFonts w:ascii="宋体" w:hAnsi="宋体" w:cs="宋体"/>
                <w:sz w:val="24"/>
              </w:rPr>
            </w:pPr>
          </w:p>
        </w:tc>
        <w:tc>
          <w:tcPr>
            <w:tcW w:w="6716" w:type="dxa"/>
            <w:shd w:val="clear" w:color="auto" w:fill="FFFFFF"/>
          </w:tcPr>
          <w:p w14:paraId="6BD99BDD">
            <w:pPr>
              <w:rPr>
                <w:rFonts w:ascii="宋体" w:hAnsi="宋体" w:cs="宋体"/>
                <w:sz w:val="24"/>
              </w:rPr>
            </w:pPr>
            <w:r>
              <w:rPr>
                <w:rFonts w:hint="eastAsia" w:ascii="宋体" w:hAnsi="宋体" w:cs="宋体"/>
                <w:sz w:val="24"/>
              </w:rPr>
              <w:t>支持存储快照，对系统盘、磁盘数据生成备份，快速恢复数据</w:t>
            </w:r>
          </w:p>
        </w:tc>
      </w:tr>
      <w:tr w14:paraId="06EB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6" w:type="dxa"/>
            <w:vMerge w:val="continue"/>
            <w:vAlign w:val="center"/>
          </w:tcPr>
          <w:p w14:paraId="47425F99">
            <w:pPr>
              <w:widowControl/>
              <w:rPr>
                <w:rFonts w:ascii="宋体" w:hAnsi="宋体" w:cs="宋体"/>
                <w:sz w:val="24"/>
              </w:rPr>
            </w:pPr>
          </w:p>
        </w:tc>
        <w:tc>
          <w:tcPr>
            <w:tcW w:w="6716" w:type="dxa"/>
            <w:shd w:val="clear" w:color="auto" w:fill="FFFFFF"/>
          </w:tcPr>
          <w:p w14:paraId="0221B38B">
            <w:pPr>
              <w:rPr>
                <w:rFonts w:ascii="宋体" w:hAnsi="宋体" w:cs="宋体"/>
                <w:sz w:val="24"/>
              </w:rPr>
            </w:pPr>
            <w:r>
              <w:rPr>
                <w:rFonts w:hint="eastAsia" w:ascii="宋体" w:hAnsi="宋体" w:cs="宋体"/>
                <w:sz w:val="24"/>
              </w:rPr>
              <w:t>支持云磁盘的创建、删除、挂载到一个特定的虚拟机，作为用户的数据盘使用，支持逻辑卷快照及恢复，支持逻辑卷按需扩容</w:t>
            </w:r>
          </w:p>
        </w:tc>
      </w:tr>
      <w:tr w14:paraId="75CD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6" w:type="dxa"/>
            <w:vMerge w:val="continue"/>
            <w:vAlign w:val="center"/>
          </w:tcPr>
          <w:p w14:paraId="68DF38CA">
            <w:pPr>
              <w:widowControl/>
              <w:rPr>
                <w:rFonts w:ascii="宋体" w:hAnsi="宋体" w:cs="宋体"/>
                <w:sz w:val="24"/>
              </w:rPr>
            </w:pPr>
          </w:p>
        </w:tc>
        <w:tc>
          <w:tcPr>
            <w:tcW w:w="6716" w:type="dxa"/>
            <w:shd w:val="clear" w:color="auto" w:fill="FFFFFF"/>
          </w:tcPr>
          <w:p w14:paraId="3393418F">
            <w:pPr>
              <w:rPr>
                <w:rFonts w:ascii="宋体" w:hAnsi="宋体" w:cs="宋体"/>
                <w:sz w:val="24"/>
              </w:rPr>
            </w:pPr>
            <w:r>
              <w:rPr>
                <w:rFonts w:hint="eastAsia" w:ascii="宋体" w:hAnsi="宋体" w:cs="宋体"/>
                <w:sz w:val="24"/>
              </w:rPr>
              <w:t>#块存储服务符合《云计算服务协议参考框架》要求（提供相关证明材料复印件并加盖证明材料持有人公章，证明材料持有人与投标人必须完全一致。）</w:t>
            </w:r>
          </w:p>
        </w:tc>
      </w:tr>
      <w:tr w14:paraId="1E53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6" w:type="dxa"/>
            <w:vMerge w:val="continue"/>
            <w:vAlign w:val="center"/>
          </w:tcPr>
          <w:p w14:paraId="5AB66AC4">
            <w:pPr>
              <w:widowControl/>
              <w:rPr>
                <w:rFonts w:ascii="宋体" w:hAnsi="宋体" w:cs="宋体"/>
                <w:sz w:val="24"/>
              </w:rPr>
            </w:pPr>
          </w:p>
        </w:tc>
        <w:tc>
          <w:tcPr>
            <w:tcW w:w="6716" w:type="dxa"/>
            <w:shd w:val="clear" w:color="auto" w:fill="FFFFFF"/>
          </w:tcPr>
          <w:p w14:paraId="1693C92B">
            <w:pPr>
              <w:rPr>
                <w:rFonts w:ascii="宋体" w:hAnsi="宋体" w:cs="宋体"/>
                <w:sz w:val="24"/>
              </w:rPr>
            </w:pPr>
            <w:r>
              <w:rPr>
                <w:rFonts w:hint="eastAsia" w:ascii="宋体" w:hAnsi="宋体" w:cs="宋体"/>
                <w:sz w:val="24"/>
              </w:rPr>
              <w:t>#对象存储服务符合《云计算服务协议参考框架》要求（提供相关证明材料复印件并加盖证明材料持有人公章，证明材料持有人与投标人必须完全一致。）</w:t>
            </w:r>
          </w:p>
        </w:tc>
      </w:tr>
    </w:tbl>
    <w:p w14:paraId="1E8E0103">
      <w:pPr>
        <w:spacing w:line="360" w:lineRule="auto"/>
        <w:rPr>
          <w:rFonts w:ascii="宋体" w:hAnsi="宋体" w:cs="宋体"/>
          <w:b/>
          <w:bCs/>
          <w:sz w:val="24"/>
        </w:rPr>
      </w:pPr>
      <w:r>
        <w:rPr>
          <w:rFonts w:hint="eastAsia" w:ascii="宋体" w:hAnsi="宋体" w:cs="宋体"/>
          <w:b/>
          <w:bCs/>
          <w:sz w:val="24"/>
        </w:rPr>
        <w:t xml:space="preserve"> </w:t>
      </w:r>
    </w:p>
    <w:p w14:paraId="2ED99C6A">
      <w:pPr>
        <w:pStyle w:val="3"/>
        <w:numPr>
          <w:ilvl w:val="2"/>
          <w:numId w:val="4"/>
        </w:numPr>
        <w:ind w:left="709" w:hanging="709"/>
        <w:rPr>
          <w:rFonts w:hAnsi="宋体" w:cs="宋体"/>
          <w:szCs w:val="24"/>
        </w:rPr>
      </w:pPr>
      <w:r>
        <w:rPr>
          <w:rFonts w:hint="eastAsia" w:hAnsi="宋体" w:cs="宋体"/>
          <w:szCs w:val="24"/>
        </w:rPr>
        <w:t>云平台技术要求</w:t>
      </w:r>
    </w:p>
    <w:tbl>
      <w:tblPr>
        <w:tblStyle w:val="5"/>
        <w:tblW w:w="8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6830"/>
      </w:tblGrid>
      <w:tr w14:paraId="226D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21" w:type="dxa"/>
            <w:shd w:val="clear" w:color="auto" w:fill="D9D9D9"/>
            <w:vAlign w:val="center"/>
          </w:tcPr>
          <w:p w14:paraId="575BE2C2">
            <w:pPr>
              <w:widowControl/>
              <w:jc w:val="center"/>
              <w:rPr>
                <w:rFonts w:ascii="宋体" w:hAnsi="宋体" w:cs="宋体"/>
                <w:b/>
                <w:bCs/>
                <w:sz w:val="24"/>
              </w:rPr>
            </w:pPr>
            <w:r>
              <w:rPr>
                <w:rFonts w:hint="eastAsia" w:ascii="宋体" w:hAnsi="宋体" w:cs="宋体"/>
                <w:b/>
                <w:bCs/>
                <w:sz w:val="24"/>
              </w:rPr>
              <w:t>指标项</w:t>
            </w:r>
          </w:p>
        </w:tc>
        <w:tc>
          <w:tcPr>
            <w:tcW w:w="6830" w:type="dxa"/>
            <w:shd w:val="clear" w:color="auto" w:fill="D9D9D9"/>
            <w:vAlign w:val="center"/>
          </w:tcPr>
          <w:p w14:paraId="2552AC5B">
            <w:pPr>
              <w:widowControl/>
              <w:jc w:val="center"/>
              <w:rPr>
                <w:rFonts w:ascii="宋体" w:hAnsi="宋体" w:cs="宋体"/>
                <w:b/>
                <w:bCs/>
                <w:sz w:val="24"/>
              </w:rPr>
            </w:pPr>
            <w:r>
              <w:rPr>
                <w:rFonts w:hint="eastAsia" w:ascii="宋体" w:hAnsi="宋体" w:cs="宋体"/>
                <w:b/>
                <w:bCs/>
                <w:sz w:val="24"/>
              </w:rPr>
              <w:t>招标要求</w:t>
            </w:r>
          </w:p>
        </w:tc>
      </w:tr>
      <w:tr w14:paraId="3B65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21" w:type="dxa"/>
            <w:vMerge w:val="restart"/>
            <w:vAlign w:val="center"/>
          </w:tcPr>
          <w:p w14:paraId="553D23D3">
            <w:pPr>
              <w:rPr>
                <w:rFonts w:ascii="宋体" w:hAnsi="宋体" w:cs="宋体"/>
                <w:sz w:val="24"/>
              </w:rPr>
            </w:pPr>
            <w:r>
              <w:rPr>
                <w:rFonts w:hint="eastAsia" w:ascii="宋体" w:hAnsi="宋体" w:cs="宋体"/>
                <w:sz w:val="24"/>
              </w:rPr>
              <w:t>基本要求</w:t>
            </w:r>
          </w:p>
        </w:tc>
        <w:tc>
          <w:tcPr>
            <w:tcW w:w="6830" w:type="dxa"/>
            <w:vAlign w:val="center"/>
          </w:tcPr>
          <w:p w14:paraId="7AEA5787">
            <w:pPr>
              <w:rPr>
                <w:rFonts w:ascii="宋体" w:hAnsi="宋体" w:cs="宋体"/>
                <w:sz w:val="24"/>
              </w:rPr>
            </w:pPr>
            <w:r>
              <w:rPr>
                <w:rFonts w:hint="eastAsia" w:ascii="宋体" w:hAnsi="宋体" w:cs="宋体"/>
                <w:sz w:val="24"/>
              </w:rPr>
              <w:t>云平台应具备不低于99.99%可用性标准，可支持用户自主配置主机、存储、网络、安全等资源，支持定制化开发</w:t>
            </w:r>
          </w:p>
        </w:tc>
      </w:tr>
      <w:tr w14:paraId="5372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21" w:type="dxa"/>
            <w:vMerge w:val="continue"/>
            <w:vAlign w:val="center"/>
          </w:tcPr>
          <w:p w14:paraId="34BCD9A8">
            <w:pPr>
              <w:widowControl/>
              <w:rPr>
                <w:rFonts w:ascii="宋体" w:hAnsi="宋体" w:cs="宋体"/>
                <w:sz w:val="24"/>
              </w:rPr>
            </w:pPr>
          </w:p>
        </w:tc>
        <w:tc>
          <w:tcPr>
            <w:tcW w:w="6830" w:type="dxa"/>
            <w:vAlign w:val="center"/>
          </w:tcPr>
          <w:p w14:paraId="7D82631B">
            <w:pPr>
              <w:rPr>
                <w:rFonts w:ascii="宋体" w:hAnsi="宋体" w:cs="宋体"/>
                <w:sz w:val="24"/>
              </w:rPr>
            </w:pPr>
            <w:r>
              <w:rPr>
                <w:rFonts w:hint="eastAsia" w:ascii="宋体" w:hAnsi="宋体" w:cs="宋体"/>
                <w:sz w:val="24"/>
              </w:rPr>
              <w:t>支持数据中心资源动态调度，可根据业务压力随时调整虚拟机数量，停机时间可控制在秒级</w:t>
            </w:r>
          </w:p>
        </w:tc>
      </w:tr>
      <w:tr w14:paraId="4DF8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21" w:type="dxa"/>
            <w:vMerge w:val="continue"/>
            <w:vAlign w:val="center"/>
          </w:tcPr>
          <w:p w14:paraId="6DD13E6D">
            <w:pPr>
              <w:widowControl/>
              <w:rPr>
                <w:rFonts w:ascii="宋体" w:hAnsi="宋体" w:cs="宋体"/>
                <w:sz w:val="24"/>
              </w:rPr>
            </w:pPr>
          </w:p>
        </w:tc>
        <w:tc>
          <w:tcPr>
            <w:tcW w:w="6830" w:type="dxa"/>
            <w:vAlign w:val="center"/>
          </w:tcPr>
          <w:p w14:paraId="462C49EE">
            <w:pPr>
              <w:rPr>
                <w:rFonts w:ascii="宋体" w:hAnsi="宋体" w:cs="宋体"/>
                <w:sz w:val="24"/>
              </w:rPr>
            </w:pPr>
            <w:r>
              <w:rPr>
                <w:rFonts w:hint="eastAsia" w:ascii="宋体" w:hAnsi="宋体" w:cs="宋体"/>
                <w:sz w:val="24"/>
              </w:rPr>
              <w:t>支持对虚拟机CPU、内存、存储、带宽进行实时监控，并支持自定义告警规则</w:t>
            </w:r>
          </w:p>
        </w:tc>
      </w:tr>
      <w:tr w14:paraId="4F08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21" w:type="dxa"/>
            <w:vMerge w:val="continue"/>
            <w:vAlign w:val="center"/>
          </w:tcPr>
          <w:p w14:paraId="5EEA39DA">
            <w:pPr>
              <w:widowControl/>
              <w:rPr>
                <w:rFonts w:ascii="宋体" w:hAnsi="宋体" w:cs="宋体"/>
                <w:sz w:val="24"/>
              </w:rPr>
            </w:pPr>
          </w:p>
        </w:tc>
        <w:tc>
          <w:tcPr>
            <w:tcW w:w="6830" w:type="dxa"/>
            <w:vAlign w:val="center"/>
          </w:tcPr>
          <w:p w14:paraId="38AEC116">
            <w:pPr>
              <w:rPr>
                <w:rFonts w:ascii="宋体" w:hAnsi="宋体" w:cs="宋体"/>
                <w:sz w:val="24"/>
              </w:rPr>
            </w:pPr>
            <w:r>
              <w:rPr>
                <w:rFonts w:hint="eastAsia" w:ascii="宋体" w:hAnsi="宋体" w:cs="宋体"/>
                <w:sz w:val="24"/>
              </w:rPr>
              <w:t xml:space="preserve">支持用户自定义虚拟主机专用网络或VLAN，并支持7层和4层的软件负载均衡 </w:t>
            </w:r>
          </w:p>
        </w:tc>
      </w:tr>
      <w:tr w14:paraId="0CFD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21" w:type="dxa"/>
            <w:vMerge w:val="continue"/>
            <w:vAlign w:val="center"/>
          </w:tcPr>
          <w:p w14:paraId="7131F48A">
            <w:pPr>
              <w:widowControl/>
              <w:rPr>
                <w:rFonts w:ascii="宋体" w:hAnsi="宋体" w:cs="宋体"/>
                <w:sz w:val="24"/>
              </w:rPr>
            </w:pPr>
          </w:p>
        </w:tc>
        <w:tc>
          <w:tcPr>
            <w:tcW w:w="6830" w:type="dxa"/>
            <w:vAlign w:val="center"/>
          </w:tcPr>
          <w:p w14:paraId="52C0A97E">
            <w:pPr>
              <w:rPr>
                <w:rFonts w:ascii="宋体" w:hAnsi="宋体" w:cs="宋体"/>
                <w:sz w:val="24"/>
              </w:rPr>
            </w:pPr>
            <w:r>
              <w:rPr>
                <w:rFonts w:hint="eastAsia" w:ascii="宋体" w:hAnsi="宋体" w:cs="宋体"/>
                <w:sz w:val="24"/>
              </w:rPr>
              <w:t>支持虚拟机的跨物理服务器的在线迁移</w:t>
            </w:r>
          </w:p>
        </w:tc>
      </w:tr>
      <w:tr w14:paraId="6EFE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21" w:type="dxa"/>
            <w:vMerge w:val="continue"/>
            <w:vAlign w:val="center"/>
          </w:tcPr>
          <w:p w14:paraId="596E824F">
            <w:pPr>
              <w:widowControl/>
              <w:rPr>
                <w:rFonts w:ascii="宋体" w:hAnsi="宋体" w:cs="宋体"/>
                <w:sz w:val="24"/>
              </w:rPr>
            </w:pPr>
          </w:p>
        </w:tc>
        <w:tc>
          <w:tcPr>
            <w:tcW w:w="6830" w:type="dxa"/>
            <w:vAlign w:val="center"/>
          </w:tcPr>
          <w:p w14:paraId="4EF36236">
            <w:pPr>
              <w:rPr>
                <w:rFonts w:ascii="宋体" w:hAnsi="宋体" w:cs="宋体"/>
                <w:sz w:val="24"/>
              </w:rPr>
            </w:pPr>
            <w:r>
              <w:rPr>
                <w:rFonts w:hint="eastAsia" w:ascii="宋体" w:hAnsi="宋体" w:cs="宋体"/>
                <w:sz w:val="24"/>
              </w:rPr>
              <w:t>支持用户自主进行虚拟资源的新建、添加、删除、启动、停止、资源释放和回收</w:t>
            </w:r>
          </w:p>
        </w:tc>
      </w:tr>
      <w:tr w14:paraId="7F9F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21" w:type="dxa"/>
            <w:vMerge w:val="continue"/>
            <w:vAlign w:val="center"/>
          </w:tcPr>
          <w:p w14:paraId="0E289B31">
            <w:pPr>
              <w:widowControl/>
              <w:rPr>
                <w:rFonts w:ascii="宋体" w:hAnsi="宋体" w:cs="宋体"/>
                <w:sz w:val="24"/>
              </w:rPr>
            </w:pPr>
          </w:p>
        </w:tc>
        <w:tc>
          <w:tcPr>
            <w:tcW w:w="6830" w:type="dxa"/>
          </w:tcPr>
          <w:p w14:paraId="558DB3D2">
            <w:pPr>
              <w:rPr>
                <w:rFonts w:ascii="宋体" w:hAnsi="宋体" w:cs="宋体"/>
                <w:sz w:val="24"/>
              </w:rPr>
            </w:pPr>
            <w:r>
              <w:rPr>
                <w:rFonts w:hint="eastAsia" w:ascii="宋体" w:hAnsi="宋体" w:cs="宋体"/>
                <w:sz w:val="24"/>
              </w:rPr>
              <w:t>支持多种虚拟机调度模式，松散调度、紧凑调度、高可用调度等调度策略。其中高可用调度策略开放给云的租户</w:t>
            </w:r>
          </w:p>
        </w:tc>
      </w:tr>
      <w:tr w14:paraId="55D2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1" w:type="dxa"/>
            <w:vMerge w:val="continue"/>
            <w:vAlign w:val="center"/>
          </w:tcPr>
          <w:p w14:paraId="13CA77C1">
            <w:pPr>
              <w:widowControl/>
              <w:rPr>
                <w:rFonts w:ascii="宋体" w:hAnsi="宋体" w:cs="宋体"/>
                <w:sz w:val="24"/>
              </w:rPr>
            </w:pPr>
          </w:p>
        </w:tc>
        <w:tc>
          <w:tcPr>
            <w:tcW w:w="6830" w:type="dxa"/>
          </w:tcPr>
          <w:p w14:paraId="52F72DDF">
            <w:pPr>
              <w:rPr>
                <w:rFonts w:ascii="宋体" w:hAnsi="宋体" w:cs="宋体"/>
                <w:sz w:val="24"/>
              </w:rPr>
            </w:pPr>
            <w:r>
              <w:rPr>
                <w:rFonts w:hint="eastAsia" w:ascii="宋体" w:hAnsi="宋体" w:cs="宋体"/>
                <w:sz w:val="24"/>
              </w:rPr>
              <w:t>支持云平台租户自行指定云主机的网卡IP</w:t>
            </w:r>
          </w:p>
        </w:tc>
      </w:tr>
      <w:tr w14:paraId="1565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321" w:type="dxa"/>
            <w:vMerge w:val="continue"/>
            <w:vAlign w:val="center"/>
          </w:tcPr>
          <w:p w14:paraId="79856269">
            <w:pPr>
              <w:widowControl/>
              <w:rPr>
                <w:rFonts w:ascii="宋体" w:hAnsi="宋体" w:cs="宋体"/>
                <w:sz w:val="24"/>
              </w:rPr>
            </w:pPr>
          </w:p>
        </w:tc>
        <w:tc>
          <w:tcPr>
            <w:tcW w:w="6830" w:type="dxa"/>
          </w:tcPr>
          <w:p w14:paraId="5081E1EB">
            <w:pPr>
              <w:rPr>
                <w:rFonts w:ascii="宋体" w:hAnsi="宋体" w:cs="宋体"/>
                <w:sz w:val="24"/>
              </w:rPr>
            </w:pPr>
            <w:r>
              <w:rPr>
                <w:rFonts w:hint="eastAsia" w:ascii="宋体" w:hAnsi="宋体" w:cs="宋体"/>
                <w:sz w:val="24"/>
              </w:rPr>
              <w:t>#云服务器、负载均衡(SLB)、云解析(DNS) 、对象存储(KS3)、API 网关、Web 应用防火墙(WAF) 、高防弹性 IP(KEAD) 、文件存储 KFS、对等连接(Peering)、云数据库 MySQL、托管 Hadoop(KMR)通过云服务IPv6支持能力测评，（提供通过相关检验的证明材料复印件并加盖证明材料持有人公章，证明材料持有人与投标人必须完全一致。）</w:t>
            </w:r>
          </w:p>
        </w:tc>
      </w:tr>
      <w:tr w14:paraId="206B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21" w:type="dxa"/>
            <w:vMerge w:val="continue"/>
            <w:vAlign w:val="center"/>
          </w:tcPr>
          <w:p w14:paraId="7055D725">
            <w:pPr>
              <w:widowControl/>
              <w:rPr>
                <w:rFonts w:ascii="宋体" w:hAnsi="宋体" w:cs="宋体"/>
                <w:sz w:val="24"/>
              </w:rPr>
            </w:pPr>
          </w:p>
        </w:tc>
        <w:tc>
          <w:tcPr>
            <w:tcW w:w="6830" w:type="dxa"/>
          </w:tcPr>
          <w:p w14:paraId="1E9C604A">
            <w:pPr>
              <w:rPr>
                <w:rFonts w:ascii="宋体" w:hAnsi="宋体" w:cs="宋体"/>
                <w:sz w:val="24"/>
              </w:rPr>
            </w:pPr>
            <w:r>
              <w:rPr>
                <w:rFonts w:hint="eastAsia" w:ascii="宋体" w:hAnsi="宋体" w:cs="宋体"/>
                <w:sz w:val="24"/>
              </w:rPr>
              <w:t>#通过《云平台网络能力评估方法 第4部分：云组网》检验。（提供通过相关检验的证明材料复印件并加盖证明材料持有人公章，证明材料持有人与投标人必须完全一致。）</w:t>
            </w:r>
          </w:p>
        </w:tc>
      </w:tr>
    </w:tbl>
    <w:p w14:paraId="74A162E8">
      <w:pPr>
        <w:spacing w:line="360" w:lineRule="auto"/>
        <w:rPr>
          <w:rFonts w:ascii="宋体" w:hAnsi="宋体" w:cs="宋体"/>
          <w:b/>
          <w:bCs/>
          <w:sz w:val="24"/>
        </w:rPr>
      </w:pPr>
      <w:r>
        <w:rPr>
          <w:rFonts w:hint="eastAsia" w:ascii="宋体" w:hAnsi="宋体" w:cs="宋体"/>
          <w:b/>
          <w:bCs/>
          <w:sz w:val="24"/>
        </w:rPr>
        <w:t xml:space="preserve"> </w:t>
      </w:r>
    </w:p>
    <w:p w14:paraId="522C98F6">
      <w:pPr>
        <w:pStyle w:val="3"/>
        <w:numPr>
          <w:ilvl w:val="2"/>
          <w:numId w:val="4"/>
        </w:numPr>
        <w:ind w:left="709" w:hanging="709"/>
        <w:rPr>
          <w:rFonts w:hAnsi="宋体" w:cs="宋体"/>
          <w:szCs w:val="24"/>
        </w:rPr>
      </w:pPr>
      <w:r>
        <w:rPr>
          <w:rFonts w:hint="eastAsia" w:hAnsi="宋体" w:cs="宋体"/>
          <w:szCs w:val="24"/>
        </w:rPr>
        <w:t>备份服务技术要求</w:t>
      </w:r>
    </w:p>
    <w:tbl>
      <w:tblPr>
        <w:tblStyle w:val="5"/>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6956"/>
      </w:tblGrid>
      <w:tr w14:paraId="2E91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75" w:type="dxa"/>
            <w:shd w:val="clear" w:color="auto" w:fill="D9D9D9"/>
            <w:vAlign w:val="center"/>
          </w:tcPr>
          <w:p w14:paraId="0B3BBCF1">
            <w:pPr>
              <w:widowControl/>
              <w:jc w:val="center"/>
              <w:rPr>
                <w:rFonts w:ascii="宋体" w:hAnsi="宋体" w:cs="宋体"/>
                <w:b/>
                <w:bCs/>
                <w:sz w:val="24"/>
              </w:rPr>
            </w:pPr>
            <w:r>
              <w:rPr>
                <w:rFonts w:hint="eastAsia" w:ascii="宋体" w:hAnsi="宋体" w:cs="宋体"/>
                <w:b/>
                <w:bCs/>
                <w:sz w:val="24"/>
              </w:rPr>
              <w:t>指标项</w:t>
            </w:r>
          </w:p>
        </w:tc>
        <w:tc>
          <w:tcPr>
            <w:tcW w:w="6956" w:type="dxa"/>
            <w:shd w:val="clear" w:color="auto" w:fill="D9D9D9"/>
            <w:vAlign w:val="center"/>
          </w:tcPr>
          <w:p w14:paraId="42B3AB34">
            <w:pPr>
              <w:widowControl/>
              <w:jc w:val="center"/>
              <w:rPr>
                <w:rFonts w:ascii="宋体" w:hAnsi="宋体" w:cs="宋体"/>
                <w:b/>
                <w:bCs/>
                <w:sz w:val="24"/>
              </w:rPr>
            </w:pPr>
            <w:r>
              <w:rPr>
                <w:rFonts w:hint="eastAsia" w:ascii="宋体" w:hAnsi="宋体" w:cs="宋体"/>
                <w:b/>
                <w:bCs/>
                <w:sz w:val="24"/>
              </w:rPr>
              <w:t>招标要求</w:t>
            </w:r>
          </w:p>
        </w:tc>
      </w:tr>
      <w:tr w14:paraId="4FAB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75" w:type="dxa"/>
            <w:vMerge w:val="restart"/>
            <w:shd w:val="clear" w:color="auto" w:fill="FFFFFF"/>
            <w:vAlign w:val="center"/>
          </w:tcPr>
          <w:p w14:paraId="0F44FC16">
            <w:pPr>
              <w:rPr>
                <w:rFonts w:ascii="宋体" w:hAnsi="宋体" w:cs="宋体"/>
                <w:sz w:val="24"/>
              </w:rPr>
            </w:pPr>
            <w:r>
              <w:rPr>
                <w:rFonts w:hint="eastAsia" w:ascii="宋体" w:hAnsi="宋体" w:cs="宋体"/>
                <w:sz w:val="24"/>
              </w:rPr>
              <w:t>基本要求</w:t>
            </w:r>
          </w:p>
        </w:tc>
        <w:tc>
          <w:tcPr>
            <w:tcW w:w="6956" w:type="dxa"/>
            <w:shd w:val="clear" w:color="auto" w:fill="FFFFFF"/>
            <w:vAlign w:val="center"/>
          </w:tcPr>
          <w:p w14:paraId="655FD25A">
            <w:pPr>
              <w:rPr>
                <w:rFonts w:ascii="宋体" w:hAnsi="宋体" w:cs="宋体"/>
                <w:sz w:val="24"/>
              </w:rPr>
            </w:pPr>
            <w:r>
              <w:rPr>
                <w:rFonts w:hint="eastAsia" w:ascii="宋体" w:hAnsi="宋体" w:cs="宋体"/>
                <w:sz w:val="24"/>
              </w:rPr>
              <w:t>采用B/S架构；支持生产端主流操作系统LINUX/Windows 平台；支持多种数据库类型包括Oracle、MS SQL Server、Mysql等，并且支持这些数据库的所有版本；</w:t>
            </w:r>
          </w:p>
        </w:tc>
      </w:tr>
      <w:tr w14:paraId="0347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5" w:type="dxa"/>
            <w:vMerge w:val="continue"/>
            <w:vAlign w:val="center"/>
          </w:tcPr>
          <w:p w14:paraId="4DD4E904">
            <w:pPr>
              <w:widowControl/>
              <w:rPr>
                <w:rFonts w:ascii="宋体" w:hAnsi="宋体" w:cs="宋体"/>
                <w:sz w:val="24"/>
              </w:rPr>
            </w:pPr>
          </w:p>
        </w:tc>
        <w:tc>
          <w:tcPr>
            <w:tcW w:w="6956" w:type="dxa"/>
            <w:vAlign w:val="center"/>
          </w:tcPr>
          <w:p w14:paraId="1A721DF4">
            <w:pPr>
              <w:rPr>
                <w:rFonts w:ascii="宋体" w:hAnsi="宋体" w:cs="宋体"/>
                <w:sz w:val="24"/>
              </w:rPr>
            </w:pPr>
            <w:r>
              <w:rPr>
                <w:rFonts w:hint="eastAsia" w:ascii="宋体" w:hAnsi="宋体" w:cs="宋体"/>
                <w:sz w:val="24"/>
              </w:rPr>
              <w:t>基于服务器操作系统层，旁路监测被保护数据每次磁盘I/O的变化。实时监测每一笔磁盘写I/O操作，并以事件日志的方式记录。恢复时基于事件日志可以做任意时刻数据恢复；</w:t>
            </w:r>
          </w:p>
        </w:tc>
      </w:tr>
      <w:tr w14:paraId="5126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75" w:type="dxa"/>
            <w:vMerge w:val="continue"/>
            <w:vAlign w:val="center"/>
          </w:tcPr>
          <w:p w14:paraId="46A98E9F">
            <w:pPr>
              <w:widowControl/>
              <w:rPr>
                <w:rFonts w:ascii="宋体" w:hAnsi="宋体" w:cs="宋体"/>
                <w:sz w:val="24"/>
              </w:rPr>
            </w:pPr>
          </w:p>
        </w:tc>
        <w:tc>
          <w:tcPr>
            <w:tcW w:w="6956" w:type="dxa"/>
            <w:vAlign w:val="center"/>
          </w:tcPr>
          <w:p w14:paraId="4B913A19">
            <w:pPr>
              <w:rPr>
                <w:rFonts w:ascii="宋体" w:hAnsi="宋体" w:cs="宋体"/>
                <w:sz w:val="24"/>
              </w:rPr>
            </w:pPr>
            <w:r>
              <w:rPr>
                <w:rFonts w:hint="eastAsia" w:ascii="宋体" w:hAnsi="宋体" w:cs="宋体"/>
                <w:sz w:val="24"/>
              </w:rPr>
              <w:t>生产端到灾备端数据传输时要基于字节级实时数据传输而非存储块级；</w:t>
            </w:r>
          </w:p>
        </w:tc>
      </w:tr>
      <w:tr w14:paraId="690A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75" w:type="dxa"/>
            <w:vMerge w:val="continue"/>
            <w:vAlign w:val="center"/>
          </w:tcPr>
          <w:p w14:paraId="6496297F">
            <w:pPr>
              <w:widowControl/>
              <w:rPr>
                <w:rFonts w:ascii="宋体" w:hAnsi="宋体" w:cs="宋体"/>
                <w:sz w:val="24"/>
              </w:rPr>
            </w:pPr>
          </w:p>
        </w:tc>
        <w:tc>
          <w:tcPr>
            <w:tcW w:w="6956" w:type="dxa"/>
            <w:vAlign w:val="center"/>
          </w:tcPr>
          <w:p w14:paraId="0EB25482">
            <w:pPr>
              <w:rPr>
                <w:rFonts w:ascii="宋体" w:hAnsi="宋体" w:cs="宋体"/>
                <w:sz w:val="24"/>
              </w:rPr>
            </w:pPr>
            <w:r>
              <w:rPr>
                <w:rFonts w:hint="eastAsia" w:ascii="宋体" w:hAnsi="宋体" w:cs="宋体"/>
                <w:sz w:val="24"/>
              </w:rPr>
              <w:t>支持实时、定时两种备份方式；支持一对一、一对多、多对一、级联、双向等部署方式，且在多对一复制时备份端只需配置一套备份端软件；</w:t>
            </w:r>
          </w:p>
        </w:tc>
      </w:tr>
      <w:tr w14:paraId="3032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75" w:type="dxa"/>
            <w:vMerge w:val="continue"/>
            <w:vAlign w:val="center"/>
          </w:tcPr>
          <w:p w14:paraId="3EEE6A0C">
            <w:pPr>
              <w:widowControl/>
              <w:rPr>
                <w:rFonts w:ascii="宋体" w:hAnsi="宋体" w:cs="宋体"/>
                <w:sz w:val="24"/>
              </w:rPr>
            </w:pPr>
          </w:p>
        </w:tc>
        <w:tc>
          <w:tcPr>
            <w:tcW w:w="6956" w:type="dxa"/>
            <w:vAlign w:val="center"/>
          </w:tcPr>
          <w:p w14:paraId="09737C7D">
            <w:pPr>
              <w:rPr>
                <w:rFonts w:ascii="宋体" w:hAnsi="宋体" w:cs="宋体"/>
                <w:sz w:val="24"/>
              </w:rPr>
            </w:pPr>
            <w:r>
              <w:rPr>
                <w:rFonts w:hint="eastAsia" w:ascii="宋体" w:hAnsi="宋体" w:cs="宋体"/>
                <w:sz w:val="24"/>
              </w:rPr>
              <w:t>服务器主机层做应用/数据库高可用，不依赖于某个具体的硬件平台；</w:t>
            </w:r>
          </w:p>
        </w:tc>
      </w:tr>
      <w:tr w14:paraId="20CD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75" w:type="dxa"/>
            <w:vMerge w:val="continue"/>
            <w:vAlign w:val="center"/>
          </w:tcPr>
          <w:p w14:paraId="14CAD932">
            <w:pPr>
              <w:widowControl/>
              <w:rPr>
                <w:rFonts w:ascii="宋体" w:hAnsi="宋体" w:cs="宋体"/>
                <w:sz w:val="24"/>
              </w:rPr>
            </w:pPr>
          </w:p>
        </w:tc>
        <w:tc>
          <w:tcPr>
            <w:tcW w:w="6956" w:type="dxa"/>
            <w:vAlign w:val="center"/>
          </w:tcPr>
          <w:p w14:paraId="6A7CEC31">
            <w:pPr>
              <w:rPr>
                <w:rFonts w:ascii="宋体" w:hAnsi="宋体" w:cs="宋体"/>
                <w:sz w:val="24"/>
              </w:rPr>
            </w:pPr>
            <w:r>
              <w:rPr>
                <w:rFonts w:hint="eastAsia" w:ascii="宋体" w:hAnsi="宋体" w:cs="宋体"/>
                <w:sz w:val="24"/>
              </w:rPr>
              <w:t>支持主机/备机之间实时数据同步，基于主机被保护数据每一笔磁盘I/O操作，以字节的方式高效的传输到备机进行数据同步；</w:t>
            </w:r>
          </w:p>
        </w:tc>
      </w:tr>
      <w:tr w14:paraId="1621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5" w:type="dxa"/>
            <w:vMerge w:val="continue"/>
            <w:vAlign w:val="center"/>
          </w:tcPr>
          <w:p w14:paraId="5EFEB3C4">
            <w:pPr>
              <w:widowControl/>
              <w:rPr>
                <w:rFonts w:ascii="宋体" w:hAnsi="宋体" w:cs="宋体"/>
                <w:sz w:val="24"/>
              </w:rPr>
            </w:pPr>
          </w:p>
        </w:tc>
        <w:tc>
          <w:tcPr>
            <w:tcW w:w="6956" w:type="dxa"/>
            <w:vAlign w:val="center"/>
          </w:tcPr>
          <w:p w14:paraId="085B9346">
            <w:pPr>
              <w:rPr>
                <w:rFonts w:ascii="宋体" w:hAnsi="宋体" w:cs="宋体"/>
                <w:sz w:val="24"/>
              </w:rPr>
            </w:pPr>
            <w:r>
              <w:rPr>
                <w:rFonts w:hint="eastAsia" w:ascii="宋体" w:hAnsi="宋体" w:cs="宋体"/>
                <w:sz w:val="24"/>
              </w:rPr>
              <w:t>支持缓存和断点续传机制。当备份端硬件故障或网络传输异常中断时，自动缓存生产端数据库的新增数据，系统或网络故障恢复后自动实现断点续传；</w:t>
            </w:r>
          </w:p>
        </w:tc>
      </w:tr>
      <w:tr w14:paraId="0BB5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75" w:type="dxa"/>
            <w:vMerge w:val="continue"/>
            <w:vAlign w:val="center"/>
          </w:tcPr>
          <w:p w14:paraId="15D821A5">
            <w:pPr>
              <w:widowControl/>
              <w:rPr>
                <w:rFonts w:ascii="宋体" w:hAnsi="宋体" w:cs="宋体"/>
                <w:sz w:val="24"/>
              </w:rPr>
            </w:pPr>
          </w:p>
        </w:tc>
        <w:tc>
          <w:tcPr>
            <w:tcW w:w="6956" w:type="dxa"/>
            <w:vAlign w:val="center"/>
          </w:tcPr>
          <w:p w14:paraId="38C06037">
            <w:pPr>
              <w:rPr>
                <w:rFonts w:ascii="宋体" w:hAnsi="宋体" w:cs="宋体"/>
                <w:sz w:val="24"/>
              </w:rPr>
            </w:pPr>
            <w:r>
              <w:rPr>
                <w:rFonts w:hint="eastAsia" w:ascii="宋体" w:hAnsi="宋体" w:cs="宋体"/>
                <w:sz w:val="24"/>
              </w:rPr>
              <w:t>图形化管理方式，无需命令行操作；</w:t>
            </w:r>
          </w:p>
        </w:tc>
      </w:tr>
    </w:tbl>
    <w:p w14:paraId="586271BB">
      <w:pPr>
        <w:snapToGrid w:val="0"/>
        <w:spacing w:line="360" w:lineRule="auto"/>
        <w:rPr>
          <w:rFonts w:ascii="宋体" w:hAnsi="宋体" w:cs="宋体"/>
          <w:sz w:val="24"/>
        </w:rPr>
      </w:pPr>
      <w:r>
        <w:rPr>
          <w:rFonts w:hint="eastAsia" w:ascii="宋体" w:hAnsi="宋体" w:cs="宋体"/>
          <w:sz w:val="24"/>
        </w:rPr>
        <w:t xml:space="preserve"> </w:t>
      </w:r>
    </w:p>
    <w:p w14:paraId="7A448F62">
      <w:pPr>
        <w:pStyle w:val="3"/>
        <w:numPr>
          <w:ilvl w:val="2"/>
          <w:numId w:val="4"/>
        </w:numPr>
        <w:ind w:left="709" w:hanging="709"/>
        <w:rPr>
          <w:rFonts w:hAnsi="宋体" w:cs="宋体"/>
          <w:szCs w:val="24"/>
        </w:rPr>
      </w:pPr>
      <w:r>
        <w:rPr>
          <w:rFonts w:hint="eastAsia" w:hAnsi="宋体" w:cs="宋体"/>
          <w:szCs w:val="24"/>
        </w:rPr>
        <w:t>其他技术要求</w:t>
      </w:r>
    </w:p>
    <w:tbl>
      <w:tblPr>
        <w:tblStyle w:val="5"/>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7096"/>
      </w:tblGrid>
      <w:tr w14:paraId="675F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75" w:type="dxa"/>
            <w:shd w:val="clear" w:color="auto" w:fill="D9D9D9"/>
            <w:vAlign w:val="center"/>
          </w:tcPr>
          <w:p w14:paraId="2F07AF7D">
            <w:pPr>
              <w:widowControl/>
              <w:jc w:val="center"/>
              <w:rPr>
                <w:rFonts w:ascii="宋体" w:hAnsi="宋体" w:cs="宋体"/>
                <w:b/>
                <w:bCs/>
                <w:sz w:val="24"/>
              </w:rPr>
            </w:pPr>
            <w:r>
              <w:rPr>
                <w:rFonts w:hint="eastAsia" w:ascii="宋体" w:hAnsi="宋体" w:cs="宋体"/>
                <w:b/>
                <w:bCs/>
                <w:sz w:val="24"/>
              </w:rPr>
              <w:t>指标项</w:t>
            </w:r>
          </w:p>
        </w:tc>
        <w:tc>
          <w:tcPr>
            <w:tcW w:w="7096" w:type="dxa"/>
            <w:shd w:val="clear" w:color="auto" w:fill="D9D9D9"/>
            <w:vAlign w:val="center"/>
          </w:tcPr>
          <w:p w14:paraId="5CA85A30">
            <w:pPr>
              <w:widowControl/>
              <w:jc w:val="center"/>
              <w:rPr>
                <w:rFonts w:ascii="宋体" w:hAnsi="宋体" w:cs="宋体"/>
                <w:b/>
                <w:bCs/>
                <w:sz w:val="24"/>
              </w:rPr>
            </w:pPr>
            <w:r>
              <w:rPr>
                <w:rFonts w:hint="eastAsia" w:ascii="宋体" w:hAnsi="宋体" w:cs="宋体"/>
                <w:b/>
                <w:bCs/>
                <w:sz w:val="24"/>
              </w:rPr>
              <w:t>招标要求</w:t>
            </w:r>
          </w:p>
        </w:tc>
      </w:tr>
      <w:tr w14:paraId="2544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75" w:type="dxa"/>
            <w:shd w:val="clear" w:color="auto" w:fill="FFFFFF"/>
            <w:vAlign w:val="center"/>
          </w:tcPr>
          <w:p w14:paraId="78D19D0F">
            <w:pPr>
              <w:rPr>
                <w:rFonts w:ascii="宋体" w:hAnsi="宋体" w:cs="宋体"/>
                <w:sz w:val="24"/>
              </w:rPr>
            </w:pPr>
            <w:r>
              <w:rPr>
                <w:rFonts w:hint="eastAsia" w:ascii="宋体" w:hAnsi="宋体" w:cs="宋体"/>
                <w:sz w:val="24"/>
              </w:rPr>
              <w:t>政务云技术架构要求</w:t>
            </w:r>
          </w:p>
        </w:tc>
        <w:tc>
          <w:tcPr>
            <w:tcW w:w="7096" w:type="dxa"/>
            <w:shd w:val="clear" w:color="auto" w:fill="FFFFFF"/>
            <w:vAlign w:val="center"/>
          </w:tcPr>
          <w:p w14:paraId="63D9F0EC">
            <w:pPr>
              <w:rPr>
                <w:rFonts w:ascii="宋体" w:hAnsi="宋体" w:cs="宋体"/>
                <w:sz w:val="24"/>
              </w:rPr>
            </w:pPr>
            <w:r>
              <w:rPr>
                <w:rFonts w:hint="eastAsia" w:ascii="宋体" w:hAnsi="宋体" w:cs="宋体"/>
                <w:sz w:val="24"/>
              </w:rPr>
              <w:t>投标人所使用云平台需采用基于OpenStack主流版本且经过厂商深度定制的云平台软件，资源虚拟化通过KVM技术实现。(提供所投产品此项要求的系统截图或其他有效证明文件)</w:t>
            </w:r>
          </w:p>
        </w:tc>
      </w:tr>
      <w:tr w14:paraId="50A6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75" w:type="dxa"/>
            <w:shd w:val="clear" w:color="auto" w:fill="FFFFFF"/>
            <w:vAlign w:val="center"/>
          </w:tcPr>
          <w:p w14:paraId="21472961">
            <w:pPr>
              <w:rPr>
                <w:rFonts w:ascii="宋体" w:hAnsi="宋体" w:cs="宋体"/>
                <w:sz w:val="24"/>
              </w:rPr>
            </w:pPr>
            <w:r>
              <w:rPr>
                <w:rFonts w:hint="eastAsia" w:ascii="宋体" w:hAnsi="宋体" w:cs="宋体"/>
                <w:sz w:val="24"/>
              </w:rPr>
              <w:t>政务云存储技术要求</w:t>
            </w:r>
          </w:p>
        </w:tc>
        <w:tc>
          <w:tcPr>
            <w:tcW w:w="7096" w:type="dxa"/>
            <w:shd w:val="clear" w:color="auto" w:fill="FFFFFF"/>
            <w:vAlign w:val="center"/>
          </w:tcPr>
          <w:p w14:paraId="09261502">
            <w:pPr>
              <w:rPr>
                <w:rFonts w:ascii="宋体" w:hAnsi="宋体" w:cs="宋体"/>
                <w:sz w:val="24"/>
              </w:rPr>
            </w:pPr>
            <w:r>
              <w:rPr>
                <w:rFonts w:hint="eastAsia" w:ascii="宋体" w:hAnsi="宋体" w:cs="宋体"/>
                <w:sz w:val="24"/>
              </w:rPr>
              <w:t>#投标人所使用云平台支持基于通用X86服务器本地硬盘的计算存储融合架构部署分布式存储资源池，底层支持三副本数据冗余（提供所投产品此项要求的系统截图、三方证明或其他有效证明文件，并加盖投标人公章。）</w:t>
            </w:r>
          </w:p>
        </w:tc>
      </w:tr>
      <w:tr w14:paraId="4C67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75" w:type="dxa"/>
            <w:vMerge w:val="restart"/>
            <w:shd w:val="clear" w:color="auto" w:fill="FFFFFF"/>
            <w:vAlign w:val="center"/>
          </w:tcPr>
          <w:p w14:paraId="1A9125EB">
            <w:pPr>
              <w:rPr>
                <w:rFonts w:ascii="宋体" w:hAnsi="宋体" w:cs="宋体"/>
                <w:sz w:val="24"/>
              </w:rPr>
            </w:pPr>
            <w:r>
              <w:rPr>
                <w:rFonts w:hint="eastAsia" w:ascii="宋体" w:hAnsi="宋体" w:cs="宋体"/>
                <w:sz w:val="24"/>
              </w:rPr>
              <w:t>政务云资源及服务管理要求</w:t>
            </w:r>
          </w:p>
        </w:tc>
        <w:tc>
          <w:tcPr>
            <w:tcW w:w="7096" w:type="dxa"/>
            <w:shd w:val="clear" w:color="auto" w:fill="FFFFFF"/>
            <w:vAlign w:val="center"/>
          </w:tcPr>
          <w:p w14:paraId="3FDE7856">
            <w:pPr>
              <w:rPr>
                <w:rFonts w:ascii="宋体" w:hAnsi="宋体" w:cs="宋体"/>
                <w:sz w:val="24"/>
              </w:rPr>
            </w:pPr>
            <w:r>
              <w:rPr>
                <w:rFonts w:hint="eastAsia" w:ascii="宋体" w:hAnsi="宋体" w:cs="宋体"/>
                <w:sz w:val="24"/>
              </w:rPr>
              <w:t>#云服务商提供招标人可自服务的云资源可视化管理能力，实现：云主机数量、vCPU数、内存数、磁盘数统计，云资源分配量趋势分析，云资源分布分析（互联网及政务外网分布情况、操作系统类型分布情况、云主机状态分布等），提供演示系统链接及管理工具截图证明文件，并加盖投标人公章。</w:t>
            </w:r>
          </w:p>
        </w:tc>
      </w:tr>
      <w:tr w14:paraId="6A7C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75" w:type="dxa"/>
            <w:vMerge w:val="continue"/>
            <w:shd w:val="clear" w:color="auto" w:fill="FFFFFF"/>
            <w:vAlign w:val="center"/>
          </w:tcPr>
          <w:p w14:paraId="5ACEEC9C">
            <w:pPr>
              <w:rPr>
                <w:rFonts w:ascii="宋体" w:hAnsi="宋体" w:cs="宋体"/>
                <w:sz w:val="24"/>
              </w:rPr>
            </w:pPr>
          </w:p>
        </w:tc>
        <w:tc>
          <w:tcPr>
            <w:tcW w:w="7096" w:type="dxa"/>
            <w:shd w:val="clear" w:color="auto" w:fill="FFFFFF"/>
            <w:vAlign w:val="center"/>
          </w:tcPr>
          <w:p w14:paraId="30C2A4D2">
            <w:pPr>
              <w:rPr>
                <w:rFonts w:ascii="宋体" w:hAnsi="宋体" w:cs="宋体"/>
                <w:sz w:val="24"/>
              </w:rPr>
            </w:pPr>
            <w:r>
              <w:rPr>
                <w:rFonts w:hint="eastAsia" w:ascii="宋体" w:hAnsi="宋体" w:cs="宋体"/>
                <w:sz w:val="24"/>
              </w:rPr>
              <w:t>#云服务商提供招标人可自服务的云资源可视化管理能力，支持按资源分布进行业务资源用量分析并支持排序；支持按云主机数量进行业务系统分析并支持排序；提供演示系统链接及管理工具截图证明文件，并加盖投标人公章。</w:t>
            </w:r>
          </w:p>
        </w:tc>
      </w:tr>
      <w:tr w14:paraId="1764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75" w:type="dxa"/>
            <w:vMerge w:val="continue"/>
            <w:shd w:val="clear" w:color="auto" w:fill="FFFFFF"/>
            <w:vAlign w:val="center"/>
          </w:tcPr>
          <w:p w14:paraId="7315E216">
            <w:pPr>
              <w:rPr>
                <w:rFonts w:ascii="宋体" w:hAnsi="宋体" w:cs="宋体"/>
                <w:sz w:val="24"/>
              </w:rPr>
            </w:pPr>
          </w:p>
        </w:tc>
        <w:tc>
          <w:tcPr>
            <w:tcW w:w="7096" w:type="dxa"/>
            <w:shd w:val="clear" w:color="auto" w:fill="FFFFFF"/>
            <w:vAlign w:val="center"/>
          </w:tcPr>
          <w:p w14:paraId="26B095D2">
            <w:pPr>
              <w:rPr>
                <w:rFonts w:ascii="宋体" w:hAnsi="宋体" w:cs="宋体"/>
                <w:sz w:val="24"/>
              </w:rPr>
            </w:pPr>
            <w:r>
              <w:rPr>
                <w:rFonts w:hint="eastAsia" w:ascii="宋体" w:hAnsi="宋体" w:cs="宋体"/>
                <w:sz w:val="24"/>
              </w:rPr>
              <w:t>#云服务商提供招标人可自服务的云资源可视化管理能力，支持业务探活能力，能够根据业务系统服务IP地址、服务链接进行业务健康状态探测，展示系统运行状态，如正常、异常等，提供演示系统链接及管理工具截图证明，并加盖投标人公章。</w:t>
            </w:r>
          </w:p>
        </w:tc>
      </w:tr>
      <w:tr w14:paraId="3D37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75" w:type="dxa"/>
            <w:vMerge w:val="continue"/>
            <w:shd w:val="clear" w:color="auto" w:fill="FFFFFF"/>
            <w:vAlign w:val="center"/>
          </w:tcPr>
          <w:p w14:paraId="3D432EA7">
            <w:pPr>
              <w:rPr>
                <w:rFonts w:ascii="宋体" w:hAnsi="宋体" w:cs="宋体"/>
                <w:sz w:val="24"/>
              </w:rPr>
            </w:pPr>
          </w:p>
        </w:tc>
        <w:tc>
          <w:tcPr>
            <w:tcW w:w="7096" w:type="dxa"/>
            <w:shd w:val="clear" w:color="auto" w:fill="FFFFFF"/>
            <w:vAlign w:val="center"/>
          </w:tcPr>
          <w:p w14:paraId="22EF9A67">
            <w:pPr>
              <w:rPr>
                <w:rFonts w:ascii="宋体" w:hAnsi="宋体" w:cs="宋体"/>
                <w:sz w:val="24"/>
              </w:rPr>
            </w:pPr>
            <w:r>
              <w:rPr>
                <w:rFonts w:hint="eastAsia" w:ascii="宋体" w:hAnsi="宋体" w:cs="宋体"/>
                <w:sz w:val="24"/>
              </w:rPr>
              <w:t>#云服务商提供招标人可自服务的云资源可视化管理能力，支持云效率分析展示能力，能够清晰展示云效率总值以及云效率变化轨迹图，时刻掌握系统云资源使用情况，并能够清晰展示不同系统云效率情况。提供演示系统链接及管理工具截图证明，并加盖投标人公章。</w:t>
            </w:r>
          </w:p>
        </w:tc>
      </w:tr>
    </w:tbl>
    <w:p w14:paraId="04FA5D5A">
      <w:pPr>
        <w:pStyle w:val="2"/>
        <w:numPr>
          <w:ilvl w:val="0"/>
          <w:numId w:val="4"/>
        </w:numPr>
        <w:jc w:val="left"/>
        <w:rPr>
          <w:rFonts w:ascii="宋体" w:hAnsi="宋体" w:eastAsia="宋体" w:cs="宋体"/>
          <w:sz w:val="24"/>
          <w:szCs w:val="24"/>
        </w:rPr>
      </w:pPr>
      <w:r>
        <w:rPr>
          <w:rFonts w:hint="eastAsia" w:ascii="宋体" w:hAnsi="宋体" w:eastAsia="宋体" w:cs="宋体"/>
          <w:sz w:val="24"/>
          <w:szCs w:val="24"/>
        </w:rPr>
        <w:t>验收标准</w:t>
      </w:r>
    </w:p>
    <w:p w14:paraId="77521924">
      <w:pPr>
        <w:pStyle w:val="2"/>
        <w:numPr>
          <w:ilvl w:val="1"/>
          <w:numId w:val="4"/>
        </w:numPr>
        <w:jc w:val="left"/>
        <w:rPr>
          <w:rFonts w:ascii="宋体" w:hAnsi="宋体" w:eastAsia="宋体" w:cs="宋体"/>
          <w:sz w:val="24"/>
          <w:szCs w:val="24"/>
        </w:rPr>
      </w:pPr>
      <w:r>
        <w:rPr>
          <w:rFonts w:ascii="宋体" w:hAnsi="宋体" w:eastAsia="宋体" w:cs="宋体"/>
          <w:sz w:val="24"/>
          <w:szCs w:val="24"/>
        </w:rPr>
        <w:t xml:space="preserve">服务绩效指标 </w:t>
      </w:r>
    </w:p>
    <w:p w14:paraId="2E511320">
      <w:pPr>
        <w:spacing w:line="360" w:lineRule="auto"/>
        <w:ind w:firstLine="420"/>
        <w:rPr>
          <w:rFonts w:ascii="宋体" w:hAnsi="宋体"/>
          <w:sz w:val="24"/>
        </w:rPr>
      </w:pPr>
      <w:r>
        <w:rPr>
          <w:rFonts w:ascii="宋体" w:hAnsi="宋体"/>
          <w:sz w:val="24"/>
        </w:rPr>
        <w:t>（1）云服务服务期内整体可用性应不低于99.99%，数据可靠性应不低于99.9999%。</w:t>
      </w:r>
    </w:p>
    <w:p w14:paraId="5690F840">
      <w:pPr>
        <w:spacing w:line="360" w:lineRule="auto"/>
        <w:ind w:firstLine="420"/>
        <w:rPr>
          <w:rFonts w:ascii="宋体" w:hAnsi="宋体"/>
          <w:sz w:val="24"/>
        </w:rPr>
      </w:pPr>
      <w:r>
        <w:rPr>
          <w:rFonts w:ascii="宋体" w:hAnsi="宋体"/>
          <w:sz w:val="24"/>
        </w:rPr>
        <w:t xml:space="preserve">（2）故障响应率100%； </w:t>
      </w:r>
    </w:p>
    <w:p w14:paraId="3F0205C2">
      <w:pPr>
        <w:spacing w:line="360" w:lineRule="auto"/>
        <w:ind w:firstLine="420"/>
        <w:rPr>
          <w:rFonts w:ascii="宋体" w:hAnsi="宋体"/>
          <w:sz w:val="24"/>
        </w:rPr>
      </w:pPr>
      <w:r>
        <w:rPr>
          <w:rFonts w:ascii="宋体" w:hAnsi="宋体"/>
          <w:sz w:val="24"/>
        </w:rPr>
        <w:t xml:space="preserve">（3）应急响应时间≤10分钟（重大事件1分钟内响应）； </w:t>
      </w:r>
    </w:p>
    <w:p w14:paraId="75CFC2D1">
      <w:pPr>
        <w:pStyle w:val="2"/>
        <w:numPr>
          <w:ilvl w:val="1"/>
          <w:numId w:val="4"/>
        </w:numPr>
        <w:jc w:val="left"/>
        <w:rPr>
          <w:rFonts w:ascii="宋体" w:hAnsi="宋体" w:eastAsia="宋体" w:cs="宋体"/>
          <w:sz w:val="24"/>
          <w:szCs w:val="24"/>
        </w:rPr>
      </w:pPr>
      <w:r>
        <w:rPr>
          <w:rFonts w:ascii="宋体" w:hAnsi="宋体" w:eastAsia="宋体" w:cs="宋体"/>
          <w:sz w:val="24"/>
          <w:szCs w:val="24"/>
        </w:rPr>
        <w:t xml:space="preserve">项目验收要求 </w:t>
      </w:r>
    </w:p>
    <w:p w14:paraId="6D108F44">
      <w:pPr>
        <w:spacing w:line="360" w:lineRule="auto"/>
        <w:ind w:firstLine="420"/>
        <w:rPr>
          <w:rFonts w:ascii="宋体" w:hAnsi="宋体"/>
          <w:sz w:val="24"/>
        </w:rPr>
      </w:pPr>
      <w:r>
        <w:rPr>
          <w:rFonts w:ascii="宋体" w:hAnsi="宋体"/>
          <w:sz w:val="24"/>
        </w:rPr>
        <w:t xml:space="preserve">（1）投标人所提供的北京市市级政务云基础资源服务应遵循客观、科学、合理的原则，符合《北京市市级政务云管理办法》的相关标准及要求。 </w:t>
      </w:r>
    </w:p>
    <w:p w14:paraId="0B63C929">
      <w:pPr>
        <w:spacing w:line="360" w:lineRule="auto"/>
        <w:ind w:firstLine="420"/>
        <w:rPr>
          <w:rFonts w:ascii="宋体" w:hAnsi="宋体"/>
          <w:sz w:val="24"/>
        </w:rPr>
      </w:pPr>
      <w:r>
        <w:rPr>
          <w:rFonts w:ascii="宋体" w:hAnsi="宋体"/>
          <w:sz w:val="24"/>
        </w:rPr>
        <w:t xml:space="preserve">（2）投标人所提供资源应满足采购文件规定的要求。保证合同期内系统安全稳定运行，不因硬件故障导致累计服务中断23小时及以上。 </w:t>
      </w:r>
    </w:p>
    <w:p w14:paraId="579D78A1">
      <w:pPr>
        <w:spacing w:line="360" w:lineRule="auto"/>
        <w:ind w:firstLine="420"/>
        <w:rPr>
          <w:rFonts w:ascii="宋体" w:hAnsi="宋体"/>
          <w:sz w:val="24"/>
        </w:rPr>
      </w:pPr>
      <w:r>
        <w:rPr>
          <w:rFonts w:ascii="宋体" w:hAnsi="宋体"/>
          <w:sz w:val="24"/>
        </w:rPr>
        <w:t xml:space="preserve">（3）供应商于合同服务期结束后的15个工作日内向采购人提交验收申请及项目验收材料，采购人在收到验收申请后的5个工作日内，确定具体验收日期。投标人应当在采购人指定的验收日前向采购人提交验收报告。验收报告的内容包括但不限于，合同规定的各项服务清单，各系统设备运行情况。 </w:t>
      </w:r>
    </w:p>
    <w:p w14:paraId="21FB4724">
      <w:pPr>
        <w:spacing w:line="360" w:lineRule="auto"/>
        <w:ind w:firstLine="420"/>
        <w:rPr>
          <w:rFonts w:hint="eastAsia" w:ascii="宋体" w:hAnsi="宋体"/>
          <w:sz w:val="24"/>
        </w:rPr>
      </w:pPr>
      <w:r>
        <w:rPr>
          <w:rFonts w:ascii="宋体" w:hAnsi="宋体"/>
          <w:sz w:val="24"/>
        </w:rPr>
        <w:t>（4）服务期届满，投标人按照采购人要求完成所有项目，各项记录、报告等文档齐全，无任何系统遗留问题，并通过由采购人组织的专家验收评审，方可通过验收。</w:t>
      </w:r>
    </w:p>
    <w:p w14:paraId="5F2346C7">
      <w:pPr>
        <w:pStyle w:val="2"/>
        <w:numPr>
          <w:ilvl w:val="0"/>
          <w:numId w:val="4"/>
        </w:numPr>
        <w:jc w:val="left"/>
        <w:rPr>
          <w:rFonts w:ascii="宋体" w:hAnsi="宋体" w:eastAsia="宋体" w:cs="宋体"/>
          <w:sz w:val="24"/>
          <w:szCs w:val="24"/>
        </w:rPr>
      </w:pPr>
      <w:r>
        <w:rPr>
          <w:rFonts w:hint="eastAsia" w:ascii="宋体" w:hAnsi="宋体" w:eastAsia="宋体" w:cs="宋体"/>
          <w:sz w:val="24"/>
          <w:szCs w:val="24"/>
        </w:rPr>
        <w:t>其他要求</w:t>
      </w:r>
    </w:p>
    <w:p w14:paraId="7D9F9E68">
      <w:pPr>
        <w:pStyle w:val="2"/>
        <w:numPr>
          <w:ilvl w:val="1"/>
          <w:numId w:val="4"/>
        </w:numPr>
        <w:ind w:left="709" w:hanging="709"/>
        <w:jc w:val="left"/>
        <w:rPr>
          <w:rFonts w:ascii="宋体" w:hAnsi="宋体" w:eastAsia="宋体" w:cs="宋体"/>
          <w:sz w:val="24"/>
          <w:szCs w:val="24"/>
        </w:rPr>
      </w:pPr>
      <w:r>
        <w:rPr>
          <w:rFonts w:hint="eastAsia" w:ascii="宋体" w:hAnsi="宋体" w:eastAsia="宋体" w:cs="宋体"/>
          <w:sz w:val="24"/>
          <w:szCs w:val="24"/>
        </w:rPr>
        <w:t>售后服务</w:t>
      </w:r>
    </w:p>
    <w:p w14:paraId="097A0488">
      <w:pPr>
        <w:spacing w:line="360" w:lineRule="auto"/>
        <w:ind w:firstLine="420"/>
        <w:rPr>
          <w:rFonts w:ascii="宋体" w:hAnsi="宋体"/>
          <w:sz w:val="24"/>
        </w:rPr>
      </w:pPr>
      <w:r>
        <w:rPr>
          <w:rFonts w:hint="eastAsia" w:ascii="宋体" w:hAnsi="宋体"/>
          <w:sz w:val="24"/>
        </w:rPr>
        <w:t>项目经理不少于</w:t>
      </w:r>
      <w:r>
        <w:rPr>
          <w:rFonts w:ascii="宋体" w:hAnsi="宋体"/>
          <w:sz w:val="24"/>
        </w:rPr>
        <w:t>1</w:t>
      </w:r>
      <w:r>
        <w:rPr>
          <w:rFonts w:hint="eastAsia" w:ascii="宋体" w:hAnsi="宋体"/>
          <w:sz w:val="24"/>
        </w:rPr>
        <w:t>人，需为本科及以上学历，具备</w:t>
      </w:r>
      <w:r>
        <w:rPr>
          <w:rFonts w:ascii="宋体" w:hAnsi="宋体"/>
          <w:sz w:val="24"/>
        </w:rPr>
        <w:t>10</w:t>
      </w:r>
      <w:r>
        <w:rPr>
          <w:rFonts w:hint="eastAsia" w:ascii="宋体" w:hAnsi="宋体"/>
          <w:sz w:val="24"/>
        </w:rPr>
        <w:t>年（含）以上的工作经验，并具有信息系统项目管理师（高级）证书。</w:t>
      </w:r>
    </w:p>
    <w:p w14:paraId="0778A695">
      <w:pPr>
        <w:spacing w:line="360" w:lineRule="auto"/>
        <w:ind w:firstLine="420"/>
        <w:rPr>
          <w:rFonts w:ascii="宋体" w:hAnsi="宋体"/>
          <w:sz w:val="24"/>
        </w:rPr>
      </w:pPr>
      <w:r>
        <w:rPr>
          <w:rFonts w:hint="eastAsia" w:ascii="宋体" w:hAnsi="宋体"/>
          <w:sz w:val="24"/>
        </w:rPr>
        <w:t>技术负责人</w:t>
      </w:r>
      <w:r>
        <w:rPr>
          <w:rFonts w:ascii="宋体" w:hAnsi="宋体"/>
          <w:sz w:val="24"/>
        </w:rPr>
        <w:t>1</w:t>
      </w:r>
      <w:r>
        <w:rPr>
          <w:rFonts w:hint="eastAsia" w:ascii="宋体" w:hAnsi="宋体"/>
          <w:sz w:val="24"/>
        </w:rPr>
        <w:t>人，需为本科及以上学历，具备</w:t>
      </w:r>
      <w:r>
        <w:rPr>
          <w:rFonts w:ascii="宋体" w:hAnsi="宋体"/>
          <w:sz w:val="24"/>
        </w:rPr>
        <w:t>10</w:t>
      </w:r>
      <w:r>
        <w:rPr>
          <w:rFonts w:hint="eastAsia" w:ascii="宋体" w:hAnsi="宋体"/>
          <w:sz w:val="24"/>
        </w:rPr>
        <w:t>年（含）以上的工作经验，须同时具有系统架构设计师（高级）证书、系统分析师（高级）证书、软件设计师（中级）及以上证书。</w:t>
      </w:r>
    </w:p>
    <w:p w14:paraId="233FEF2D">
      <w:pPr>
        <w:spacing w:line="360" w:lineRule="auto"/>
        <w:ind w:firstLine="420"/>
        <w:rPr>
          <w:rFonts w:ascii="宋体" w:hAnsi="宋体"/>
          <w:sz w:val="24"/>
        </w:rPr>
      </w:pPr>
      <w:r>
        <w:rPr>
          <w:rFonts w:hint="eastAsia" w:ascii="宋体" w:hAnsi="宋体"/>
          <w:sz w:val="24"/>
        </w:rPr>
        <w:t>质量管理专员</w:t>
      </w:r>
      <w:r>
        <w:rPr>
          <w:rFonts w:ascii="宋体" w:hAnsi="宋体"/>
          <w:sz w:val="24"/>
        </w:rPr>
        <w:t>1</w:t>
      </w:r>
      <w:r>
        <w:rPr>
          <w:rFonts w:hint="eastAsia" w:ascii="宋体" w:hAnsi="宋体"/>
          <w:sz w:val="24"/>
        </w:rPr>
        <w:t>人，需为本科及以上学历，具备</w:t>
      </w:r>
      <w:r>
        <w:rPr>
          <w:rFonts w:ascii="宋体" w:hAnsi="宋体"/>
          <w:sz w:val="24"/>
        </w:rPr>
        <w:t xml:space="preserve"> 10 </w:t>
      </w:r>
      <w:r>
        <w:rPr>
          <w:rFonts w:hint="eastAsia" w:ascii="宋体" w:hAnsi="宋体"/>
          <w:sz w:val="24"/>
        </w:rPr>
        <w:t>年（含）以上的工作经验，同时具有质量管理体系内审员证书、系统集成项目管理工程师证书（中级）、信息系统项目管理师（高级）证书。</w:t>
      </w:r>
    </w:p>
    <w:p w14:paraId="72D8F0A3">
      <w:pPr>
        <w:spacing w:line="360" w:lineRule="auto"/>
        <w:ind w:firstLine="420"/>
        <w:rPr>
          <w:rFonts w:ascii="宋体" w:hAnsi="宋体" w:cs="宋体"/>
          <w:sz w:val="24"/>
        </w:rPr>
      </w:pPr>
      <w:r>
        <w:rPr>
          <w:rFonts w:hint="eastAsia" w:ascii="宋体" w:hAnsi="宋体" w:cs="宋体"/>
          <w:sz w:val="24"/>
        </w:rPr>
        <w:t>项目团队，除项目经理、技术负责人、质量管理专员外，需配备不少于</w:t>
      </w:r>
      <w:r>
        <w:rPr>
          <w:rFonts w:ascii="宋体" w:hAnsi="宋体" w:cs="宋体"/>
          <w:sz w:val="24"/>
        </w:rPr>
        <w:t>5</w:t>
      </w:r>
      <w:r>
        <w:rPr>
          <w:rFonts w:hint="eastAsia" w:ascii="宋体" w:hAnsi="宋体" w:cs="宋体"/>
          <w:sz w:val="24"/>
        </w:rPr>
        <w:t>名成员，每位成员均具备5年（含）以上项目实施经验</w:t>
      </w:r>
    </w:p>
    <w:p w14:paraId="67A7FA61">
      <w:pPr>
        <w:spacing w:line="360" w:lineRule="auto"/>
        <w:ind w:firstLine="420"/>
        <w:rPr>
          <w:rFonts w:ascii="宋体" w:hAnsi="宋体" w:cs="宋体"/>
          <w:sz w:val="24"/>
        </w:rPr>
      </w:pPr>
      <w:r>
        <w:rPr>
          <w:rFonts w:hint="eastAsia" w:ascii="宋体" w:hAnsi="宋体" w:cs="宋体"/>
          <w:sz w:val="24"/>
        </w:rPr>
        <w:t>投标人须设立驻场运维工程师，在采购人现场办公，作息时间与采购人同步，实时响应工作时间内需求及故障处置。</w:t>
      </w:r>
    </w:p>
    <w:p w14:paraId="20271638">
      <w:pPr>
        <w:spacing w:line="360" w:lineRule="auto"/>
        <w:ind w:firstLine="420"/>
        <w:rPr>
          <w:rFonts w:ascii="宋体" w:hAnsi="宋体" w:cs="宋体"/>
          <w:sz w:val="24"/>
        </w:rPr>
      </w:pPr>
      <w:r>
        <w:rPr>
          <w:rFonts w:hint="eastAsia" w:ascii="宋体" w:hAnsi="宋体" w:cs="宋体"/>
          <w:sz w:val="24"/>
        </w:rPr>
        <w:t>投标人须确保运维队伍的稳定。项目实施过程中，投标人调整驻场服务人员，应提前30个工作日通知采购人。</w:t>
      </w:r>
    </w:p>
    <w:p w14:paraId="79EF441D">
      <w:pPr>
        <w:spacing w:line="360" w:lineRule="auto"/>
        <w:ind w:firstLine="420"/>
        <w:rPr>
          <w:rFonts w:ascii="宋体" w:hAnsi="宋体" w:cs="宋体"/>
          <w:sz w:val="24"/>
        </w:rPr>
      </w:pPr>
      <w:r>
        <w:rPr>
          <w:rFonts w:hint="eastAsia" w:ascii="宋体" w:hAnsi="宋体" w:cs="宋体"/>
          <w:sz w:val="24"/>
        </w:rPr>
        <w:t>投标人须利用监控系统或人工对硬件设备及应用系统的运行情况进行7*24小时的不间断巡检监控，及时发现安全隐患，通知相关人员及时处理，并形成监控报告。</w:t>
      </w:r>
    </w:p>
    <w:p w14:paraId="6ED90785">
      <w:pPr>
        <w:spacing w:line="360" w:lineRule="auto"/>
        <w:ind w:firstLine="420"/>
        <w:rPr>
          <w:rFonts w:ascii="宋体" w:hAnsi="宋体" w:cs="宋体"/>
          <w:sz w:val="24"/>
        </w:rPr>
      </w:pPr>
      <w:r>
        <w:rPr>
          <w:rFonts w:hint="eastAsia" w:ascii="宋体" w:hAnsi="宋体" w:cs="宋体"/>
          <w:sz w:val="24"/>
        </w:rPr>
        <w:t>投标人负责设立技术支持热线，并安排专人值守，提供7*24小时热线支持服务。投标人针对采购人要求的云平台运维服务相关内容，需指定专业技术能力较强的工程师，根据采购人要求配合开展相关维护服务。</w:t>
      </w:r>
    </w:p>
    <w:p w14:paraId="7ED421D9">
      <w:pPr>
        <w:pStyle w:val="2"/>
        <w:numPr>
          <w:ilvl w:val="1"/>
          <w:numId w:val="4"/>
        </w:numPr>
        <w:ind w:left="709" w:hanging="709"/>
        <w:jc w:val="left"/>
        <w:rPr>
          <w:rFonts w:ascii="宋体" w:hAnsi="宋体" w:eastAsia="宋体" w:cs="宋体"/>
          <w:sz w:val="24"/>
          <w:szCs w:val="24"/>
        </w:rPr>
      </w:pPr>
      <w:r>
        <w:rPr>
          <w:rFonts w:hint="eastAsia" w:ascii="宋体" w:hAnsi="宋体" w:eastAsia="宋体" w:cs="宋体"/>
          <w:sz w:val="24"/>
          <w:szCs w:val="24"/>
        </w:rPr>
        <w:t>故障响应服务</w:t>
      </w:r>
    </w:p>
    <w:p w14:paraId="20CEB2D4">
      <w:pPr>
        <w:spacing w:line="360" w:lineRule="auto"/>
        <w:ind w:firstLine="420"/>
        <w:rPr>
          <w:rFonts w:ascii="宋体" w:hAnsi="宋体" w:cs="宋体"/>
          <w:sz w:val="24"/>
        </w:rPr>
      </w:pPr>
      <w:r>
        <w:rPr>
          <w:rFonts w:hint="eastAsia" w:ascii="宋体" w:hAnsi="宋体" w:cs="宋体"/>
          <w:sz w:val="24"/>
        </w:rPr>
        <w:t>投标人应当提供高效的系统维护服务，有效防范系统风险，投标人需保持7*24小时电话畅通，能够在系统发生除宕机外的其他故障问题时，能够协调人力资源在2小时内到达运维现场提供服务。系统发生宕机问题时，投标人应在15分钟内响应，故障处理完毕后提供相关系统宕机报告。</w:t>
      </w:r>
    </w:p>
    <w:p w14:paraId="2A9708A2">
      <w:pPr>
        <w:pStyle w:val="2"/>
        <w:numPr>
          <w:ilvl w:val="1"/>
          <w:numId w:val="4"/>
        </w:numPr>
        <w:ind w:left="709" w:hanging="709"/>
        <w:jc w:val="left"/>
        <w:rPr>
          <w:rFonts w:ascii="宋体" w:hAnsi="宋体" w:eastAsia="宋体" w:cs="宋体"/>
          <w:sz w:val="24"/>
          <w:szCs w:val="24"/>
        </w:rPr>
      </w:pPr>
      <w:r>
        <w:rPr>
          <w:rFonts w:hint="eastAsia" w:ascii="宋体" w:hAnsi="宋体" w:eastAsia="宋体" w:cs="宋体"/>
          <w:sz w:val="24"/>
          <w:szCs w:val="24"/>
        </w:rPr>
        <w:t>重点保障要求</w:t>
      </w:r>
    </w:p>
    <w:p w14:paraId="64C9BEE7">
      <w:pPr>
        <w:spacing w:line="360" w:lineRule="auto"/>
        <w:ind w:firstLine="420"/>
        <w:rPr>
          <w:rFonts w:ascii="宋体" w:hAnsi="宋体"/>
          <w:sz w:val="24"/>
        </w:rPr>
      </w:pPr>
      <w:r>
        <w:rPr>
          <w:rFonts w:hint="eastAsia" w:ascii="宋体" w:hAnsi="宋体"/>
          <w:sz w:val="24"/>
        </w:rPr>
        <w:t>为保障业务高峰期内系统平稳运行，缓解系统高峰期内因业务发生量增大而带来系统压力风险，要求投标人根据业务周期性特点，提供满足三级等保的运维值守服务，包含所有云主机的运维维保和远程值守以及定期的巡检服务，包含重要时间节点如春节、两会、国庆等重大时间点的重保服务，在值守服务基础上增加每天10次人工巡检查看网站访问情况、应急处置、安全事件验证、分析、事件报告等内容，加大运维保障力度，保证在业务高峰期内系统平稳运行。</w:t>
      </w:r>
    </w:p>
    <w:p w14:paraId="3575F42F">
      <w:pPr>
        <w:pStyle w:val="2"/>
        <w:numPr>
          <w:ilvl w:val="1"/>
          <w:numId w:val="4"/>
        </w:numPr>
        <w:ind w:left="709" w:hanging="709"/>
        <w:jc w:val="left"/>
        <w:rPr>
          <w:rFonts w:ascii="宋体" w:hAnsi="宋体" w:eastAsia="宋体" w:cs="宋体"/>
          <w:sz w:val="24"/>
          <w:szCs w:val="24"/>
        </w:rPr>
      </w:pPr>
      <w:r>
        <w:rPr>
          <w:rFonts w:hint="eastAsia" w:ascii="宋体" w:hAnsi="宋体" w:eastAsia="宋体" w:cs="宋体"/>
          <w:sz w:val="24"/>
          <w:szCs w:val="24"/>
        </w:rPr>
        <w:t>安全及保密要求</w:t>
      </w:r>
    </w:p>
    <w:p w14:paraId="194F9E01">
      <w:pPr>
        <w:spacing w:line="360" w:lineRule="auto"/>
        <w:ind w:firstLine="420"/>
        <w:rPr>
          <w:rFonts w:ascii="宋体" w:hAnsi="宋体" w:cs="宋体"/>
          <w:sz w:val="24"/>
        </w:rPr>
      </w:pPr>
      <w:r>
        <w:rPr>
          <w:rFonts w:hint="eastAsia" w:ascii="宋体" w:hAnsi="宋体" w:cs="宋体"/>
          <w:sz w:val="24"/>
        </w:rPr>
        <w:t>投标人须严格遵守采购人的相关信息安全规定，本项目涉及人员须与投标人签订保密协议，项目中标后本项目服务人员须与采购人签订针对本项目的保密协议，投标人应选派具有良好职业道德的人员参与和从事本项目工作，不得利用系统维护服务时的便利对采购人数据及其他信息擅自修改或透漏，投标人须承担相关保密责任。</w:t>
      </w:r>
    </w:p>
    <w:p w14:paraId="4B23CAC7">
      <w:pPr>
        <w:pStyle w:val="2"/>
        <w:numPr>
          <w:ilvl w:val="1"/>
          <w:numId w:val="4"/>
        </w:numPr>
        <w:ind w:left="709" w:hanging="709"/>
        <w:jc w:val="left"/>
        <w:rPr>
          <w:rFonts w:ascii="宋体" w:hAnsi="宋体" w:eastAsia="宋体" w:cs="宋体"/>
          <w:sz w:val="24"/>
          <w:szCs w:val="24"/>
        </w:rPr>
      </w:pPr>
      <w:r>
        <w:rPr>
          <w:rFonts w:hint="eastAsia" w:ascii="宋体" w:hAnsi="宋体" w:eastAsia="宋体" w:cs="宋体"/>
          <w:sz w:val="24"/>
          <w:szCs w:val="24"/>
        </w:rPr>
        <w:t>迁移要求</w:t>
      </w:r>
    </w:p>
    <w:p w14:paraId="355218B3">
      <w:pPr>
        <w:spacing w:line="360" w:lineRule="auto"/>
        <w:ind w:firstLine="420"/>
        <w:rPr>
          <w:rFonts w:ascii="宋体" w:hAnsi="宋体"/>
          <w:sz w:val="24"/>
        </w:rPr>
      </w:pPr>
      <w:r>
        <w:rPr>
          <w:rFonts w:ascii="宋体" w:hAnsi="宋体"/>
          <w:sz w:val="24"/>
        </w:rPr>
        <w:t>投标人</w:t>
      </w:r>
      <w:r>
        <w:rPr>
          <w:rFonts w:hint="eastAsia" w:ascii="宋体" w:hAnsi="宋体"/>
          <w:sz w:val="24"/>
        </w:rPr>
        <w:t>须</w:t>
      </w:r>
      <w:r>
        <w:rPr>
          <w:rFonts w:ascii="宋体" w:hAnsi="宋体"/>
          <w:sz w:val="24"/>
        </w:rPr>
        <w:t>承诺</w:t>
      </w:r>
      <w:r>
        <w:rPr>
          <w:rFonts w:hint="eastAsia" w:ascii="宋体" w:hAnsi="宋体"/>
          <w:sz w:val="24"/>
        </w:rPr>
        <w:t>，若如涉及业务迁移，需在不中断业务的前提下，自合同生效之日起</w:t>
      </w:r>
      <w:r>
        <w:rPr>
          <w:rFonts w:ascii="宋体" w:hAnsi="宋体"/>
          <w:sz w:val="24"/>
        </w:rPr>
        <w:t>3</w:t>
      </w:r>
      <w:r>
        <w:rPr>
          <w:rFonts w:hint="eastAsia" w:ascii="宋体" w:hAnsi="宋体"/>
          <w:sz w:val="24"/>
        </w:rPr>
        <w:t>个工作日内完成全部系统迁移</w:t>
      </w:r>
      <w:r>
        <w:rPr>
          <w:rFonts w:ascii="宋体" w:hAnsi="宋体"/>
          <w:sz w:val="24"/>
        </w:rPr>
        <w:t>，并且不能改变和影响原有系统的功能、技术状态以及</w:t>
      </w:r>
      <w:r>
        <w:rPr>
          <w:rFonts w:hint="eastAsia" w:ascii="宋体" w:hAnsi="宋体"/>
          <w:sz w:val="24"/>
        </w:rPr>
        <w:t>采购人</w:t>
      </w:r>
      <w:r>
        <w:rPr>
          <w:rFonts w:ascii="宋体" w:hAnsi="宋体"/>
          <w:sz w:val="24"/>
        </w:rPr>
        <w:t>的使用习惯。未按时完成系统迁移工作的，采购人有权解除合同并有权要求投标人按合同</w:t>
      </w:r>
      <w:r>
        <w:rPr>
          <w:rFonts w:hint="eastAsia" w:ascii="宋体" w:hAnsi="宋体"/>
          <w:sz w:val="24"/>
        </w:rPr>
        <w:t>全款</w:t>
      </w:r>
      <w:r>
        <w:rPr>
          <w:rFonts w:ascii="宋体" w:hAnsi="宋体"/>
          <w:sz w:val="24"/>
        </w:rPr>
        <w:t>款双倍支付违约金。</w:t>
      </w:r>
    </w:p>
    <w:p w14:paraId="438FEBA9">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D19E9"/>
    <w:multiLevelType w:val="multilevel"/>
    <w:tmpl w:val="20BD19E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341C50EB"/>
    <w:multiLevelType w:val="multilevel"/>
    <w:tmpl w:val="341C50E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63812234"/>
    <w:multiLevelType w:val="multilevel"/>
    <w:tmpl w:val="63812234"/>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714CA2C4"/>
    <w:multiLevelType w:val="multilevel"/>
    <w:tmpl w:val="714CA2C4"/>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11635"/>
    <w:rsid w:val="6DC11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3">
    <w:name w:val="heading 3"/>
    <w:basedOn w:val="1"/>
    <w:next w:val="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2025-05-19T06:50:00Z</dcterms:created>
  <dc:creator>卓</dc:creator>
  <cp:lastModifiedBy>卓</cp:lastModifiedBy>
  <dcterms:modified xsi:type="dcterms:W3CDTF">2025-05-19T06:50:42Z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CB49D2E1E5C94A9E9BFEB5FC8B56D07A_11</vt:lpwstr>
  </property>
  <property fmtid="{D5CDD505-2E9C-101B-9397-08002B2CF9AE}" pid="4" name="KSOTemplateDocerSaveRecord">
    <vt:lpwstr>eyJoZGlkIjoiNTQ2YWU4ZmVkMTg2MmRlOGU2ZWVkODQzZWU5OTBiZDAiLCJ1c2VySWQiOiI1NDQ3NjE0MjMifQ==</vt:lpwstr>
  </property>
</Properties>
</file>