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97C4">
      <w:pPr>
        <w:spacing w:line="360" w:lineRule="auto"/>
        <w:jc w:val="center"/>
        <w:outlineLvl w:val="0"/>
        <w:rPr>
          <w:b/>
          <w:color w:val="auto"/>
          <w:sz w:val="36"/>
          <w:szCs w:val="36"/>
          <w:highlight w:val="none"/>
        </w:rPr>
      </w:pPr>
      <w:bookmarkStart w:id="0" w:name="_Toc99301424"/>
      <w:r>
        <w:rPr>
          <w:b/>
          <w:color w:val="auto"/>
          <w:sz w:val="36"/>
          <w:szCs w:val="36"/>
          <w:highlight w:val="none"/>
        </w:rPr>
        <w:t>第五章   采购需求</w:t>
      </w:r>
      <w:bookmarkEnd w:id="0"/>
    </w:p>
    <w:p w14:paraId="57793B1B">
      <w:pPr>
        <w:tabs>
          <w:tab w:val="left" w:pos="360"/>
          <w:tab w:val="left" w:pos="900"/>
        </w:tabs>
        <w:snapToGrid w:val="0"/>
        <w:spacing w:line="360" w:lineRule="auto"/>
        <w:ind w:firstLine="0" w:firstLineChars="0"/>
        <w:jc w:val="left"/>
        <w:outlineLvl w:val="1"/>
        <w:rPr>
          <w:rFonts w:hint="eastAsia" w:ascii="Times New Roman" w:hAnsi="Times New Roman"/>
          <w:b/>
          <w:color w:val="auto"/>
          <w:sz w:val="24"/>
          <w:szCs w:val="24"/>
          <w:highlight w:val="none"/>
        </w:rPr>
      </w:pPr>
      <w:bookmarkStart w:id="1" w:name="OLE_LINK1"/>
      <w:r>
        <w:rPr>
          <w:rFonts w:hint="eastAsia" w:ascii="Times New Roman" w:hAnsi="Times New Roman"/>
          <w:b/>
          <w:color w:val="auto"/>
          <w:sz w:val="24"/>
          <w:szCs w:val="24"/>
          <w:highlight w:val="none"/>
        </w:rPr>
        <w:t>一、采购标的</w:t>
      </w:r>
    </w:p>
    <w:bookmarkEnd w:id="1"/>
    <w:p w14:paraId="35277018">
      <w:pPr>
        <w:pStyle w:val="2"/>
        <w:ind w:firstLineChars="196"/>
        <w:jc w:val="left"/>
        <w:rPr>
          <w:rFonts w:hint="eastAsia" w:ascii="楷体" w:hAnsi="楷体" w:eastAsia="楷体" w:cs="楷体"/>
          <w:b/>
          <w:color w:val="auto"/>
          <w:sz w:val="24"/>
          <w:szCs w:val="21"/>
          <w:highlight w:val="none"/>
        </w:rPr>
      </w:pPr>
      <w:r>
        <w:rPr>
          <w:rFonts w:hint="eastAsia" w:ascii="楷体" w:hAnsi="楷体" w:eastAsia="楷体" w:cs="楷体"/>
          <w:b/>
          <w:color w:val="auto"/>
          <w:sz w:val="24"/>
          <w:szCs w:val="21"/>
          <w:highlight w:val="none"/>
        </w:rPr>
        <w:t>1.采购标的</w:t>
      </w:r>
    </w:p>
    <w:p w14:paraId="1E75CD4F">
      <w:pPr>
        <w:adjustRightInd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北京市市场监督管理局2025-2026年政务云基础资源租用服务项目</w:t>
      </w:r>
    </w:p>
    <w:p w14:paraId="55C89459">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标的名称：北京市市场监督管理局2025-2026年政务云基础资源租用服务项目</w:t>
      </w:r>
    </w:p>
    <w:p w14:paraId="395983E5">
      <w:pPr>
        <w:adjustRightInd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none"/>
        </w:rPr>
        <w:t>项目预算：</w:t>
      </w:r>
      <w:r>
        <w:rPr>
          <w:rFonts w:hint="eastAsia" w:ascii="宋体" w:hAnsi="宋体" w:cs="宋体"/>
          <w:color w:val="auto"/>
          <w:sz w:val="24"/>
          <w:highlight w:val="none"/>
          <w:u w:val="single"/>
        </w:rPr>
        <w:t xml:space="preserve">548.152533 </w:t>
      </w:r>
      <w:r>
        <w:rPr>
          <w:rFonts w:hint="eastAsia" w:ascii="宋体" w:hAnsi="宋体" w:cs="宋体"/>
          <w:color w:val="auto"/>
          <w:sz w:val="24"/>
          <w:highlight w:val="none"/>
        </w:rPr>
        <w:t>万元。</w:t>
      </w:r>
    </w:p>
    <w:p w14:paraId="38482F0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u w:val="single"/>
        </w:rPr>
        <w:t>自合同签订之日起12个月。</w:t>
      </w:r>
    </w:p>
    <w:p w14:paraId="444134F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本项目是否接受联合体投标：☑是  □否。</w:t>
      </w:r>
    </w:p>
    <w:p w14:paraId="5AEC404D">
      <w:pPr>
        <w:pStyle w:val="2"/>
        <w:jc w:val="left"/>
        <w:rPr>
          <w:rFonts w:hint="eastAsia" w:ascii="楷体" w:hAnsi="楷体" w:eastAsia="楷体" w:cs="楷体"/>
          <w:color w:val="auto"/>
          <w:sz w:val="24"/>
          <w:highlight w:val="none"/>
        </w:rPr>
      </w:pPr>
      <w:r>
        <w:rPr>
          <w:rFonts w:hint="eastAsia" w:ascii="楷体" w:hAnsi="楷体" w:eastAsia="楷体" w:cs="楷体"/>
          <w:color w:val="auto"/>
          <w:sz w:val="24"/>
          <w:highlight w:val="none"/>
        </w:rPr>
        <w:t>2.项目概述</w:t>
      </w:r>
    </w:p>
    <w:p w14:paraId="49FD6C47">
      <w:pPr>
        <w:snapToGrid w:val="0"/>
        <w:spacing w:line="360" w:lineRule="auto"/>
        <w:ind w:firstLine="480" w:firstLineChars="200"/>
        <w:rPr>
          <w:rFonts w:ascii="宋体" w:hAnsi="宋体"/>
          <w:b/>
          <w:color w:val="auto"/>
          <w:szCs w:val="21"/>
          <w:highlight w:val="none"/>
        </w:rPr>
      </w:pPr>
      <w:r>
        <w:rPr>
          <w:rFonts w:hint="eastAsia" w:ascii="宋体" w:hAnsi="宋体" w:cs="宋体"/>
          <w:bCs/>
          <w:color w:val="auto"/>
          <w:sz w:val="24"/>
          <w:highlight w:val="none"/>
        </w:rPr>
        <w:t>为贯彻落实北京市经济和信息化局关于印发《北京市市级政务云管理办法的通知》（京经信委函（2019）150号）文件的要求，我单位现有信息系统北京市综合监管信息系统、北京市市场监督管理局事中监管系统、北京市法人基础信息数据库、北京市平台经济综合监管服务系统、北京市市场监督管理局产品质量监督业务管理平台、北京市商务楼宇信息监测系统、北京市市场监督管理局人力资源管理系统、北京市市场监督管理局数据中心系统、北京市市场监督管理局网站系统、北京市市场监督管理局综合财务管理信息系统、北京市计量器具管理系统、北京市市场监督管理局企业信用信息公示系统、北京市市场监督管理局市场主体网格监管系统、北京市企业网上年度申报系统、北京市市场监督管理局特种设备管理综合业务平台、北京市市场监督管理局广告监测系统、北京市市场监督管理局综合执法办案平台、北京市企业登记e窗通服务平台、北京市市场监督管理局企业档案信息综合安全管理系统、北京市统一社会信用代码数据库、北京市标准化管理信息系统共21个政务信息系统自2019年起迁入市政务云。</w:t>
      </w:r>
    </w:p>
    <w:p w14:paraId="533291A1">
      <w:pPr>
        <w:tabs>
          <w:tab w:val="left" w:pos="360"/>
          <w:tab w:val="left" w:pos="900"/>
        </w:tabs>
        <w:snapToGrid w:val="0"/>
        <w:spacing w:line="360" w:lineRule="auto"/>
        <w:jc w:val="left"/>
        <w:outlineLvl w:val="1"/>
        <w:rPr>
          <w:rFonts w:hint="eastAsia"/>
          <w:b/>
          <w:color w:val="auto"/>
          <w:sz w:val="24"/>
          <w:highlight w:val="none"/>
        </w:rPr>
      </w:pPr>
      <w:r>
        <w:rPr>
          <w:rFonts w:hint="eastAsia"/>
          <w:b/>
          <w:color w:val="auto"/>
          <w:sz w:val="24"/>
          <w:highlight w:val="none"/>
        </w:rPr>
        <w:t>二、商务要求</w:t>
      </w:r>
    </w:p>
    <w:p w14:paraId="50C2A2D8">
      <w:pPr>
        <w:pStyle w:val="2"/>
        <w:ind w:firstLineChars="196"/>
        <w:jc w:val="left"/>
        <w:rPr>
          <w:rFonts w:ascii="楷体" w:hAnsi="楷体" w:eastAsia="楷体" w:cs="楷体"/>
          <w:b/>
          <w:color w:val="auto"/>
          <w:sz w:val="24"/>
          <w:szCs w:val="21"/>
          <w:highlight w:val="none"/>
        </w:rPr>
      </w:pPr>
      <w:r>
        <w:rPr>
          <w:rFonts w:ascii="楷体" w:hAnsi="楷体" w:eastAsia="楷体" w:cs="楷体"/>
          <w:b/>
          <w:color w:val="auto"/>
          <w:sz w:val="24"/>
          <w:szCs w:val="21"/>
          <w:highlight w:val="none"/>
        </w:rPr>
        <w:t>1. 交付（实施）的时间（期限）和地点（范围）</w:t>
      </w:r>
    </w:p>
    <w:p w14:paraId="4750713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服务地点：北京市</w:t>
      </w:r>
    </w:p>
    <w:p w14:paraId="54EBE2F0">
      <w:pPr>
        <w:snapToGrid w:val="0"/>
        <w:spacing w:line="360" w:lineRule="auto"/>
        <w:ind w:firstLine="480" w:firstLineChars="200"/>
        <w:rPr>
          <w:rFonts w:ascii="宋体" w:hAnsi="宋体" w:cs="宋体"/>
          <w:b w:val="0"/>
          <w:bCs/>
          <w:color w:val="auto"/>
          <w:sz w:val="24"/>
          <w:szCs w:val="24"/>
          <w:highlight w:val="none"/>
        </w:rPr>
      </w:pPr>
      <w:r>
        <w:rPr>
          <w:rFonts w:hint="eastAsia" w:ascii="宋体" w:hAnsi="宋体" w:cs="宋体"/>
          <w:bCs/>
          <w:color w:val="auto"/>
          <w:sz w:val="24"/>
          <w:highlight w:val="none"/>
        </w:rPr>
        <w:t>服务期限：</w:t>
      </w:r>
      <w:r>
        <w:rPr>
          <w:rFonts w:hint="eastAsia" w:ascii="宋体" w:hAnsi="宋体" w:cs="宋体"/>
          <w:color w:val="auto"/>
          <w:sz w:val="24"/>
          <w:highlight w:val="none"/>
          <w:u w:val="single"/>
        </w:rPr>
        <w:t>自合同签订之日起12个月。</w:t>
      </w:r>
    </w:p>
    <w:p w14:paraId="358380FA">
      <w:pPr>
        <w:pStyle w:val="2"/>
        <w:ind w:firstLineChars="196"/>
        <w:jc w:val="left"/>
        <w:rPr>
          <w:rFonts w:ascii="楷体" w:hAnsi="楷体" w:eastAsia="楷体" w:cs="楷体"/>
          <w:b/>
          <w:color w:val="auto"/>
          <w:sz w:val="24"/>
          <w:szCs w:val="21"/>
          <w:highlight w:val="none"/>
        </w:rPr>
      </w:pPr>
      <w:r>
        <w:rPr>
          <w:rFonts w:ascii="楷体" w:hAnsi="楷体" w:eastAsia="楷体" w:cs="楷体"/>
          <w:b/>
          <w:color w:val="auto"/>
          <w:sz w:val="24"/>
          <w:szCs w:val="21"/>
          <w:highlight w:val="none"/>
        </w:rPr>
        <w:t>2. 付款条件（进度和方式）</w:t>
      </w:r>
    </w:p>
    <w:p w14:paraId="4EB8C414">
      <w:pPr>
        <w:snapToGrid w:val="0"/>
        <w:spacing w:line="360" w:lineRule="auto"/>
        <w:ind w:firstLine="480" w:firstLineChars="200"/>
        <w:rPr>
          <w:rFonts w:ascii="宋体" w:hAnsi="宋体" w:cs="宋体"/>
          <w:b w:val="0"/>
          <w:color w:val="auto"/>
          <w:sz w:val="24"/>
          <w:szCs w:val="24"/>
          <w:highlight w:val="none"/>
          <w:u w:val="single"/>
        </w:rPr>
      </w:pPr>
      <w:r>
        <w:rPr>
          <w:rFonts w:hint="eastAsia" w:ascii="宋体" w:hAnsi="宋体" w:cs="宋体"/>
          <w:color w:val="auto"/>
          <w:sz w:val="24"/>
          <w:highlight w:val="none"/>
          <w:u w:val="single"/>
        </w:rPr>
        <w:t>本项目按合同总金额30%、</w:t>
      </w:r>
      <w:r>
        <w:rPr>
          <w:rFonts w:hint="eastAsia" w:ascii="宋体" w:hAnsi="宋体" w:cs="宋体"/>
          <w:color w:val="auto"/>
          <w:sz w:val="24"/>
          <w:highlight w:val="none"/>
          <w:u w:val="single"/>
          <w:lang w:val="en-US" w:eastAsia="zh-CN"/>
        </w:rPr>
        <w:t>45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%的比例支付首款、</w:t>
      </w:r>
      <w:r>
        <w:rPr>
          <w:rFonts w:hint="eastAsia" w:ascii="宋体" w:hAnsi="宋体" w:cs="宋体"/>
          <w:color w:val="auto"/>
          <w:sz w:val="24"/>
          <w:highlight w:val="none"/>
          <w:u w:val="single"/>
          <w:lang w:val="en-US" w:eastAsia="zh-CN"/>
        </w:rPr>
        <w:t>中期款、</w:t>
      </w:r>
      <w:r>
        <w:rPr>
          <w:rFonts w:hint="eastAsia" w:ascii="宋体" w:hAnsi="宋体" w:cs="宋体"/>
          <w:color w:val="auto"/>
          <w:sz w:val="24"/>
          <w:highlight w:val="none"/>
          <w:u w:val="single"/>
        </w:rPr>
        <w:t>尾款（服务期满后）。</w:t>
      </w:r>
    </w:p>
    <w:p w14:paraId="49005D8A">
      <w:pPr>
        <w:tabs>
          <w:tab w:val="left" w:pos="360"/>
          <w:tab w:val="left" w:pos="900"/>
        </w:tabs>
        <w:snapToGrid w:val="0"/>
        <w:spacing w:line="360" w:lineRule="auto"/>
        <w:ind w:firstLine="0" w:firstLineChars="0"/>
        <w:jc w:val="left"/>
        <w:outlineLvl w:val="1"/>
        <w:rPr>
          <w:rFonts w:ascii="Times New Roman" w:hAnsi="Times New Roman"/>
          <w:b/>
          <w:color w:val="auto"/>
          <w:sz w:val="24"/>
          <w:szCs w:val="24"/>
          <w:highlight w:val="none"/>
        </w:rPr>
      </w:pPr>
      <w:r>
        <w:rPr>
          <w:rFonts w:hint="eastAsia"/>
          <w:b/>
          <w:color w:val="auto"/>
          <w:sz w:val="24"/>
          <w:highlight w:val="none"/>
        </w:rPr>
        <w:t>三、</w:t>
      </w:r>
      <w:r>
        <w:rPr>
          <w:rFonts w:hint="eastAsia" w:ascii="Times New Roman" w:hAnsi="Times New Roman"/>
          <w:b/>
          <w:color w:val="auto"/>
          <w:sz w:val="24"/>
          <w:szCs w:val="24"/>
          <w:highlight w:val="none"/>
        </w:rPr>
        <w:t>技术要求</w:t>
      </w:r>
    </w:p>
    <w:p w14:paraId="52B9EBB6">
      <w:pPr>
        <w:pStyle w:val="2"/>
        <w:ind w:firstLineChars="196"/>
        <w:jc w:val="left"/>
        <w:rPr>
          <w:rFonts w:hint="eastAsia" w:ascii="楷体" w:hAnsi="楷体" w:eastAsia="楷体" w:cs="楷体"/>
          <w:b/>
          <w:color w:val="auto"/>
          <w:sz w:val="24"/>
          <w:szCs w:val="21"/>
          <w:highlight w:val="none"/>
        </w:rPr>
      </w:pPr>
      <w:r>
        <w:rPr>
          <w:rFonts w:hint="eastAsia" w:ascii="楷体" w:hAnsi="楷体" w:eastAsia="楷体" w:cs="楷体"/>
          <w:b/>
          <w:color w:val="auto"/>
          <w:sz w:val="24"/>
          <w:szCs w:val="21"/>
          <w:highlight w:val="none"/>
        </w:rPr>
        <w:t>1.基本要求</w:t>
      </w:r>
    </w:p>
    <w:p w14:paraId="314F06E1">
      <w:pPr>
        <w:spacing w:line="360" w:lineRule="auto"/>
        <w:outlineLvl w:val="2"/>
        <w:rPr>
          <w:color w:val="auto"/>
          <w:sz w:val="24"/>
          <w:szCs w:val="20"/>
          <w:highlight w:val="none"/>
        </w:rPr>
      </w:pPr>
      <w:r>
        <w:rPr>
          <w:color w:val="auto"/>
          <w:sz w:val="24"/>
          <w:szCs w:val="20"/>
          <w:highlight w:val="none"/>
        </w:rPr>
        <w:t>1.1 采购标的需实现的功能或者目标</w:t>
      </w:r>
    </w:p>
    <w:p w14:paraId="3FC7C5D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本项目的总体目标是通过租用政务云平台基础服务，对</w:t>
      </w:r>
      <w:r>
        <w:rPr>
          <w:rFonts w:hint="eastAsia" w:ascii="宋体" w:hAnsi="宋体" w:cs="宋体"/>
          <w:color w:val="auto"/>
          <w:sz w:val="24"/>
          <w:highlight w:val="none"/>
          <w:u w:val="single"/>
        </w:rPr>
        <w:t>北京市市场监督管理局</w:t>
      </w:r>
      <w:r>
        <w:rPr>
          <w:rFonts w:hint="eastAsia" w:ascii="宋体" w:hAnsi="宋体" w:cs="宋体"/>
          <w:color w:val="auto"/>
          <w:sz w:val="24"/>
          <w:highlight w:val="none"/>
        </w:rPr>
        <w:t>业务信息系统</w:t>
      </w:r>
      <w:r>
        <w:rPr>
          <w:rFonts w:hint="eastAsia" w:ascii="宋体" w:hAnsi="宋体" w:cs="宋体"/>
          <w:bCs/>
          <w:color w:val="auto"/>
          <w:sz w:val="24"/>
          <w:highlight w:val="none"/>
        </w:rPr>
        <w:t>的运行环境进行持续优化，提供可靠、稳定、安全的政务云基础服务，具体包括：</w:t>
      </w:r>
    </w:p>
    <w:p w14:paraId="6DFED79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（1）提供政务云基础服务，包括计算服务、存储服务和网络服务等基础环境日常维护、应急响应等工作。</w:t>
      </w:r>
    </w:p>
    <w:p w14:paraId="64A0FAE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（2）提供7*24运维保障，做好重大活动和节假日应急值守保障服务，确保各系统在政务云环境中可靠稳定运行。</w:t>
      </w:r>
    </w:p>
    <w:p w14:paraId="0EC5EA9A">
      <w:pPr>
        <w:widowControl/>
        <w:wordWrap w:val="0"/>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（3）服务期内，投标人须完成信息系统的日常运维和安全运维服务工作（包括但不限于：云平台服务、日常运行维护、服务规范、安全及保密要求、响应的及时性），确保入云系统安全、稳定的运行。</w:t>
      </w:r>
    </w:p>
    <w:p w14:paraId="59C5CD64">
      <w:pPr>
        <w:spacing w:line="360" w:lineRule="auto"/>
        <w:outlineLvl w:val="2"/>
        <w:rPr>
          <w:color w:val="auto"/>
          <w:sz w:val="24"/>
          <w:szCs w:val="20"/>
          <w:highlight w:val="none"/>
        </w:rPr>
      </w:pPr>
      <w:r>
        <w:rPr>
          <w:color w:val="auto"/>
          <w:sz w:val="24"/>
          <w:szCs w:val="20"/>
          <w:highlight w:val="none"/>
        </w:rPr>
        <w:t>1.2 需执行的国家相关标准、行业标准、地方标准或者其他标准、规范</w:t>
      </w:r>
    </w:p>
    <w:p w14:paraId="14655F0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1.2.1国家及北京市有关政策</w:t>
      </w:r>
    </w:p>
    <w:p w14:paraId="0FFC5AE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《关键信息基础设施安全保护条例》（中华人民共和国国务院令第745号）</w:t>
      </w:r>
    </w:p>
    <w:p w14:paraId="5F37257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《国家政务信息化项目建设管理办法》（国办发〔2019〕57号）</w:t>
      </w:r>
    </w:p>
    <w:p w14:paraId="61A4CA6D">
      <w:pPr>
        <w:snapToGrid w:val="0"/>
        <w:spacing w:line="360" w:lineRule="auto"/>
        <w:rPr>
          <w:rFonts w:hint="eastAsia" w:ascii="宋体" w:hAnsi="宋体" w:cs="宋体"/>
          <w:bCs/>
          <w:color w:val="auto"/>
          <w:sz w:val="24"/>
          <w:highlight w:val="none"/>
        </w:rPr>
      </w:pPr>
      <w:r>
        <w:rPr>
          <w:rFonts w:ascii="宋体" w:hAnsi="宋体" w:cs="宋体"/>
          <w:color w:val="auto"/>
          <w:sz w:val="24"/>
          <w:highlight w:val="none"/>
        </w:rPr>
        <w:t>《政府采购需求管理办法》(财库〔2021〕22号)</w:t>
      </w:r>
    </w:p>
    <w:p w14:paraId="09F69809">
      <w:pPr>
        <w:snapToGrid w:val="0"/>
        <w:spacing w:line="360" w:lineRule="auto"/>
        <w:rPr>
          <w:rFonts w:hint="eastAsia" w:ascii="宋体" w:hAnsi="宋体" w:cs="宋体"/>
          <w:bCs/>
          <w:color w:val="auto"/>
          <w:sz w:val="24"/>
          <w:highlight w:val="none"/>
        </w:rPr>
      </w:pPr>
      <w:r>
        <w:rPr>
          <w:rFonts w:ascii="宋体" w:hAnsi="宋体" w:cs="宋体"/>
          <w:color w:val="auto"/>
          <w:sz w:val="24"/>
          <w:highlight w:val="none"/>
        </w:rPr>
        <w:t>《关于促进政府采购公平竞争优化营商环境的通知》（财库〔2019〕38号）</w:t>
      </w:r>
    </w:p>
    <w:p w14:paraId="54333BFA">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《关于进一步提高政府采购透明度和采购效率相关事项的通知》（财办库〔2023〕243号）</w:t>
      </w:r>
    </w:p>
    <w:p w14:paraId="4C90D43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《工业和信息化部信息通信管理局关于督促互联网网络接入服务企业依法持证经营的通知》（工信管函〔2018〕84号）</w:t>
      </w:r>
    </w:p>
    <w:p w14:paraId="6B2924A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《云计算服务安全评估办法》（国家互联网信息办公室、国家发展和改革委员会、工业和信息化部、财政部公告2019年2号）</w:t>
      </w:r>
    </w:p>
    <w:p w14:paraId="246F23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《关于加强党政部门云计算服务网络安全管理的意见》（中网办发文〔2014〕14号）</w:t>
      </w:r>
    </w:p>
    <w:p w14:paraId="56B5D988">
      <w:pPr>
        <w:snapToGrid w:val="0"/>
        <w:spacing w:line="360" w:lineRule="auto"/>
        <w:rPr>
          <w:rFonts w:ascii="Arial" w:hAnsi="Arial" w:eastAsia="微软雅黑"/>
          <w:color w:val="auto"/>
          <w:highlight w:val="none"/>
        </w:rPr>
      </w:pPr>
      <w:r>
        <w:rPr>
          <w:rFonts w:hint="eastAsia" w:ascii="宋体" w:hAnsi="宋体" w:cs="宋体"/>
          <w:bCs/>
          <w:color w:val="auto"/>
          <w:sz w:val="24"/>
          <w:highlight w:val="none"/>
        </w:rPr>
        <w:t>《基于云计算的电子政务公共平台顶层设计指南》</w:t>
      </w:r>
    </w:p>
    <w:p w14:paraId="196729A6">
      <w:pPr>
        <w:snapToGrid w:val="0"/>
        <w:spacing w:line="360" w:lineRule="auto"/>
        <w:rPr>
          <w:rFonts w:hint="eastAsia" w:ascii="宋体" w:hAnsi="宋体" w:cs="宋体"/>
          <w:bCs/>
          <w:color w:val="auto"/>
          <w:sz w:val="24"/>
          <w:highlight w:val="none"/>
        </w:rPr>
      </w:pPr>
      <w:r>
        <w:rPr>
          <w:rFonts w:ascii="宋体" w:hAnsi="宋体" w:cs="宋体"/>
          <w:color w:val="auto"/>
          <w:sz w:val="24"/>
          <w:highlight w:val="none"/>
        </w:rPr>
        <w:t>《北京市财政局关于印发&lt;北京市政府采购负面清单&gt;的通知》（京财采购〔2020〕1345号）</w:t>
      </w:r>
    </w:p>
    <w:p w14:paraId="25B586B8">
      <w:pPr>
        <w:snapToGrid w:val="0"/>
        <w:spacing w:line="360" w:lineRule="auto"/>
        <w:rPr>
          <w:rFonts w:hint="eastAsia" w:ascii="宋体" w:hAnsi="宋体" w:cs="宋体"/>
          <w:bCs/>
          <w:color w:val="auto"/>
          <w:sz w:val="24"/>
          <w:highlight w:val="none"/>
        </w:rPr>
      </w:pPr>
      <w:r>
        <w:rPr>
          <w:rFonts w:ascii="宋体" w:hAnsi="宋体" w:cs="宋体"/>
          <w:color w:val="auto"/>
          <w:sz w:val="24"/>
          <w:highlight w:val="none"/>
        </w:rPr>
        <w:t>《北京市财政局关于落实好政府采购支持中小企业发展的通知（京财采购〔2022〕1143</w:t>
      </w:r>
      <w:r>
        <w:rPr>
          <w:rFonts w:hint="eastAsia" w:ascii="宋体" w:hAnsi="宋体" w:cs="宋体"/>
          <w:color w:val="auto"/>
          <w:sz w:val="24"/>
          <w:highlight w:val="none"/>
        </w:rPr>
        <w:t>号）</w:t>
      </w:r>
    </w:p>
    <w:p w14:paraId="3FFE0A46">
      <w:pPr>
        <w:snapToGrid w:val="0"/>
        <w:spacing w:line="360" w:lineRule="auto"/>
        <w:rPr>
          <w:rFonts w:hint="eastAsia" w:ascii="宋体" w:hAnsi="宋体" w:cs="宋体"/>
          <w:bCs/>
          <w:color w:val="auto"/>
          <w:sz w:val="24"/>
          <w:highlight w:val="none"/>
        </w:rPr>
      </w:pPr>
      <w:r>
        <w:rPr>
          <w:rFonts w:hint="eastAsia" w:ascii="宋体" w:hAnsi="宋体" w:cs="宋体"/>
          <w:color w:val="auto"/>
          <w:sz w:val="24"/>
          <w:highlight w:val="none"/>
        </w:rPr>
        <w:t>《关于印发&lt;关于推进我市政务信息系统整合共享的实施方案&gt;的通知》（京经信委发〔2017〕89号）</w:t>
      </w:r>
    </w:p>
    <w:p w14:paraId="0FDCF99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《北京市人民政府关于印发&lt;北京市政务信息资源管理办法（试行）&gt;的通知》（京政发〔2017〕37号）</w:t>
      </w:r>
    </w:p>
    <w:p w14:paraId="2B5F1D3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《关于印发&lt;北京市市级政务云管理办法&gt;的通知》（京经信函〔2019〕150号）</w:t>
      </w:r>
    </w:p>
    <w:p w14:paraId="7AF0DC9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《北京市政务网络和数据安全管理办法》（京经信发〔2023〕57号）</w:t>
      </w:r>
    </w:p>
    <w:p w14:paraId="054C42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《北京市“十四五”时期智慧城市建设控制性规划要求（试行）》（京大数据发〔2021〕2号）</w:t>
      </w:r>
    </w:p>
    <w:p w14:paraId="59A9F08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1.2.2国家相关标准</w:t>
      </w:r>
    </w:p>
    <w:p w14:paraId="677C718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《国家电子政务外网安全接入平台技术规范》</w:t>
      </w:r>
    </w:p>
    <w:p w14:paraId="2C1B709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《信息技术—云计算—云服务质量评价指标》（GB/T 37738-2019）</w:t>
      </w:r>
    </w:p>
    <w:p w14:paraId="33BB9EC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《信息技术—云计算—云服务计量指标》（GB/T 37735-2019）</w:t>
      </w:r>
    </w:p>
    <w:p w14:paraId="3FC6580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《信息技术—云计算—云服务采购指南》（GB/T 37734-2019）</w:t>
      </w:r>
    </w:p>
    <w:p w14:paraId="372B354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《信息技术—云计算—云存储系统服务接口功能》（GB/T 37732-2019）</w:t>
      </w:r>
    </w:p>
    <w:p w14:paraId="0FA76B2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《信息技术—云计算—云资源监控通用要求》（GB/T 37736-2019）</w:t>
      </w:r>
    </w:p>
    <w:p w14:paraId="24C6EE9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《信息技术—云计算—云平台间应用和数据迁移指南》（GB/T 37740-2019）</w:t>
      </w:r>
    </w:p>
    <w:p w14:paraId="7EBC09D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《信息技术—云计算—云服务交付要求》（GB/T 37741-2019）</w:t>
      </w:r>
    </w:p>
    <w:p w14:paraId="0ED382E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《信息系统灾难恢复规范》（GB/T 20988-2007）</w:t>
      </w:r>
    </w:p>
    <w:p w14:paraId="6350EE0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《信息安全技术 云计算服务安全能力要求》（GB/T 31168-2014）</w:t>
      </w:r>
    </w:p>
    <w:p w14:paraId="32C902F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《信息安全技术 网络安全等级保护定级指南》（GB/T 22240-2020）</w:t>
      </w:r>
    </w:p>
    <w:p w14:paraId="6482EDC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《信息安全技术 网络安全等级保护基本要求》（GB/T 22239-2019）</w:t>
      </w:r>
    </w:p>
    <w:p w14:paraId="0DE8F2C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《信息安全技术 网络安全等级保护测评要求》（GB/T 28448-2019）</w:t>
      </w:r>
    </w:p>
    <w:p w14:paraId="3CB60C44">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信息系统密码应用基本要求》（GB/T39786-2021）</w:t>
      </w:r>
    </w:p>
    <w:p w14:paraId="2F0155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《信息安全技术 信息安全风险评估方法》（GB/T 20984-2022）</w:t>
      </w:r>
    </w:p>
    <w:p w14:paraId="614C70BF">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云计算服务安全指南》（GB/T 31167-2014）</w:t>
      </w:r>
    </w:p>
    <w:p w14:paraId="4C8E452C">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政府网站云计算服务安全指南》（GB/T 38249—2019）</w:t>
      </w:r>
    </w:p>
    <w:p w14:paraId="09009782">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云计算安全参考架构》（GB/T 35279—2017）</w:t>
      </w:r>
    </w:p>
    <w:p w14:paraId="76C106A1">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云计算服务安全能力评估方法》GB/T 34942—2017</w:t>
      </w:r>
    </w:p>
    <w:p w14:paraId="6628355D">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《信息安全技术 云计算服务运行监管框架》（GB/T 37972—2019）</w:t>
      </w:r>
    </w:p>
    <w:p w14:paraId="2F9419C3">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rPr>
        <w:t>《信息技术 云资源监控指标体系》（GB/T 37938-2019）</w:t>
      </w:r>
    </w:p>
    <w:p w14:paraId="5FAD13A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《电子信息系统机房设计规范》（GB50174-2017）</w:t>
      </w:r>
    </w:p>
    <w:p w14:paraId="0DD8926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《数据中心电信基础设施标准》（ANSI/TIA-942）</w:t>
      </w:r>
    </w:p>
    <w:p w14:paraId="4875B9A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《综合布线系统工程设计规范》（GB 50311—2016）</w:t>
      </w:r>
    </w:p>
    <w:p w14:paraId="67614BD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《云计算关键领域安全指南V4.0》</w:t>
      </w:r>
    </w:p>
    <w:p w14:paraId="1AA8163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1.2.3北京市相关标准</w:t>
      </w:r>
    </w:p>
    <w:p w14:paraId="3D69B11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《政务云平台建设技术要求》（DB11/T 2169-2023）</w:t>
      </w:r>
    </w:p>
    <w:p w14:paraId="1ABADF0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《北京市政务云安全技术规范 IaaS云计算平台分册》</w:t>
      </w:r>
    </w:p>
    <w:p w14:paraId="0E09C63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《北京市政务云安全技术规范 IaaS云计算平台安全监管接口分册》</w:t>
      </w:r>
    </w:p>
    <w:p w14:paraId="2805DCD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《北京市政务云安全技术规范 信息安全服务接口分册》</w:t>
      </w:r>
    </w:p>
    <w:p w14:paraId="29C4407A">
      <w:pPr>
        <w:tabs>
          <w:tab w:val="left" w:pos="7894"/>
        </w:tabs>
        <w:spacing w:line="360" w:lineRule="auto"/>
        <w:ind w:firstLine="413" w:firstLineChars="196"/>
        <w:rPr>
          <w:rFonts w:ascii="宋体" w:hAnsi="宋体"/>
          <w:b/>
          <w:color w:val="auto"/>
          <w:szCs w:val="21"/>
          <w:highlight w:val="none"/>
        </w:rPr>
      </w:pPr>
      <w:r>
        <w:rPr>
          <w:rFonts w:hint="eastAsia" w:ascii="楷体" w:hAnsi="楷体" w:eastAsia="楷体" w:cs="宋体"/>
          <w:b/>
          <w:bCs/>
          <w:color w:val="auto"/>
          <w:szCs w:val="21"/>
          <w:highlight w:val="none"/>
        </w:rPr>
        <w:t>注：服务标准涉及的国家标准及北京市标准有更新的，执行最新标准。</w:t>
      </w:r>
    </w:p>
    <w:p w14:paraId="1F6D8362">
      <w:pPr>
        <w:pStyle w:val="2"/>
        <w:ind w:firstLineChars="196"/>
        <w:jc w:val="left"/>
        <w:rPr>
          <w:rFonts w:ascii="楷体" w:hAnsi="楷体" w:eastAsia="楷体" w:cs="楷体"/>
          <w:b/>
          <w:color w:val="auto"/>
          <w:sz w:val="24"/>
          <w:szCs w:val="21"/>
          <w:highlight w:val="none"/>
        </w:rPr>
      </w:pPr>
      <w:r>
        <w:rPr>
          <w:rFonts w:ascii="楷体" w:hAnsi="楷体" w:eastAsia="楷体" w:cs="楷体"/>
          <w:b/>
          <w:color w:val="auto"/>
          <w:sz w:val="24"/>
          <w:szCs w:val="21"/>
          <w:highlight w:val="none"/>
        </w:rPr>
        <w:t>2. 服务内容及要求</w:t>
      </w:r>
    </w:p>
    <w:p w14:paraId="1467F304">
      <w:pPr>
        <w:spacing w:line="360" w:lineRule="auto"/>
        <w:outlineLvl w:val="2"/>
        <w:rPr>
          <w:rFonts w:hint="eastAsia" w:ascii="宋体" w:hAnsi="宋体" w:cs="宋体"/>
          <w:color w:val="auto"/>
          <w:sz w:val="24"/>
          <w:highlight w:val="none"/>
        </w:rPr>
      </w:pPr>
      <w:r>
        <w:rPr>
          <w:rFonts w:hint="eastAsia"/>
          <w:color w:val="auto"/>
          <w:sz w:val="24"/>
          <w:szCs w:val="20"/>
          <w:highlight w:val="none"/>
        </w:rPr>
        <w:t>2.1采购服务清单</w:t>
      </w:r>
    </w:p>
    <w:tbl>
      <w:tblPr>
        <w:tblStyle w:val="6"/>
        <w:tblW w:w="8717" w:type="dxa"/>
        <w:tblInd w:w="0" w:type="dxa"/>
        <w:tblLayout w:type="fixed"/>
        <w:tblCellMar>
          <w:top w:w="0" w:type="dxa"/>
          <w:left w:w="108" w:type="dxa"/>
          <w:bottom w:w="0" w:type="dxa"/>
          <w:right w:w="108" w:type="dxa"/>
        </w:tblCellMar>
      </w:tblPr>
      <w:tblGrid>
        <w:gridCol w:w="878"/>
        <w:gridCol w:w="1250"/>
        <w:gridCol w:w="2188"/>
        <w:gridCol w:w="899"/>
        <w:gridCol w:w="863"/>
        <w:gridCol w:w="937"/>
        <w:gridCol w:w="1702"/>
      </w:tblGrid>
      <w:tr w14:paraId="6315F999">
        <w:tblPrEx>
          <w:tblCellMar>
            <w:top w:w="0" w:type="dxa"/>
            <w:left w:w="108" w:type="dxa"/>
            <w:bottom w:w="0" w:type="dxa"/>
            <w:right w:w="108" w:type="dxa"/>
          </w:tblCellMar>
        </w:tblPrEx>
        <w:trPr>
          <w:trHeight w:val="310" w:hRule="atLeast"/>
        </w:trPr>
        <w:tc>
          <w:tcPr>
            <w:tcW w:w="8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F469A07">
            <w:pPr>
              <w:widowControl/>
              <w:jc w:val="center"/>
              <w:textAlignment w:val="cente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服务类别</w:t>
            </w:r>
          </w:p>
        </w:tc>
        <w:tc>
          <w:tcPr>
            <w:tcW w:w="12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8FD08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服务子类</w:t>
            </w:r>
          </w:p>
        </w:tc>
        <w:tc>
          <w:tcPr>
            <w:tcW w:w="21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23F26DB">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服务项</w:t>
            </w:r>
          </w:p>
        </w:tc>
        <w:tc>
          <w:tcPr>
            <w:tcW w:w="89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C25D4D">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计价单位</w:t>
            </w:r>
          </w:p>
        </w:tc>
        <w:tc>
          <w:tcPr>
            <w:tcW w:w="8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82203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报价单位</w:t>
            </w:r>
          </w:p>
        </w:tc>
        <w:tc>
          <w:tcPr>
            <w:tcW w:w="9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D1B0EF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数量</w:t>
            </w:r>
          </w:p>
        </w:tc>
        <w:tc>
          <w:tcPr>
            <w:tcW w:w="17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19CE8D">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lang w:bidi="ar"/>
              </w:rPr>
              <w:t>服务期（月）</w:t>
            </w:r>
          </w:p>
        </w:tc>
      </w:tr>
      <w:tr w14:paraId="3050CA01">
        <w:tblPrEx>
          <w:tblCellMar>
            <w:top w:w="0" w:type="dxa"/>
            <w:left w:w="108" w:type="dxa"/>
            <w:bottom w:w="0" w:type="dxa"/>
            <w:right w:w="108" w:type="dxa"/>
          </w:tblCellMar>
        </w:tblPrEx>
        <w:trPr>
          <w:trHeight w:val="840" w:hRule="atLeast"/>
        </w:trPr>
        <w:tc>
          <w:tcPr>
            <w:tcW w:w="878" w:type="dxa"/>
            <w:vMerge w:val="restart"/>
            <w:tcBorders>
              <w:top w:val="single" w:color="000000" w:sz="4" w:space="0"/>
              <w:left w:val="single" w:color="000000" w:sz="4" w:space="0"/>
              <w:right w:val="single" w:color="000000" w:sz="4" w:space="0"/>
            </w:tcBorders>
            <w:shd w:val="clear" w:color="auto" w:fill="auto"/>
            <w:vAlign w:val="center"/>
          </w:tcPr>
          <w:p w14:paraId="5D153E85">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计算服务</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C494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x86平台云主机服务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4E9C">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vCPU（主频不低于2.4GHz）</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8F62">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1CPU</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53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67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4838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2F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（584个CPU为11个月20天）</w:t>
            </w:r>
          </w:p>
        </w:tc>
      </w:tr>
      <w:tr w14:paraId="4F20F535">
        <w:tblPrEx>
          <w:tblCellMar>
            <w:top w:w="0" w:type="dxa"/>
            <w:left w:w="108" w:type="dxa"/>
            <w:bottom w:w="0" w:type="dxa"/>
            <w:right w:w="108" w:type="dxa"/>
          </w:tblCellMar>
        </w:tblPrEx>
        <w:trPr>
          <w:trHeight w:val="483" w:hRule="atLeast"/>
        </w:trPr>
        <w:tc>
          <w:tcPr>
            <w:tcW w:w="878" w:type="dxa"/>
            <w:vMerge w:val="continue"/>
            <w:tcBorders>
              <w:left w:val="single" w:color="000000" w:sz="4" w:space="0"/>
              <w:bottom w:val="single" w:color="auto" w:sz="4" w:space="0"/>
              <w:right w:val="single" w:color="000000" w:sz="4" w:space="0"/>
            </w:tcBorders>
            <w:shd w:val="clear" w:color="auto" w:fill="auto"/>
            <w:vAlign w:val="center"/>
          </w:tcPr>
          <w:p w14:paraId="266256F7">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5AF09F7">
            <w:pPr>
              <w:jc w:val="center"/>
              <w:rPr>
                <w:rFonts w:hint="eastAsia" w:asciiTheme="minorEastAsia" w:hAnsiTheme="minorEastAsia" w:eastAsiaTheme="minorEastAsia" w:cstheme="minorEastAsia"/>
                <w:color w:val="auto"/>
                <w:szCs w:val="21"/>
                <w:highlight w:val="none"/>
              </w:rPr>
            </w:pPr>
          </w:p>
        </w:tc>
        <w:tc>
          <w:tcPr>
            <w:tcW w:w="21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71E001A">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内存</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64F6C83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1GB</w:t>
            </w:r>
          </w:p>
        </w:tc>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14:paraId="6A6B35C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auto" w:sz="4" w:space="0"/>
              <w:right w:val="single" w:color="000000" w:sz="4" w:space="0"/>
            </w:tcBorders>
            <w:shd w:val="clear" w:color="auto" w:fill="auto"/>
            <w:vAlign w:val="center"/>
          </w:tcPr>
          <w:p w14:paraId="2DFBDB2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10732</w:t>
            </w:r>
          </w:p>
        </w:tc>
        <w:tc>
          <w:tcPr>
            <w:tcW w:w="1702" w:type="dxa"/>
            <w:tcBorders>
              <w:top w:val="single" w:color="000000" w:sz="4" w:space="0"/>
              <w:left w:val="single" w:color="000000" w:sz="4" w:space="0"/>
              <w:bottom w:val="single" w:color="auto" w:sz="4" w:space="0"/>
              <w:right w:val="single" w:color="000000" w:sz="4" w:space="0"/>
            </w:tcBorders>
            <w:shd w:val="clear" w:color="auto" w:fill="auto"/>
            <w:vAlign w:val="center"/>
          </w:tcPr>
          <w:p w14:paraId="3214482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（1840个GB为11个月20天）</w:t>
            </w:r>
          </w:p>
        </w:tc>
      </w:tr>
      <w:tr w14:paraId="6626B190">
        <w:tblPrEx>
          <w:tblCellMar>
            <w:top w:w="0" w:type="dxa"/>
            <w:left w:w="108" w:type="dxa"/>
            <w:bottom w:w="0" w:type="dxa"/>
            <w:right w:w="108" w:type="dxa"/>
          </w:tblCellMar>
        </w:tblPrEx>
        <w:trPr>
          <w:trHeight w:val="1060" w:hRule="atLeast"/>
        </w:trPr>
        <w:tc>
          <w:tcPr>
            <w:tcW w:w="878" w:type="dxa"/>
            <w:vMerge w:val="restart"/>
            <w:tcBorders>
              <w:top w:val="single" w:color="auto" w:sz="4" w:space="0"/>
              <w:left w:val="single" w:color="000000" w:sz="4" w:space="0"/>
              <w:right w:val="single" w:color="000000" w:sz="4" w:space="0"/>
            </w:tcBorders>
            <w:shd w:val="clear" w:color="auto" w:fill="auto"/>
            <w:vAlign w:val="center"/>
          </w:tcPr>
          <w:p w14:paraId="3E6BC174">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存储服务</w:t>
            </w:r>
          </w:p>
        </w:tc>
        <w:tc>
          <w:tcPr>
            <w:tcW w:w="12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E958C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普通性能存储</w:t>
            </w:r>
          </w:p>
        </w:tc>
        <w:tc>
          <w:tcPr>
            <w:tcW w:w="2188" w:type="dxa"/>
            <w:tcBorders>
              <w:top w:val="single" w:color="auto" w:sz="4" w:space="0"/>
              <w:left w:val="single" w:color="000000" w:sz="4" w:space="0"/>
              <w:bottom w:val="single" w:color="000000" w:sz="4" w:space="0"/>
              <w:right w:val="single" w:color="000000" w:sz="4" w:space="0"/>
            </w:tcBorders>
            <w:shd w:val="clear" w:color="auto" w:fill="auto"/>
            <w:vAlign w:val="center"/>
          </w:tcPr>
          <w:p w14:paraId="00FEC73F">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普通存储（单盘技术指标:单盘IOPS2000-5000）</w:t>
            </w:r>
          </w:p>
        </w:tc>
        <w:tc>
          <w:tcPr>
            <w:tcW w:w="89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92E7B4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1GB</w:t>
            </w:r>
          </w:p>
        </w:tc>
        <w:tc>
          <w:tcPr>
            <w:tcW w:w="8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3C1FE6">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8A075F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112514</w:t>
            </w:r>
          </w:p>
        </w:tc>
        <w:tc>
          <w:tcPr>
            <w:tcW w:w="1702" w:type="dxa"/>
            <w:tcBorders>
              <w:top w:val="single" w:color="auto" w:sz="4" w:space="0"/>
              <w:left w:val="single" w:color="000000" w:sz="4" w:space="0"/>
              <w:bottom w:val="single" w:color="000000" w:sz="4" w:space="0"/>
              <w:right w:val="single" w:color="000000" w:sz="4" w:space="0"/>
            </w:tcBorders>
            <w:shd w:val="clear" w:color="auto" w:fill="auto"/>
            <w:vAlign w:val="center"/>
          </w:tcPr>
          <w:p w14:paraId="3EDAACD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（12000个GB为11个月20天）</w:t>
            </w:r>
          </w:p>
        </w:tc>
      </w:tr>
      <w:tr w14:paraId="35EBF90C">
        <w:tblPrEx>
          <w:tblCellMar>
            <w:top w:w="0" w:type="dxa"/>
            <w:left w:w="108" w:type="dxa"/>
            <w:bottom w:w="0" w:type="dxa"/>
            <w:right w:w="108" w:type="dxa"/>
          </w:tblCellMar>
        </w:tblPrEx>
        <w:trPr>
          <w:trHeight w:val="280" w:hRule="atLeast"/>
        </w:trPr>
        <w:tc>
          <w:tcPr>
            <w:tcW w:w="878" w:type="dxa"/>
            <w:vMerge w:val="continue"/>
            <w:tcBorders>
              <w:left w:val="single" w:color="000000" w:sz="4" w:space="0"/>
              <w:bottom w:val="single" w:color="000000" w:sz="4" w:space="0"/>
              <w:right w:val="single" w:color="000000" w:sz="4" w:space="0"/>
            </w:tcBorders>
            <w:shd w:val="clear" w:color="auto" w:fill="auto"/>
            <w:vAlign w:val="center"/>
          </w:tcPr>
          <w:p w14:paraId="7576D73F">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885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高性能存储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6692">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高性能存储（单盘技术指标：单盘IOPS10000-25000）</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B75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1GB</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FAD">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81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384336</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A08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（36800个GB为11个月20天）</w:t>
            </w:r>
          </w:p>
        </w:tc>
      </w:tr>
      <w:tr w14:paraId="3F6F7003">
        <w:tblPrEx>
          <w:tblCellMar>
            <w:top w:w="0" w:type="dxa"/>
            <w:left w:w="108" w:type="dxa"/>
            <w:bottom w:w="0" w:type="dxa"/>
            <w:right w:w="108" w:type="dxa"/>
          </w:tblCellMar>
        </w:tblPrEx>
        <w:trPr>
          <w:trHeight w:val="570" w:hRule="atLeast"/>
        </w:trPr>
        <w:tc>
          <w:tcPr>
            <w:tcW w:w="878" w:type="dxa"/>
            <w:vMerge w:val="restart"/>
            <w:tcBorders>
              <w:top w:val="single" w:color="000000" w:sz="4" w:space="0"/>
              <w:left w:val="single" w:color="000000" w:sz="4" w:space="0"/>
              <w:right w:val="single" w:color="000000" w:sz="4" w:space="0"/>
            </w:tcBorders>
            <w:shd w:val="clear" w:color="auto" w:fill="auto"/>
            <w:vAlign w:val="center"/>
          </w:tcPr>
          <w:p w14:paraId="38BE0133">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网络服务</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0D21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互联网链路服务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6DC">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互联网链路带宽</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E56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1Mb</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DB0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A7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1250</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B0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（170Mb为11个月20天）</w:t>
            </w:r>
          </w:p>
        </w:tc>
      </w:tr>
      <w:tr w14:paraId="1D88D97A">
        <w:tblPrEx>
          <w:tblCellMar>
            <w:top w:w="0" w:type="dxa"/>
            <w:left w:w="108" w:type="dxa"/>
            <w:bottom w:w="0" w:type="dxa"/>
            <w:right w:w="108" w:type="dxa"/>
          </w:tblCellMar>
        </w:tblPrEx>
        <w:trPr>
          <w:trHeight w:val="280" w:hRule="atLeast"/>
        </w:trPr>
        <w:tc>
          <w:tcPr>
            <w:tcW w:w="878" w:type="dxa"/>
            <w:vMerge w:val="continue"/>
            <w:tcBorders>
              <w:left w:val="single" w:color="000000" w:sz="4" w:space="0"/>
              <w:right w:val="single" w:color="000000" w:sz="4" w:space="0"/>
            </w:tcBorders>
            <w:shd w:val="clear" w:color="auto" w:fill="auto"/>
            <w:vAlign w:val="center"/>
          </w:tcPr>
          <w:p w14:paraId="3128F177">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3BEC">
            <w:pPr>
              <w:jc w:val="center"/>
              <w:rPr>
                <w:rFonts w:hint="eastAsia" w:asciiTheme="minorEastAsia" w:hAnsiTheme="minorEastAsia" w:eastAsiaTheme="minorEastAsia" w:cstheme="minorEastAsia"/>
                <w:color w:val="auto"/>
                <w:szCs w:val="21"/>
                <w:highlight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9079">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互联网IP地址租用服务、并提供备案服务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D3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1IP</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78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8CF">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39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（4个IP为11个月20天）</w:t>
            </w:r>
          </w:p>
        </w:tc>
      </w:tr>
      <w:tr w14:paraId="1C6287B1">
        <w:tblPrEx>
          <w:tblCellMar>
            <w:top w:w="0" w:type="dxa"/>
            <w:left w:w="108" w:type="dxa"/>
            <w:bottom w:w="0" w:type="dxa"/>
            <w:right w:w="108" w:type="dxa"/>
          </w:tblCellMar>
        </w:tblPrEx>
        <w:trPr>
          <w:trHeight w:val="570" w:hRule="atLeast"/>
        </w:trPr>
        <w:tc>
          <w:tcPr>
            <w:tcW w:w="878" w:type="dxa"/>
            <w:vMerge w:val="continue"/>
            <w:tcBorders>
              <w:left w:val="single" w:color="000000" w:sz="4" w:space="0"/>
              <w:right w:val="single" w:color="000000" w:sz="4" w:space="0"/>
            </w:tcBorders>
            <w:shd w:val="clear" w:color="auto" w:fill="auto"/>
            <w:vAlign w:val="center"/>
          </w:tcPr>
          <w:p w14:paraId="260BEF72">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9EE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主机负载均衡服务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653">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主机负载均衡服务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28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1IP（内网）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F2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F69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2B5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r>
      <w:tr w14:paraId="3717D3F8">
        <w:tblPrEx>
          <w:tblCellMar>
            <w:top w:w="0" w:type="dxa"/>
            <w:left w:w="108" w:type="dxa"/>
            <w:bottom w:w="0" w:type="dxa"/>
            <w:right w:w="108" w:type="dxa"/>
          </w:tblCellMar>
        </w:tblPrEx>
        <w:trPr>
          <w:trHeight w:val="280" w:hRule="atLeast"/>
        </w:trPr>
        <w:tc>
          <w:tcPr>
            <w:tcW w:w="878" w:type="dxa"/>
            <w:vMerge w:val="continue"/>
            <w:tcBorders>
              <w:left w:val="single" w:color="000000" w:sz="4" w:space="0"/>
              <w:right w:val="single" w:color="000000" w:sz="4" w:space="0"/>
            </w:tcBorders>
            <w:shd w:val="clear" w:color="auto" w:fill="auto"/>
            <w:vAlign w:val="center"/>
          </w:tcPr>
          <w:p w14:paraId="0AFC5809">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6BB">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远程接入服务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C606">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远程接入服务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8F98">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1账号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BF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03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76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（4个VPN账号为11个月20天）</w:t>
            </w:r>
          </w:p>
        </w:tc>
      </w:tr>
      <w:tr w14:paraId="1785F4A0">
        <w:tblPrEx>
          <w:tblCellMar>
            <w:top w:w="0" w:type="dxa"/>
            <w:left w:w="108" w:type="dxa"/>
            <w:bottom w:w="0" w:type="dxa"/>
            <w:right w:w="108" w:type="dxa"/>
          </w:tblCellMar>
        </w:tblPrEx>
        <w:trPr>
          <w:trHeight w:val="540" w:hRule="atLeast"/>
        </w:trPr>
        <w:tc>
          <w:tcPr>
            <w:tcW w:w="878" w:type="dxa"/>
            <w:vMerge w:val="continue"/>
            <w:tcBorders>
              <w:left w:val="single" w:color="000000" w:sz="4" w:space="0"/>
              <w:right w:val="single" w:color="000000" w:sz="4" w:space="0"/>
            </w:tcBorders>
            <w:shd w:val="clear" w:color="auto" w:fill="auto"/>
            <w:vAlign w:val="center"/>
          </w:tcPr>
          <w:p w14:paraId="282B9F9F">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14:paraId="2C975807">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VPN服务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C009">
            <w:pPr>
              <w:widowControl/>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SSL VPN接入</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FBA6">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C1A">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16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243">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（3个VPN账号为11个月20天）</w:t>
            </w:r>
          </w:p>
        </w:tc>
      </w:tr>
      <w:tr w14:paraId="68A9801E">
        <w:tblPrEx>
          <w:tblCellMar>
            <w:top w:w="0" w:type="dxa"/>
            <w:left w:w="108" w:type="dxa"/>
            <w:bottom w:w="0" w:type="dxa"/>
            <w:right w:w="108" w:type="dxa"/>
          </w:tblCellMar>
        </w:tblPrEx>
        <w:trPr>
          <w:trHeight w:val="540" w:hRule="atLeast"/>
        </w:trPr>
        <w:tc>
          <w:tcPr>
            <w:tcW w:w="878" w:type="dxa"/>
            <w:vMerge w:val="continue"/>
            <w:tcBorders>
              <w:left w:val="single" w:color="000000" w:sz="4" w:space="0"/>
              <w:right w:val="single" w:color="000000" w:sz="4" w:space="0"/>
            </w:tcBorders>
            <w:shd w:val="clear" w:color="auto" w:fill="auto"/>
            <w:vAlign w:val="center"/>
          </w:tcPr>
          <w:p w14:paraId="09066144">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14:paraId="54CE1796">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C3F1">
            <w:pPr>
              <w:widowControl/>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IPSec VPN接入</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9DFD">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B78B">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4387">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3CC0">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11个月20天</w:t>
            </w:r>
          </w:p>
        </w:tc>
      </w:tr>
      <w:tr w14:paraId="774BCAFE">
        <w:tblPrEx>
          <w:tblCellMar>
            <w:top w:w="0" w:type="dxa"/>
            <w:left w:w="108" w:type="dxa"/>
            <w:bottom w:w="0" w:type="dxa"/>
            <w:right w:w="108" w:type="dxa"/>
          </w:tblCellMar>
        </w:tblPrEx>
        <w:trPr>
          <w:trHeight w:val="540" w:hRule="atLeast"/>
        </w:trPr>
        <w:tc>
          <w:tcPr>
            <w:tcW w:w="878" w:type="dxa"/>
            <w:vMerge w:val="continue"/>
            <w:tcBorders>
              <w:left w:val="single" w:color="000000" w:sz="4" w:space="0"/>
              <w:bottom w:val="single" w:color="000000" w:sz="4" w:space="0"/>
              <w:right w:val="single" w:color="000000" w:sz="4" w:space="0"/>
            </w:tcBorders>
            <w:shd w:val="clear" w:color="auto" w:fill="auto"/>
            <w:vAlign w:val="center"/>
          </w:tcPr>
          <w:p w14:paraId="49A4EE17">
            <w:pPr>
              <w:widowControl/>
              <w:jc w:val="center"/>
              <w:textAlignment w:val="center"/>
              <w:rPr>
                <w:rFonts w:hint="eastAsia" w:asciiTheme="minorEastAsia" w:hAnsiTheme="minorEastAsia" w:eastAsiaTheme="minorEastAsia" w:cstheme="minorEastAsia"/>
                <w:color w:val="auto"/>
                <w:szCs w:val="21"/>
                <w:highlight w:val="none"/>
                <w:lang w:bidi="ar"/>
              </w:rPr>
            </w:pPr>
          </w:p>
        </w:tc>
        <w:tc>
          <w:tcPr>
            <w:tcW w:w="1250" w:type="dxa"/>
            <w:tcBorders>
              <w:left w:val="single" w:color="000000" w:sz="4" w:space="0"/>
              <w:bottom w:val="single" w:color="000000" w:sz="4" w:space="0"/>
              <w:right w:val="single" w:color="000000" w:sz="4" w:space="0"/>
            </w:tcBorders>
            <w:shd w:val="clear" w:color="auto" w:fill="auto"/>
            <w:vAlign w:val="center"/>
          </w:tcPr>
          <w:p w14:paraId="574ED779">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WAF防护</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51C">
            <w:pPr>
              <w:widowControl/>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web应用防火墙服务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915">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1IP（互联网）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02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E451">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EBA">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（4个VPN账号为11个月20天）</w:t>
            </w:r>
          </w:p>
        </w:tc>
      </w:tr>
      <w:tr w14:paraId="38623B7D">
        <w:tblPrEx>
          <w:tblCellMar>
            <w:top w:w="0" w:type="dxa"/>
            <w:left w:w="108" w:type="dxa"/>
            <w:bottom w:w="0" w:type="dxa"/>
            <w:right w:w="108" w:type="dxa"/>
          </w:tblCellMar>
        </w:tblPrEx>
        <w:trPr>
          <w:trHeight w:val="54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B2C">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云主机深度监控服务</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0A3">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云主机深度监控及运维保障服务（7*24小时值守）</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C43">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7*24小时深度监测云主机资源、硬件设备监控、云平台层应急处置等内容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128">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1主机</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FBED">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元/月</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841">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219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488F">
            <w:pPr>
              <w:widowControl/>
              <w:jc w:val="center"/>
              <w:textAlignment w:val="center"/>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12</w:t>
            </w:r>
            <w:r>
              <w:rPr>
                <w:rFonts w:hint="eastAsia" w:asciiTheme="minorEastAsia" w:hAnsiTheme="minorEastAsia" w:eastAsiaTheme="minorEastAsia" w:cstheme="minorEastAsia"/>
                <w:color w:val="auto"/>
                <w:szCs w:val="21"/>
                <w:highlight w:val="none"/>
                <w:lang w:bidi="ar"/>
              </w:rPr>
              <w:br w:type="textWrapping"/>
            </w:r>
            <w:r>
              <w:rPr>
                <w:rFonts w:hint="eastAsia" w:asciiTheme="minorEastAsia" w:hAnsiTheme="minorEastAsia" w:eastAsiaTheme="minorEastAsia" w:cstheme="minorEastAsia"/>
                <w:color w:val="auto"/>
                <w:szCs w:val="21"/>
                <w:highlight w:val="none"/>
              </w:rPr>
              <w:t>（58台为11个月20天）</w:t>
            </w:r>
          </w:p>
        </w:tc>
      </w:tr>
    </w:tbl>
    <w:p w14:paraId="54CC724C">
      <w:pPr>
        <w:tabs>
          <w:tab w:val="left" w:pos="7894"/>
        </w:tabs>
        <w:spacing w:line="360" w:lineRule="auto"/>
        <w:ind w:firstLine="413" w:firstLineChars="196"/>
        <w:rPr>
          <w:rFonts w:ascii="宋体" w:hAnsi="宋体"/>
          <w:b/>
          <w:color w:val="auto"/>
          <w:szCs w:val="21"/>
          <w:highlight w:val="none"/>
        </w:rPr>
      </w:pPr>
    </w:p>
    <w:p w14:paraId="53679345">
      <w:pPr>
        <w:spacing w:line="360" w:lineRule="auto"/>
        <w:ind w:left="420"/>
        <w:outlineLvl w:val="2"/>
        <w:rPr>
          <w:rFonts w:hint="eastAsia" w:ascii="黑体" w:hAnsi="黑体" w:eastAsia="黑体" w:cs="黑体"/>
          <w:color w:val="auto"/>
          <w:sz w:val="24"/>
          <w:szCs w:val="20"/>
          <w:highlight w:val="none"/>
        </w:rPr>
      </w:pPr>
      <w:r>
        <w:rPr>
          <w:rFonts w:hint="eastAsia"/>
          <w:color w:val="auto"/>
          <w:sz w:val="24"/>
          <w:szCs w:val="20"/>
          <w:highlight w:val="none"/>
        </w:rPr>
        <w:t>2.2</w:t>
      </w:r>
      <w:r>
        <w:rPr>
          <w:rFonts w:hint="eastAsia" w:ascii="黑体" w:hAnsi="黑体" w:eastAsia="黑体" w:cs="黑体"/>
          <w:color w:val="auto"/>
          <w:sz w:val="24"/>
          <w:szCs w:val="20"/>
          <w:highlight w:val="none"/>
        </w:rPr>
        <w:t>服务标准</w:t>
      </w:r>
      <w:r>
        <w:rPr>
          <w:rFonts w:hint="eastAsia"/>
          <w:color w:val="auto"/>
          <w:sz w:val="24"/>
          <w:szCs w:val="20"/>
          <w:highlight w:val="none"/>
        </w:rPr>
        <w:t>要求</w:t>
      </w:r>
    </w:p>
    <w:p w14:paraId="47899B5A">
      <w:pPr>
        <w:pStyle w:val="8"/>
        <w:numPr>
          <w:ilvl w:val="0"/>
          <w:numId w:val="0"/>
        </w:numPr>
        <w:spacing w:before="193" w:after="193"/>
        <w:ind w:left="-25"/>
        <w:rPr>
          <w:rFonts w:hint="eastAsia" w:ascii="楷体" w:hAnsi="楷体" w:eastAsia="楷体" w:cs="楷体"/>
          <w:color w:val="auto"/>
          <w:sz w:val="24"/>
          <w:szCs w:val="24"/>
          <w:highlight w:val="none"/>
        </w:rPr>
      </w:pPr>
      <w:r>
        <w:rPr>
          <w:rFonts w:hint="eastAsia"/>
          <w:color w:val="auto"/>
          <w:sz w:val="24"/>
          <w:szCs w:val="24"/>
          <w:highlight w:val="none"/>
        </w:rPr>
        <w:t>2.2.1</w:t>
      </w:r>
      <w:r>
        <w:rPr>
          <w:rFonts w:hint="eastAsia" w:ascii="楷体" w:hAnsi="楷体" w:eastAsia="楷体" w:cs="楷体"/>
          <w:color w:val="auto"/>
          <w:sz w:val="24"/>
          <w:szCs w:val="24"/>
          <w:highlight w:val="none"/>
        </w:rPr>
        <w:t>云主机服务</w:t>
      </w:r>
    </w:p>
    <w:tbl>
      <w:tblPr>
        <w:tblStyle w:val="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6"/>
        <w:gridCol w:w="6754"/>
      </w:tblGrid>
      <w:tr w14:paraId="6678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0519AB02">
            <w:pPr>
              <w:pStyle w:val="12"/>
              <w:rPr>
                <w:rFonts w:hint="default"/>
                <w:color w:val="auto"/>
                <w:highlight w:val="none"/>
              </w:rPr>
            </w:pPr>
            <w:r>
              <w:rPr>
                <w:color w:val="auto"/>
                <w:highlight w:val="none"/>
              </w:rPr>
              <w:t>指标项</w:t>
            </w:r>
          </w:p>
        </w:tc>
        <w:tc>
          <w:tcPr>
            <w:tcW w:w="6754" w:type="dxa"/>
            <w:tcBorders>
              <w:top w:val="single" w:color="000000" w:sz="4" w:space="0"/>
              <w:left w:val="single" w:color="000000" w:sz="4" w:space="0"/>
              <w:bottom w:val="single" w:color="000000" w:sz="4" w:space="0"/>
              <w:right w:val="single" w:color="000000" w:sz="4" w:space="0"/>
            </w:tcBorders>
            <w:vAlign w:val="center"/>
          </w:tcPr>
          <w:p w14:paraId="44C22100">
            <w:pPr>
              <w:pStyle w:val="12"/>
              <w:rPr>
                <w:rFonts w:hint="default"/>
                <w:color w:val="auto"/>
                <w:highlight w:val="none"/>
              </w:rPr>
            </w:pPr>
            <w:r>
              <w:rPr>
                <w:color w:val="auto"/>
                <w:highlight w:val="none"/>
              </w:rPr>
              <w:t>规格要求</w:t>
            </w:r>
          </w:p>
        </w:tc>
      </w:tr>
      <w:tr w14:paraId="5CF1E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45AE5E1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性能限制</w:t>
            </w:r>
          </w:p>
        </w:tc>
        <w:tc>
          <w:tcPr>
            <w:tcW w:w="6754" w:type="dxa"/>
            <w:tcBorders>
              <w:top w:val="single" w:color="000000" w:sz="4" w:space="0"/>
              <w:left w:val="single" w:color="000000" w:sz="4" w:space="0"/>
              <w:bottom w:val="single" w:color="000000" w:sz="4" w:space="0"/>
              <w:right w:val="single" w:color="000000" w:sz="4" w:space="0"/>
            </w:tcBorders>
            <w:vAlign w:val="center"/>
          </w:tcPr>
          <w:p w14:paraId="4D5BFC7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按内存不复用方式分配资源，要求</w:t>
            </w:r>
            <w:r>
              <w:rPr>
                <w:rFonts w:ascii="宋体" w:hAnsi="宋体" w:cs="宋体"/>
                <w:color w:val="auto"/>
                <w:szCs w:val="21"/>
                <w:highlight w:val="none"/>
              </w:rPr>
              <w:t>CPU</w:t>
            </w:r>
            <w:r>
              <w:rPr>
                <w:rFonts w:hint="eastAsia" w:ascii="宋体" w:hAnsi="宋体" w:cs="宋体"/>
                <w:color w:val="auto"/>
                <w:szCs w:val="21"/>
                <w:highlight w:val="none"/>
              </w:rPr>
              <w:t>主频≥</w:t>
            </w:r>
            <w:r>
              <w:rPr>
                <w:rFonts w:ascii="宋体" w:hAnsi="宋体" w:cs="宋体"/>
                <w:color w:val="auto"/>
                <w:szCs w:val="21"/>
                <w:highlight w:val="none"/>
              </w:rPr>
              <w:t>2.4GHz</w:t>
            </w:r>
          </w:p>
        </w:tc>
      </w:tr>
      <w:tr w14:paraId="5CF5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46EB4DE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性能范围</w:t>
            </w:r>
          </w:p>
        </w:tc>
        <w:tc>
          <w:tcPr>
            <w:tcW w:w="6754" w:type="dxa"/>
            <w:tcBorders>
              <w:top w:val="single" w:color="000000" w:sz="4" w:space="0"/>
              <w:left w:val="single" w:color="000000" w:sz="4" w:space="0"/>
              <w:bottom w:val="single" w:color="000000" w:sz="4" w:space="0"/>
              <w:right w:val="single" w:color="000000" w:sz="4" w:space="0"/>
            </w:tcBorders>
            <w:vAlign w:val="center"/>
          </w:tcPr>
          <w:p w14:paraId="4C185808">
            <w:pPr>
              <w:pStyle w:val="5"/>
              <w:ind w:left="0" w:leftChars="0" w:firstLine="0" w:firstLineChars="0"/>
              <w:rPr>
                <w:rFonts w:hint="eastAsia" w:ascii="宋体" w:hAnsi="宋体" w:cs="宋体"/>
                <w:color w:val="auto"/>
                <w:szCs w:val="21"/>
                <w:highlight w:val="none"/>
              </w:rPr>
            </w:pPr>
            <w:r>
              <w:rPr>
                <w:rFonts w:ascii="宋体" w:hAnsi="宋体" w:cs="宋体"/>
                <w:color w:val="auto"/>
                <w:szCs w:val="21"/>
                <w:highlight w:val="none"/>
              </w:rPr>
              <w:t>CPU</w:t>
            </w:r>
            <w:r>
              <w:rPr>
                <w:rFonts w:hint="eastAsia" w:ascii="宋体" w:hAnsi="宋体" w:cs="宋体"/>
                <w:color w:val="auto"/>
                <w:szCs w:val="21"/>
                <w:highlight w:val="none"/>
              </w:rPr>
              <w:t>核数可选范围</w:t>
            </w:r>
            <w:r>
              <w:rPr>
                <w:rFonts w:ascii="宋体" w:hAnsi="宋体" w:cs="宋体"/>
                <w:color w:val="auto"/>
                <w:szCs w:val="21"/>
                <w:highlight w:val="none"/>
              </w:rPr>
              <w:t>1-16</w:t>
            </w:r>
            <w:r>
              <w:rPr>
                <w:rFonts w:hint="eastAsia" w:ascii="宋体" w:hAnsi="宋体" w:cs="宋体"/>
                <w:color w:val="auto"/>
                <w:szCs w:val="21"/>
                <w:highlight w:val="none"/>
              </w:rPr>
              <w:t>核，内存可选范围</w:t>
            </w:r>
            <w:r>
              <w:rPr>
                <w:rFonts w:ascii="宋体" w:hAnsi="宋体" w:cs="宋体"/>
                <w:color w:val="auto"/>
                <w:szCs w:val="21"/>
                <w:highlight w:val="none"/>
              </w:rPr>
              <w:t>1-64G</w:t>
            </w:r>
          </w:p>
        </w:tc>
      </w:tr>
      <w:tr w14:paraId="3390C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643DCF4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操作系统兼容性</w:t>
            </w:r>
          </w:p>
        </w:tc>
        <w:tc>
          <w:tcPr>
            <w:tcW w:w="6754" w:type="dxa"/>
            <w:tcBorders>
              <w:top w:val="single" w:color="000000" w:sz="4" w:space="0"/>
              <w:left w:val="single" w:color="000000" w:sz="4" w:space="0"/>
              <w:bottom w:val="single" w:color="000000" w:sz="4" w:space="0"/>
              <w:right w:val="single" w:color="000000" w:sz="4" w:space="0"/>
            </w:tcBorders>
            <w:vAlign w:val="center"/>
          </w:tcPr>
          <w:p w14:paraId="32459C7A">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支持主流操作系统，如</w:t>
            </w:r>
            <w:r>
              <w:rPr>
                <w:rFonts w:ascii="宋体" w:hAnsi="宋体" w:cs="宋体"/>
                <w:color w:val="auto"/>
                <w:szCs w:val="21"/>
                <w:highlight w:val="none"/>
              </w:rPr>
              <w:t>windows server</w:t>
            </w:r>
            <w:r>
              <w:rPr>
                <w:rFonts w:hint="eastAsia" w:ascii="宋体" w:hAnsi="宋体" w:cs="宋体"/>
                <w:color w:val="auto"/>
                <w:szCs w:val="21"/>
                <w:highlight w:val="none"/>
              </w:rPr>
              <w:t>系列、</w:t>
            </w:r>
            <w:r>
              <w:rPr>
                <w:rFonts w:ascii="宋体" w:hAnsi="宋体" w:cs="宋体"/>
                <w:color w:val="auto"/>
                <w:szCs w:val="21"/>
                <w:highlight w:val="none"/>
              </w:rPr>
              <w:t>Linux</w:t>
            </w:r>
            <w:r>
              <w:rPr>
                <w:rFonts w:hint="eastAsia" w:ascii="宋体" w:hAnsi="宋体" w:cs="宋体"/>
                <w:color w:val="auto"/>
                <w:szCs w:val="21"/>
                <w:highlight w:val="none"/>
              </w:rPr>
              <w:t>发行版、国产</w:t>
            </w:r>
            <w:r>
              <w:rPr>
                <w:rFonts w:ascii="宋体" w:hAnsi="宋体" w:cs="宋体"/>
                <w:color w:val="auto"/>
                <w:szCs w:val="21"/>
                <w:highlight w:val="none"/>
              </w:rPr>
              <w:t>Linux</w:t>
            </w:r>
            <w:r>
              <w:rPr>
                <w:rFonts w:hint="eastAsia" w:ascii="宋体" w:hAnsi="宋体" w:cs="宋体"/>
                <w:color w:val="auto"/>
                <w:szCs w:val="21"/>
                <w:highlight w:val="none"/>
              </w:rPr>
              <w:t>等，需正版授权</w:t>
            </w:r>
          </w:p>
        </w:tc>
      </w:tr>
      <w:tr w14:paraId="53886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right w:val="single" w:color="000000" w:sz="4" w:space="0"/>
            </w:tcBorders>
            <w:vAlign w:val="center"/>
          </w:tcPr>
          <w:p w14:paraId="54D4917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扩展性</w:t>
            </w:r>
          </w:p>
        </w:tc>
        <w:tc>
          <w:tcPr>
            <w:tcW w:w="6754" w:type="dxa"/>
            <w:tcBorders>
              <w:top w:val="single" w:color="000000" w:sz="4" w:space="0"/>
              <w:left w:val="single" w:color="000000" w:sz="4" w:space="0"/>
              <w:bottom w:val="single" w:color="000000" w:sz="4" w:space="0"/>
              <w:right w:val="single" w:color="000000" w:sz="4" w:space="0"/>
            </w:tcBorders>
            <w:vAlign w:val="center"/>
          </w:tcPr>
          <w:p w14:paraId="79DDF83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用户可以灵活调整云主机</w:t>
            </w:r>
            <w:r>
              <w:rPr>
                <w:rFonts w:ascii="宋体" w:hAnsi="宋体" w:cs="宋体"/>
                <w:color w:val="auto"/>
                <w:szCs w:val="21"/>
                <w:highlight w:val="none"/>
              </w:rPr>
              <w:t>CPU</w:t>
            </w:r>
            <w:r>
              <w:rPr>
                <w:rFonts w:hint="eastAsia" w:ascii="宋体" w:hAnsi="宋体" w:cs="宋体"/>
                <w:color w:val="auto"/>
                <w:szCs w:val="21"/>
                <w:highlight w:val="none"/>
              </w:rPr>
              <w:t>、内存、硬盘规格</w:t>
            </w:r>
          </w:p>
        </w:tc>
      </w:tr>
      <w:tr w14:paraId="3B3D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323F254D">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云主机隔离</w:t>
            </w:r>
          </w:p>
        </w:tc>
        <w:tc>
          <w:tcPr>
            <w:tcW w:w="6754" w:type="dxa"/>
            <w:tcBorders>
              <w:top w:val="single" w:color="000000" w:sz="4" w:space="0"/>
              <w:left w:val="single" w:color="000000" w:sz="4" w:space="0"/>
              <w:bottom w:val="single" w:color="000000" w:sz="4" w:space="0"/>
              <w:right w:val="single" w:color="000000" w:sz="4" w:space="0"/>
            </w:tcBorders>
            <w:vAlign w:val="center"/>
          </w:tcPr>
          <w:p w14:paraId="3B86BE4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对不同用户的虚拟主机提供安全组和VLAN级别的隔离，确保不同用户之间数据互不可见；云主机之间可以做到隔离保护，其中每一个云主机发生故障都不会影响同一个物理机上的其它云主机运行，每个云主机上的用户权限只限于本云主机之内，以保障系统平台的安全性。</w:t>
            </w:r>
          </w:p>
        </w:tc>
      </w:tr>
      <w:tr w14:paraId="2FEA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14:paraId="4C34B319">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管理权限</w:t>
            </w:r>
          </w:p>
        </w:tc>
        <w:tc>
          <w:tcPr>
            <w:tcW w:w="6754" w:type="dxa"/>
            <w:tcBorders>
              <w:top w:val="single" w:color="000000" w:sz="4" w:space="0"/>
              <w:left w:val="single" w:color="000000" w:sz="4" w:space="0"/>
              <w:bottom w:val="single" w:color="000000" w:sz="4" w:space="0"/>
              <w:right w:val="single" w:color="000000" w:sz="4" w:space="0"/>
            </w:tcBorders>
            <w:vAlign w:val="center"/>
          </w:tcPr>
          <w:p w14:paraId="1CC796A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用户对云主机有完全的控制权，具有管理员权限，使用方式与传统物理主机完全一致。</w:t>
            </w:r>
          </w:p>
        </w:tc>
      </w:tr>
      <w:tr w14:paraId="4E3D8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vMerge w:val="restart"/>
            <w:tcBorders>
              <w:top w:val="single" w:color="000000" w:sz="4" w:space="0"/>
              <w:left w:val="single" w:color="000000" w:sz="4" w:space="0"/>
              <w:right w:val="single" w:color="000000" w:sz="4" w:space="0"/>
            </w:tcBorders>
            <w:vAlign w:val="center"/>
          </w:tcPr>
          <w:p w14:paraId="529B0EBA">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HA功能</w:t>
            </w:r>
          </w:p>
        </w:tc>
        <w:tc>
          <w:tcPr>
            <w:tcW w:w="6754" w:type="dxa"/>
            <w:tcBorders>
              <w:top w:val="single" w:color="000000" w:sz="4" w:space="0"/>
              <w:left w:val="single" w:color="000000" w:sz="4" w:space="0"/>
              <w:bottom w:val="single" w:color="000000" w:sz="4" w:space="0"/>
              <w:right w:val="single" w:color="000000" w:sz="4" w:space="0"/>
            </w:tcBorders>
            <w:vAlign w:val="center"/>
          </w:tcPr>
          <w:p w14:paraId="2190E21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虚拟化管理节点须支持双机热备</w:t>
            </w:r>
          </w:p>
        </w:tc>
      </w:tr>
      <w:tr w14:paraId="37125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vMerge w:val="continue"/>
            <w:tcBorders>
              <w:left w:val="single" w:color="000000" w:sz="4" w:space="0"/>
              <w:right w:val="single" w:color="000000" w:sz="4" w:space="0"/>
            </w:tcBorders>
            <w:vAlign w:val="center"/>
          </w:tcPr>
          <w:p w14:paraId="287BEA18">
            <w:pPr>
              <w:pStyle w:val="5"/>
              <w:ind w:left="0" w:leftChars="0" w:firstLine="0" w:firstLineChars="0"/>
              <w:rPr>
                <w:rFonts w:hint="eastAsia" w:ascii="宋体" w:hAnsi="宋体" w:cs="宋体"/>
                <w:color w:val="auto"/>
                <w:szCs w:val="21"/>
                <w:highlight w:val="none"/>
              </w:rPr>
            </w:pPr>
          </w:p>
        </w:tc>
        <w:tc>
          <w:tcPr>
            <w:tcW w:w="6754" w:type="dxa"/>
            <w:tcBorders>
              <w:top w:val="single" w:color="000000" w:sz="4" w:space="0"/>
              <w:left w:val="single" w:color="000000" w:sz="4" w:space="0"/>
              <w:bottom w:val="single" w:color="000000" w:sz="4" w:space="0"/>
              <w:right w:val="single" w:color="000000" w:sz="4" w:space="0"/>
            </w:tcBorders>
            <w:vAlign w:val="center"/>
          </w:tcPr>
          <w:p w14:paraId="34D0532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虚拟化管理系统支持虚拟机的HA功能</w:t>
            </w:r>
          </w:p>
        </w:tc>
      </w:tr>
      <w:tr w14:paraId="5291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vMerge w:val="continue"/>
            <w:tcBorders>
              <w:left w:val="single" w:color="000000" w:sz="4" w:space="0"/>
              <w:right w:val="single" w:color="000000" w:sz="4" w:space="0"/>
            </w:tcBorders>
            <w:vAlign w:val="center"/>
          </w:tcPr>
          <w:p w14:paraId="569228EA">
            <w:pPr>
              <w:pStyle w:val="5"/>
              <w:ind w:left="0" w:leftChars="0" w:firstLine="0" w:firstLineChars="0"/>
              <w:rPr>
                <w:rFonts w:hint="eastAsia" w:ascii="宋体" w:hAnsi="宋体" w:cs="宋体"/>
                <w:color w:val="auto"/>
                <w:szCs w:val="21"/>
                <w:highlight w:val="none"/>
              </w:rPr>
            </w:pPr>
          </w:p>
        </w:tc>
        <w:tc>
          <w:tcPr>
            <w:tcW w:w="6754" w:type="dxa"/>
            <w:tcBorders>
              <w:top w:val="single" w:color="000000" w:sz="4" w:space="0"/>
              <w:left w:val="single" w:color="000000" w:sz="4" w:space="0"/>
              <w:bottom w:val="single" w:color="000000" w:sz="4" w:space="0"/>
              <w:right w:val="single" w:color="000000" w:sz="4" w:space="0"/>
            </w:tcBorders>
            <w:vAlign w:val="center"/>
          </w:tcPr>
          <w:p w14:paraId="40387FF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硬件设备出现故障时，云主机会自动进行HA切换</w:t>
            </w:r>
          </w:p>
        </w:tc>
      </w:tr>
      <w:tr w14:paraId="6C32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bottom w:val="single" w:color="000000" w:sz="4" w:space="0"/>
              <w:right w:val="single" w:color="000000" w:sz="4" w:space="0"/>
            </w:tcBorders>
            <w:vAlign w:val="center"/>
          </w:tcPr>
          <w:p w14:paraId="3DFA511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备份功能</w:t>
            </w:r>
          </w:p>
        </w:tc>
        <w:tc>
          <w:tcPr>
            <w:tcW w:w="6754" w:type="dxa"/>
            <w:tcBorders>
              <w:top w:val="single" w:color="000000" w:sz="4" w:space="0"/>
              <w:left w:val="single" w:color="000000" w:sz="4" w:space="0"/>
              <w:bottom w:val="single" w:color="000000" w:sz="4" w:space="0"/>
              <w:right w:val="single" w:color="000000" w:sz="4" w:space="0"/>
            </w:tcBorders>
            <w:vAlign w:val="center"/>
          </w:tcPr>
          <w:p w14:paraId="4706D553">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支持云主机备份功能，可以实现云主机的全量备份、增量备份，支持备份周期、备份策略的设定</w:t>
            </w:r>
          </w:p>
        </w:tc>
      </w:tr>
      <w:tr w14:paraId="073C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6C5B608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754" w:type="dxa"/>
            <w:tcBorders>
              <w:top w:val="single" w:color="000000" w:sz="4" w:space="0"/>
              <w:left w:val="single" w:color="000000" w:sz="4" w:space="0"/>
              <w:bottom w:val="single" w:color="000000" w:sz="4" w:space="0"/>
              <w:right w:val="single" w:color="000000" w:sz="4" w:space="0"/>
            </w:tcBorders>
            <w:vAlign w:val="center"/>
          </w:tcPr>
          <w:p w14:paraId="0892EA8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r w14:paraId="6EAD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3CAD774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安全防护</w:t>
            </w:r>
          </w:p>
        </w:tc>
        <w:tc>
          <w:tcPr>
            <w:tcW w:w="6754" w:type="dxa"/>
            <w:tcBorders>
              <w:top w:val="single" w:color="000000" w:sz="4" w:space="0"/>
              <w:left w:val="single" w:color="000000" w:sz="4" w:space="0"/>
              <w:bottom w:val="single" w:color="000000" w:sz="4" w:space="0"/>
              <w:right w:val="single" w:color="000000" w:sz="4" w:space="0"/>
            </w:tcBorders>
            <w:vAlign w:val="center"/>
          </w:tcPr>
          <w:p w14:paraId="65C5C1E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提供防ARP欺骗、自定义防火墙功能，支持防DDos攻击；</w:t>
            </w:r>
          </w:p>
        </w:tc>
      </w:tr>
      <w:tr w14:paraId="0F34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0C5B688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弹性网络</w:t>
            </w:r>
          </w:p>
        </w:tc>
        <w:tc>
          <w:tcPr>
            <w:tcW w:w="6754" w:type="dxa"/>
            <w:tcBorders>
              <w:top w:val="single" w:color="000000" w:sz="4" w:space="0"/>
              <w:left w:val="single" w:color="000000" w:sz="4" w:space="0"/>
              <w:bottom w:val="single" w:color="000000" w:sz="4" w:space="0"/>
              <w:right w:val="single" w:color="000000" w:sz="4" w:space="0"/>
            </w:tcBorders>
            <w:vAlign w:val="center"/>
          </w:tcPr>
          <w:p w14:paraId="29C53FF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支持虚拟路由、虚拟交换机和弹性IP，用户可自定义虚拟主机的网络拓扑和IP地址；</w:t>
            </w:r>
          </w:p>
        </w:tc>
      </w:tr>
      <w:tr w14:paraId="5C5A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68E9AD45">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镜像快照</w:t>
            </w:r>
          </w:p>
        </w:tc>
        <w:tc>
          <w:tcPr>
            <w:tcW w:w="6754" w:type="dxa"/>
            <w:tcBorders>
              <w:top w:val="single" w:color="000000" w:sz="4" w:space="0"/>
              <w:left w:val="single" w:color="000000" w:sz="4" w:space="0"/>
              <w:bottom w:val="single" w:color="000000" w:sz="4" w:space="0"/>
              <w:right w:val="single" w:color="000000" w:sz="4" w:space="0"/>
            </w:tcBorders>
            <w:vAlign w:val="center"/>
          </w:tcPr>
          <w:p w14:paraId="67A9136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创建虚拟主机时，可指定用户预先配置好的镜像文件作为模板。虚拟主机支持增量快照备份功能，提高备份效率，减小备份占用空间，并支持公共镜像、私有镜像以及共享镜像等多种方式。</w:t>
            </w:r>
          </w:p>
        </w:tc>
      </w:tr>
      <w:tr w14:paraId="7F1C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26E42425">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数据存储</w:t>
            </w:r>
          </w:p>
        </w:tc>
        <w:tc>
          <w:tcPr>
            <w:tcW w:w="6754" w:type="dxa"/>
            <w:tcBorders>
              <w:top w:val="single" w:color="000000" w:sz="4" w:space="0"/>
              <w:left w:val="single" w:color="000000" w:sz="4" w:space="0"/>
              <w:bottom w:val="single" w:color="000000" w:sz="4" w:space="0"/>
              <w:right w:val="single" w:color="000000" w:sz="4" w:space="0"/>
            </w:tcBorders>
            <w:vAlign w:val="center"/>
          </w:tcPr>
          <w:p w14:paraId="194B76E3">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虚拟主机底层采用分布式块存储，每个虚拟主机的镜像存储达到多副本可靠性，数据可靠性不低于99.9999%；</w:t>
            </w:r>
          </w:p>
        </w:tc>
      </w:tr>
      <w:tr w14:paraId="5DA6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068BB1E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高可用性</w:t>
            </w:r>
          </w:p>
        </w:tc>
        <w:tc>
          <w:tcPr>
            <w:tcW w:w="6754" w:type="dxa"/>
            <w:tcBorders>
              <w:top w:val="single" w:color="000000" w:sz="4" w:space="0"/>
              <w:left w:val="single" w:color="000000" w:sz="4" w:space="0"/>
              <w:bottom w:val="single" w:color="000000" w:sz="4" w:space="0"/>
              <w:right w:val="single" w:color="000000" w:sz="4" w:space="0"/>
            </w:tcBorders>
            <w:vAlign w:val="center"/>
          </w:tcPr>
          <w:p w14:paraId="3834D39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虚拟主机服务采用全冗余架构，无单点故障，平均可用性不低于99.99%；</w:t>
            </w:r>
          </w:p>
        </w:tc>
      </w:tr>
      <w:tr w14:paraId="23A8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66" w:type="dxa"/>
            <w:tcBorders>
              <w:left w:val="single" w:color="000000" w:sz="4" w:space="0"/>
              <w:right w:val="single" w:color="000000" w:sz="4" w:space="0"/>
            </w:tcBorders>
            <w:vAlign w:val="center"/>
          </w:tcPr>
          <w:p w14:paraId="4DBA298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扩展性</w:t>
            </w:r>
          </w:p>
        </w:tc>
        <w:tc>
          <w:tcPr>
            <w:tcW w:w="6754" w:type="dxa"/>
            <w:tcBorders>
              <w:top w:val="single" w:color="000000" w:sz="4" w:space="0"/>
              <w:left w:val="single" w:color="000000" w:sz="4" w:space="0"/>
              <w:bottom w:val="single" w:color="000000" w:sz="4" w:space="0"/>
              <w:right w:val="single" w:color="000000" w:sz="4" w:space="0"/>
            </w:tcBorders>
            <w:vAlign w:val="center"/>
          </w:tcPr>
          <w:p w14:paraId="79D8AB89">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支持计算能力的垂直伸缩，支持对CPU和内存的升级与降级操作，支持增加、减少磁盘和带宽；</w:t>
            </w:r>
          </w:p>
          <w:p w14:paraId="08399225">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支持计算能力的水平伸缩，通过与负载均衡配合实现水平伸缩；</w:t>
            </w:r>
          </w:p>
        </w:tc>
      </w:tr>
    </w:tbl>
    <w:p w14:paraId="0BB15DA6">
      <w:pPr>
        <w:rPr>
          <w:color w:val="auto"/>
          <w:highlight w:val="none"/>
        </w:rPr>
      </w:pPr>
    </w:p>
    <w:p w14:paraId="2E6257FD">
      <w:pPr>
        <w:pStyle w:val="8"/>
        <w:numPr>
          <w:ilvl w:val="0"/>
          <w:numId w:val="0"/>
        </w:numPr>
        <w:spacing w:before="193" w:after="193"/>
        <w:rPr>
          <w:rFonts w:hint="eastAsia" w:ascii="楷体" w:hAnsi="楷体" w:eastAsia="楷体" w:cs="楷体"/>
          <w:color w:val="auto"/>
          <w:sz w:val="24"/>
          <w:szCs w:val="24"/>
          <w:highlight w:val="none"/>
        </w:rPr>
      </w:pPr>
      <w:r>
        <w:rPr>
          <w:rFonts w:hint="eastAsia"/>
          <w:color w:val="auto"/>
          <w:sz w:val="24"/>
          <w:szCs w:val="24"/>
          <w:highlight w:val="none"/>
        </w:rPr>
        <w:t>2.2.2</w:t>
      </w:r>
      <w:r>
        <w:rPr>
          <w:rFonts w:hint="eastAsia" w:ascii="楷体" w:hAnsi="楷体" w:eastAsia="楷体" w:cs="楷体"/>
          <w:color w:val="auto"/>
          <w:sz w:val="24"/>
          <w:szCs w:val="24"/>
          <w:highlight w:val="none"/>
        </w:rPr>
        <w:t>存储服务</w:t>
      </w:r>
    </w:p>
    <w:p w14:paraId="0DD63E9C">
      <w:pPr>
        <w:pStyle w:val="3"/>
        <w:snapToGrid w:val="0"/>
        <w:rPr>
          <w:rFonts w:hint="eastAsia" w:hAnsi="宋体" w:cs="宋体"/>
          <w:b/>
          <w:color w:val="auto"/>
          <w:highlight w:val="none"/>
        </w:rPr>
      </w:pPr>
      <w:r>
        <w:rPr>
          <w:rFonts w:hint="eastAsia" w:hAnsi="宋体" w:cs="宋体"/>
          <w:b/>
          <w:color w:val="auto"/>
          <w:highlight w:val="none"/>
        </w:rPr>
        <w:t>1、普通性能存储服务</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3"/>
        <w:gridCol w:w="6535"/>
      </w:tblGrid>
      <w:tr w14:paraId="26C0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6F2C94E6">
            <w:pPr>
              <w:pStyle w:val="12"/>
              <w:rPr>
                <w:rFonts w:hint="default"/>
                <w:color w:val="auto"/>
                <w:highlight w:val="none"/>
              </w:rPr>
            </w:pPr>
            <w:r>
              <w:rPr>
                <w:color w:val="auto"/>
                <w:highlight w:val="none"/>
              </w:rPr>
              <w:t>指标项</w:t>
            </w:r>
          </w:p>
        </w:tc>
        <w:tc>
          <w:tcPr>
            <w:tcW w:w="6535" w:type="dxa"/>
            <w:tcMar>
              <w:top w:w="0" w:type="dxa"/>
              <w:left w:w="108" w:type="dxa"/>
              <w:bottom w:w="0" w:type="dxa"/>
              <w:right w:w="108" w:type="dxa"/>
            </w:tcMar>
            <w:vAlign w:val="center"/>
          </w:tcPr>
          <w:p w14:paraId="1C593E88">
            <w:pPr>
              <w:pStyle w:val="12"/>
              <w:rPr>
                <w:rFonts w:hint="default"/>
                <w:color w:val="auto"/>
                <w:highlight w:val="none"/>
              </w:rPr>
            </w:pPr>
            <w:r>
              <w:rPr>
                <w:color w:val="auto"/>
                <w:highlight w:val="none"/>
              </w:rPr>
              <w:t>服务要求</w:t>
            </w:r>
          </w:p>
        </w:tc>
      </w:tr>
      <w:tr w14:paraId="2AB8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48EE002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可靠性要求</w:t>
            </w:r>
          </w:p>
        </w:tc>
        <w:tc>
          <w:tcPr>
            <w:tcW w:w="6535" w:type="dxa"/>
            <w:tcMar>
              <w:top w:w="0" w:type="dxa"/>
              <w:left w:w="108" w:type="dxa"/>
              <w:bottom w:w="0" w:type="dxa"/>
              <w:right w:w="108" w:type="dxa"/>
            </w:tcMar>
            <w:vAlign w:val="center"/>
          </w:tcPr>
          <w:p w14:paraId="6D888DE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提供普通存储服务，要求稳定可靠，确保数据可靠性99.9999%</w:t>
            </w:r>
          </w:p>
        </w:tc>
      </w:tr>
      <w:tr w14:paraId="02F6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7A7E6B2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6535" w:type="dxa"/>
            <w:tcMar>
              <w:top w:w="0" w:type="dxa"/>
              <w:left w:w="108" w:type="dxa"/>
              <w:bottom w:w="0" w:type="dxa"/>
              <w:right w:w="108" w:type="dxa"/>
            </w:tcMar>
            <w:vAlign w:val="center"/>
          </w:tcPr>
          <w:p w14:paraId="5EE143E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单盘技术指标满足IOPS 2000-5000</w:t>
            </w:r>
          </w:p>
        </w:tc>
      </w:tr>
      <w:tr w14:paraId="0B2A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5679FFB1">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使用要求</w:t>
            </w:r>
          </w:p>
        </w:tc>
        <w:tc>
          <w:tcPr>
            <w:tcW w:w="6535" w:type="dxa"/>
            <w:tcMar>
              <w:top w:w="0" w:type="dxa"/>
              <w:left w:w="108" w:type="dxa"/>
              <w:bottom w:w="0" w:type="dxa"/>
              <w:right w:w="108" w:type="dxa"/>
            </w:tcMar>
            <w:vAlign w:val="center"/>
          </w:tcPr>
          <w:p w14:paraId="215313C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用户可以以1G为最小单位进行容量申请，并可以申请直接挂载给云主机使用，同时用户可以将申请到的磁盘空间分配给一台或者多台虚拟机/物理机使用</w:t>
            </w:r>
          </w:p>
        </w:tc>
      </w:tr>
      <w:tr w14:paraId="45DC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79B1E429">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架构要求</w:t>
            </w:r>
          </w:p>
        </w:tc>
        <w:tc>
          <w:tcPr>
            <w:tcW w:w="6535" w:type="dxa"/>
            <w:tcMar>
              <w:top w:w="0" w:type="dxa"/>
              <w:left w:w="108" w:type="dxa"/>
              <w:bottom w:w="0" w:type="dxa"/>
              <w:right w:w="108" w:type="dxa"/>
            </w:tcMar>
            <w:vAlign w:val="center"/>
          </w:tcPr>
          <w:p w14:paraId="388AF4C0">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系统整体架构无单点故障</w:t>
            </w:r>
          </w:p>
        </w:tc>
      </w:tr>
      <w:tr w14:paraId="3E7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3" w:type="dxa"/>
            <w:tcMar>
              <w:top w:w="0" w:type="dxa"/>
              <w:left w:w="108" w:type="dxa"/>
              <w:bottom w:w="0" w:type="dxa"/>
              <w:right w:w="108" w:type="dxa"/>
            </w:tcMar>
            <w:vAlign w:val="center"/>
          </w:tcPr>
          <w:p w14:paraId="2F8F78B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535" w:type="dxa"/>
            <w:tcMar>
              <w:top w:w="0" w:type="dxa"/>
              <w:left w:w="108" w:type="dxa"/>
              <w:bottom w:w="0" w:type="dxa"/>
              <w:right w:w="108" w:type="dxa"/>
            </w:tcMar>
            <w:vAlign w:val="center"/>
          </w:tcPr>
          <w:p w14:paraId="2E16DF3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bl>
    <w:p w14:paraId="0C669BF3">
      <w:pPr>
        <w:pStyle w:val="3"/>
        <w:snapToGrid w:val="0"/>
        <w:rPr>
          <w:rFonts w:hint="eastAsia" w:hAnsi="宋体" w:cs="宋体"/>
          <w:b/>
          <w:color w:val="auto"/>
          <w:highlight w:val="none"/>
        </w:rPr>
      </w:pPr>
    </w:p>
    <w:p w14:paraId="577965A2">
      <w:pPr>
        <w:pStyle w:val="3"/>
        <w:snapToGrid w:val="0"/>
        <w:rPr>
          <w:rFonts w:hint="eastAsia" w:hAnsi="宋体" w:cs="宋体"/>
          <w:b/>
          <w:color w:val="auto"/>
          <w:highlight w:val="none"/>
        </w:rPr>
      </w:pPr>
      <w:r>
        <w:rPr>
          <w:rFonts w:hint="eastAsia" w:hAnsi="宋体" w:cs="宋体"/>
          <w:b/>
          <w:color w:val="auto"/>
          <w:highlight w:val="none"/>
        </w:rPr>
        <w:t>2、高性能存储服务</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1"/>
        <w:gridCol w:w="6657"/>
      </w:tblGrid>
      <w:tr w14:paraId="5E44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673CE612">
            <w:pPr>
              <w:pStyle w:val="12"/>
              <w:rPr>
                <w:rFonts w:hint="default"/>
                <w:color w:val="auto"/>
                <w:highlight w:val="none"/>
              </w:rPr>
            </w:pPr>
            <w:r>
              <w:rPr>
                <w:color w:val="auto"/>
                <w:highlight w:val="none"/>
              </w:rPr>
              <w:t>指标项</w:t>
            </w:r>
          </w:p>
        </w:tc>
        <w:tc>
          <w:tcPr>
            <w:tcW w:w="6657" w:type="dxa"/>
            <w:tcMar>
              <w:top w:w="0" w:type="dxa"/>
              <w:left w:w="108" w:type="dxa"/>
              <w:bottom w:w="0" w:type="dxa"/>
              <w:right w:w="108" w:type="dxa"/>
            </w:tcMar>
            <w:vAlign w:val="center"/>
          </w:tcPr>
          <w:p w14:paraId="265321CC">
            <w:pPr>
              <w:pStyle w:val="12"/>
              <w:rPr>
                <w:rFonts w:hint="default"/>
                <w:color w:val="auto"/>
                <w:highlight w:val="none"/>
              </w:rPr>
            </w:pPr>
            <w:r>
              <w:rPr>
                <w:color w:val="auto"/>
                <w:highlight w:val="none"/>
              </w:rPr>
              <w:t>服务要求</w:t>
            </w:r>
          </w:p>
        </w:tc>
      </w:tr>
      <w:tr w14:paraId="7E9D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0027D33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可靠性要求</w:t>
            </w:r>
          </w:p>
        </w:tc>
        <w:tc>
          <w:tcPr>
            <w:tcW w:w="6657" w:type="dxa"/>
            <w:tcMar>
              <w:top w:w="0" w:type="dxa"/>
              <w:left w:w="108" w:type="dxa"/>
              <w:bottom w:w="0" w:type="dxa"/>
              <w:right w:w="108" w:type="dxa"/>
            </w:tcMar>
            <w:vAlign w:val="center"/>
          </w:tcPr>
          <w:p w14:paraId="12DE8B9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要求稳定可靠，不会因单一部件故障、单一路径故障等原因导致业务停用、数据丢失，系统可靠性99.9999%</w:t>
            </w:r>
          </w:p>
        </w:tc>
      </w:tr>
      <w:tr w14:paraId="7DB3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6E248AE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性能要求</w:t>
            </w:r>
          </w:p>
        </w:tc>
        <w:tc>
          <w:tcPr>
            <w:tcW w:w="6657" w:type="dxa"/>
            <w:tcMar>
              <w:top w:w="0" w:type="dxa"/>
              <w:left w:w="108" w:type="dxa"/>
              <w:bottom w:w="0" w:type="dxa"/>
              <w:right w:w="108" w:type="dxa"/>
            </w:tcMar>
            <w:vAlign w:val="center"/>
          </w:tcPr>
          <w:p w14:paraId="0AF1EA3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单盘技术指标满足IOPS 10000-25000</w:t>
            </w:r>
          </w:p>
        </w:tc>
      </w:tr>
      <w:tr w14:paraId="5FC3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71339EA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使用要求</w:t>
            </w:r>
          </w:p>
        </w:tc>
        <w:tc>
          <w:tcPr>
            <w:tcW w:w="6657" w:type="dxa"/>
            <w:tcMar>
              <w:top w:w="0" w:type="dxa"/>
              <w:left w:w="108" w:type="dxa"/>
              <w:bottom w:w="0" w:type="dxa"/>
              <w:right w:w="108" w:type="dxa"/>
            </w:tcMar>
            <w:vAlign w:val="center"/>
          </w:tcPr>
          <w:p w14:paraId="6459B00D">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用户可以以1G为最小单位进行容量申请，并可以申请直接挂载给云主机使用，同时用户可以将申请到的磁盘空间分配给一台或者多台虚拟机/物理机使用</w:t>
            </w:r>
          </w:p>
        </w:tc>
      </w:tr>
      <w:tr w14:paraId="275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73762E5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架构要求</w:t>
            </w:r>
          </w:p>
        </w:tc>
        <w:tc>
          <w:tcPr>
            <w:tcW w:w="6657" w:type="dxa"/>
            <w:tcMar>
              <w:top w:w="0" w:type="dxa"/>
              <w:left w:w="108" w:type="dxa"/>
              <w:bottom w:w="0" w:type="dxa"/>
              <w:right w:w="108" w:type="dxa"/>
            </w:tcMar>
            <w:vAlign w:val="center"/>
          </w:tcPr>
          <w:p w14:paraId="17DD7EE1">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系统整体架构无单点故障</w:t>
            </w:r>
          </w:p>
        </w:tc>
      </w:tr>
      <w:tr w14:paraId="3F86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61" w:type="dxa"/>
            <w:tcMar>
              <w:top w:w="0" w:type="dxa"/>
              <w:left w:w="108" w:type="dxa"/>
              <w:bottom w:w="0" w:type="dxa"/>
              <w:right w:w="108" w:type="dxa"/>
            </w:tcMar>
            <w:vAlign w:val="center"/>
          </w:tcPr>
          <w:p w14:paraId="23999E7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657" w:type="dxa"/>
            <w:tcMar>
              <w:top w:w="0" w:type="dxa"/>
              <w:left w:w="108" w:type="dxa"/>
              <w:bottom w:w="0" w:type="dxa"/>
              <w:right w:w="108" w:type="dxa"/>
            </w:tcMar>
            <w:vAlign w:val="center"/>
          </w:tcPr>
          <w:p w14:paraId="5761019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bl>
    <w:p w14:paraId="3086D66F">
      <w:pPr>
        <w:pStyle w:val="3"/>
        <w:snapToGrid w:val="0"/>
        <w:rPr>
          <w:rFonts w:ascii="Times New Roman"/>
          <w:bCs/>
          <w:color w:val="auto"/>
          <w:highlight w:val="none"/>
        </w:rPr>
      </w:pPr>
    </w:p>
    <w:p w14:paraId="3FDD403C">
      <w:pPr>
        <w:pStyle w:val="8"/>
        <w:numPr>
          <w:ilvl w:val="0"/>
          <w:numId w:val="0"/>
        </w:numPr>
        <w:spacing w:before="193" w:after="193"/>
        <w:rPr>
          <w:rFonts w:hint="eastAsia" w:ascii="楷体" w:hAnsi="楷体" w:eastAsia="楷体" w:cs="楷体"/>
          <w:color w:val="auto"/>
          <w:sz w:val="24"/>
          <w:szCs w:val="24"/>
          <w:highlight w:val="none"/>
        </w:rPr>
      </w:pPr>
      <w:r>
        <w:rPr>
          <w:rFonts w:hint="eastAsia"/>
          <w:color w:val="auto"/>
          <w:sz w:val="24"/>
          <w:szCs w:val="24"/>
          <w:highlight w:val="none"/>
        </w:rPr>
        <w:t>2.2.3</w:t>
      </w:r>
      <w:r>
        <w:rPr>
          <w:rFonts w:hint="eastAsia" w:ascii="楷体" w:hAnsi="楷体" w:eastAsia="楷体" w:cs="楷体"/>
          <w:color w:val="auto"/>
          <w:sz w:val="24"/>
          <w:szCs w:val="24"/>
          <w:highlight w:val="none"/>
        </w:rPr>
        <w:t>网络服务</w:t>
      </w:r>
    </w:p>
    <w:p w14:paraId="25F60475">
      <w:pPr>
        <w:pStyle w:val="3"/>
        <w:snapToGrid w:val="0"/>
        <w:rPr>
          <w:rFonts w:hint="eastAsia" w:hAnsi="宋体" w:cs="宋体"/>
          <w:b/>
          <w:color w:val="auto"/>
          <w:highlight w:val="none"/>
        </w:rPr>
      </w:pPr>
      <w:r>
        <w:rPr>
          <w:rFonts w:hint="eastAsia" w:hAnsi="宋体" w:cs="宋体"/>
          <w:b/>
          <w:color w:val="auto"/>
          <w:highlight w:val="none"/>
        </w:rPr>
        <w:t>1、互联网链路服务</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6566"/>
      </w:tblGrid>
      <w:tr w14:paraId="297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6A15BAFE">
            <w:pPr>
              <w:pStyle w:val="12"/>
              <w:rPr>
                <w:rFonts w:hint="default"/>
                <w:color w:val="auto"/>
                <w:highlight w:val="none"/>
              </w:rPr>
            </w:pPr>
            <w:r>
              <w:rPr>
                <w:color w:val="auto"/>
                <w:highlight w:val="none"/>
              </w:rPr>
              <w:t>指标项</w:t>
            </w:r>
          </w:p>
        </w:tc>
        <w:tc>
          <w:tcPr>
            <w:tcW w:w="6566" w:type="dxa"/>
            <w:vAlign w:val="center"/>
          </w:tcPr>
          <w:p w14:paraId="5EB38ED8">
            <w:pPr>
              <w:pStyle w:val="12"/>
              <w:rPr>
                <w:rFonts w:hint="default"/>
                <w:color w:val="auto"/>
                <w:highlight w:val="none"/>
              </w:rPr>
            </w:pPr>
            <w:r>
              <w:rPr>
                <w:color w:val="auto"/>
                <w:highlight w:val="none"/>
              </w:rPr>
              <w:t>服务要求</w:t>
            </w:r>
          </w:p>
        </w:tc>
      </w:tr>
      <w:tr w14:paraId="6AFE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0EC8D150">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带宽租用服务</w:t>
            </w:r>
          </w:p>
        </w:tc>
        <w:tc>
          <w:tcPr>
            <w:tcW w:w="6566" w:type="dxa"/>
            <w:vAlign w:val="center"/>
          </w:tcPr>
          <w:p w14:paraId="4912A2D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提供互联网带宽租用服务，带宽提供方应为一级运营商</w:t>
            </w:r>
          </w:p>
        </w:tc>
      </w:tr>
      <w:tr w14:paraId="02C5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453E7E7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可靠性要求</w:t>
            </w:r>
          </w:p>
        </w:tc>
        <w:tc>
          <w:tcPr>
            <w:tcW w:w="6566" w:type="dxa"/>
            <w:vAlign w:val="center"/>
          </w:tcPr>
          <w:p w14:paraId="09865DB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须提供多线运营商接入服务，保证服务稳定可靠。</w:t>
            </w:r>
          </w:p>
        </w:tc>
      </w:tr>
      <w:tr w14:paraId="476D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6171B41E">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566" w:type="dxa"/>
            <w:vAlign w:val="center"/>
          </w:tcPr>
          <w:p w14:paraId="6217D5B0">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r w14:paraId="048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57DC7C2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互联网IP地址租用服务</w:t>
            </w:r>
          </w:p>
        </w:tc>
        <w:tc>
          <w:tcPr>
            <w:tcW w:w="6566" w:type="dxa"/>
            <w:vAlign w:val="center"/>
          </w:tcPr>
          <w:p w14:paraId="4093E33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可提供IPV4/IPV6互联网IP 地址租用服务</w:t>
            </w:r>
          </w:p>
        </w:tc>
      </w:tr>
      <w:tr w14:paraId="19E7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014DCA1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网站域名备案服务</w:t>
            </w:r>
          </w:p>
        </w:tc>
        <w:tc>
          <w:tcPr>
            <w:tcW w:w="6566" w:type="dxa"/>
            <w:vAlign w:val="center"/>
          </w:tcPr>
          <w:p w14:paraId="204F366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配合使用单位完成网站域名备案</w:t>
            </w:r>
          </w:p>
        </w:tc>
      </w:tr>
      <w:tr w14:paraId="6958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vAlign w:val="center"/>
          </w:tcPr>
          <w:p w14:paraId="5B9044D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566" w:type="dxa"/>
            <w:vAlign w:val="center"/>
          </w:tcPr>
          <w:p w14:paraId="48AE7F5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bl>
    <w:p w14:paraId="0693BC65">
      <w:pPr>
        <w:rPr>
          <w:color w:val="auto"/>
          <w:highlight w:val="none"/>
        </w:rPr>
      </w:pPr>
    </w:p>
    <w:p w14:paraId="6CAF3220">
      <w:pPr>
        <w:pStyle w:val="3"/>
        <w:snapToGrid w:val="0"/>
        <w:rPr>
          <w:rFonts w:hint="eastAsia" w:hAnsi="宋体" w:cs="宋体"/>
          <w:b/>
          <w:color w:val="auto"/>
          <w:highlight w:val="none"/>
        </w:rPr>
      </w:pPr>
      <w:r>
        <w:rPr>
          <w:rFonts w:hint="eastAsia" w:hAnsi="宋体" w:cs="宋体"/>
          <w:b/>
          <w:color w:val="auto"/>
          <w:highlight w:val="none"/>
        </w:rPr>
        <w:t>2、主机负载均衡服务</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2"/>
        <w:gridCol w:w="6446"/>
      </w:tblGrid>
      <w:tr w14:paraId="343D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1822E1C0">
            <w:pPr>
              <w:pStyle w:val="12"/>
              <w:rPr>
                <w:rFonts w:hint="default"/>
                <w:color w:val="auto"/>
                <w:highlight w:val="none"/>
              </w:rPr>
            </w:pPr>
            <w:r>
              <w:rPr>
                <w:color w:val="auto"/>
                <w:highlight w:val="none"/>
              </w:rPr>
              <w:t>指标项</w:t>
            </w:r>
          </w:p>
        </w:tc>
        <w:tc>
          <w:tcPr>
            <w:tcW w:w="6446" w:type="dxa"/>
            <w:tcBorders>
              <w:top w:val="single" w:color="000000" w:sz="4" w:space="0"/>
              <w:left w:val="single" w:color="000000" w:sz="4" w:space="0"/>
              <w:bottom w:val="single" w:color="000000" w:sz="4" w:space="0"/>
              <w:right w:val="single" w:color="000000" w:sz="4" w:space="0"/>
            </w:tcBorders>
            <w:vAlign w:val="center"/>
          </w:tcPr>
          <w:p w14:paraId="0D3B3A6D">
            <w:pPr>
              <w:pStyle w:val="12"/>
              <w:rPr>
                <w:rFonts w:hint="default"/>
                <w:color w:val="auto"/>
                <w:highlight w:val="none"/>
              </w:rPr>
            </w:pPr>
            <w:r>
              <w:rPr>
                <w:color w:val="auto"/>
                <w:highlight w:val="none"/>
              </w:rPr>
              <w:t>服务要求</w:t>
            </w:r>
          </w:p>
        </w:tc>
      </w:tr>
      <w:tr w14:paraId="07EC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27081C4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服务能力</w:t>
            </w:r>
          </w:p>
        </w:tc>
        <w:tc>
          <w:tcPr>
            <w:tcW w:w="6446" w:type="dxa"/>
            <w:tcBorders>
              <w:top w:val="single" w:color="000000" w:sz="4" w:space="0"/>
              <w:left w:val="single" w:color="000000" w:sz="4" w:space="0"/>
              <w:bottom w:val="single" w:color="000000" w:sz="4" w:space="0"/>
              <w:right w:val="single" w:color="000000" w:sz="4" w:space="0"/>
            </w:tcBorders>
          </w:tcPr>
          <w:p w14:paraId="7D32261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通过云管理平台实现针每租户按需自动分配负载均衡服务的能力。总体峰值可支持每秒新建链接数不少于40万</w:t>
            </w:r>
          </w:p>
        </w:tc>
      </w:tr>
      <w:tr w14:paraId="763B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04CA638A">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均衡策略</w:t>
            </w:r>
          </w:p>
        </w:tc>
        <w:tc>
          <w:tcPr>
            <w:tcW w:w="6446" w:type="dxa"/>
            <w:tcBorders>
              <w:top w:val="single" w:color="000000" w:sz="4" w:space="0"/>
              <w:left w:val="single" w:color="000000" w:sz="4" w:space="0"/>
              <w:bottom w:val="single" w:color="000000" w:sz="4" w:space="0"/>
              <w:right w:val="single" w:color="000000" w:sz="4" w:space="0"/>
            </w:tcBorders>
          </w:tcPr>
          <w:p w14:paraId="63595C6E">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支持加权轮询(Weighted Round Robin)、加权最小连接数调度(Weighted Least-Connection Scheduling)等流量分发策略</w:t>
            </w:r>
          </w:p>
        </w:tc>
      </w:tr>
      <w:tr w14:paraId="02775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6DD163C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健康检查</w:t>
            </w:r>
          </w:p>
        </w:tc>
        <w:tc>
          <w:tcPr>
            <w:tcW w:w="6446" w:type="dxa"/>
            <w:tcBorders>
              <w:top w:val="single" w:color="000000" w:sz="4" w:space="0"/>
              <w:left w:val="single" w:color="000000" w:sz="4" w:space="0"/>
              <w:bottom w:val="single" w:color="000000" w:sz="4" w:space="0"/>
              <w:right w:val="single" w:color="000000" w:sz="4" w:space="0"/>
            </w:tcBorders>
          </w:tcPr>
          <w:p w14:paraId="14EDD0FE">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可以按照指定规则对配置的虚拟主机进行健康检查，自动隔离异常状态虚拟主机，确保可用性</w:t>
            </w:r>
          </w:p>
        </w:tc>
      </w:tr>
      <w:tr w14:paraId="5408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368FC18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会话（Session）保持</w:t>
            </w:r>
          </w:p>
        </w:tc>
        <w:tc>
          <w:tcPr>
            <w:tcW w:w="6446" w:type="dxa"/>
            <w:tcBorders>
              <w:top w:val="single" w:color="000000" w:sz="4" w:space="0"/>
              <w:left w:val="single" w:color="000000" w:sz="4" w:space="0"/>
              <w:bottom w:val="single" w:color="000000" w:sz="4" w:space="0"/>
              <w:right w:val="single" w:color="000000" w:sz="4" w:space="0"/>
            </w:tcBorders>
          </w:tcPr>
          <w:p w14:paraId="44002140">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可对虚拟主机提供TCP/HTTP协议的负载均衡服务，并提供会话保持功能，在会话生命周期内，将同一会话请求转发到同一台后端虚拟主机</w:t>
            </w:r>
          </w:p>
        </w:tc>
      </w:tr>
      <w:tr w14:paraId="4AD86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62D035E3">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高可用性</w:t>
            </w:r>
          </w:p>
        </w:tc>
        <w:tc>
          <w:tcPr>
            <w:tcW w:w="6446" w:type="dxa"/>
            <w:tcBorders>
              <w:top w:val="single" w:color="000000" w:sz="4" w:space="0"/>
              <w:left w:val="single" w:color="000000" w:sz="4" w:space="0"/>
              <w:bottom w:val="single" w:color="000000" w:sz="4" w:space="0"/>
              <w:right w:val="single" w:color="000000" w:sz="4" w:space="0"/>
            </w:tcBorders>
          </w:tcPr>
          <w:p w14:paraId="68B0346E">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采用全冗余或集群架构，无单点故障；平均可用性不低于99.99%</w:t>
            </w:r>
          </w:p>
        </w:tc>
      </w:tr>
      <w:tr w14:paraId="22A37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69FC5C48">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转发规则</w:t>
            </w:r>
          </w:p>
        </w:tc>
        <w:tc>
          <w:tcPr>
            <w:tcW w:w="6446" w:type="dxa"/>
            <w:tcBorders>
              <w:top w:val="single" w:color="000000" w:sz="4" w:space="0"/>
              <w:left w:val="single" w:color="000000" w:sz="4" w:space="0"/>
              <w:bottom w:val="single" w:color="000000" w:sz="4" w:space="0"/>
              <w:right w:val="single" w:color="000000" w:sz="4" w:space="0"/>
            </w:tcBorders>
          </w:tcPr>
          <w:p w14:paraId="116D214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提供多种转发规则，满足不同业务场景的要求</w:t>
            </w:r>
          </w:p>
        </w:tc>
      </w:tr>
      <w:tr w14:paraId="1E504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750FEBD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扩展性</w:t>
            </w:r>
          </w:p>
        </w:tc>
        <w:tc>
          <w:tcPr>
            <w:tcW w:w="6446" w:type="dxa"/>
            <w:tcBorders>
              <w:top w:val="single" w:color="000000" w:sz="4" w:space="0"/>
              <w:left w:val="single" w:color="000000" w:sz="4" w:space="0"/>
              <w:bottom w:val="single" w:color="000000" w:sz="4" w:space="0"/>
              <w:right w:val="single" w:color="000000" w:sz="4" w:space="0"/>
            </w:tcBorders>
          </w:tcPr>
          <w:p w14:paraId="7ED7226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支持在线平滑升级，承载能力和网络总带宽同步线性扩容；可与虚拟主机配合提供三层架构系统的弹性扩展</w:t>
            </w:r>
          </w:p>
        </w:tc>
      </w:tr>
      <w:tr w14:paraId="7309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09AE476A">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446" w:type="dxa"/>
            <w:tcBorders>
              <w:top w:val="single" w:color="000000" w:sz="4" w:space="0"/>
              <w:left w:val="single" w:color="000000" w:sz="4" w:space="0"/>
              <w:bottom w:val="single" w:color="000000" w:sz="4" w:space="0"/>
              <w:right w:val="single" w:color="000000" w:sz="4" w:space="0"/>
            </w:tcBorders>
          </w:tcPr>
          <w:p w14:paraId="7DF6759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r w14:paraId="620F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right w:val="single" w:color="000000" w:sz="4" w:space="0"/>
            </w:tcBorders>
            <w:vAlign w:val="center"/>
          </w:tcPr>
          <w:p w14:paraId="5F887EBD">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协议支持</w:t>
            </w:r>
          </w:p>
        </w:tc>
        <w:tc>
          <w:tcPr>
            <w:tcW w:w="6446" w:type="dxa"/>
            <w:tcBorders>
              <w:top w:val="single" w:color="000000" w:sz="4" w:space="0"/>
              <w:left w:val="single" w:color="000000" w:sz="4" w:space="0"/>
              <w:bottom w:val="single" w:color="000000" w:sz="4" w:space="0"/>
              <w:right w:val="single" w:color="000000" w:sz="4" w:space="0"/>
            </w:tcBorders>
          </w:tcPr>
          <w:p w14:paraId="1273083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 4 层（TCP 协议）和 7 层（HTTP 和 HTTPS 协议）的负载均衡服务</w:t>
            </w:r>
          </w:p>
        </w:tc>
      </w:tr>
    </w:tbl>
    <w:p w14:paraId="086167AB">
      <w:pPr>
        <w:rPr>
          <w:color w:val="auto"/>
          <w:highlight w:val="none"/>
        </w:rPr>
      </w:pPr>
    </w:p>
    <w:p w14:paraId="1BD2D2E8">
      <w:pPr>
        <w:pStyle w:val="3"/>
        <w:snapToGrid w:val="0"/>
        <w:rPr>
          <w:rFonts w:hint="eastAsia" w:hAnsi="宋体" w:cs="宋体"/>
          <w:b/>
          <w:color w:val="auto"/>
          <w:highlight w:val="none"/>
        </w:rPr>
      </w:pPr>
      <w:r>
        <w:rPr>
          <w:rFonts w:hint="eastAsia" w:hAnsi="宋体" w:cs="宋体"/>
          <w:b/>
          <w:color w:val="auto"/>
          <w:highlight w:val="none"/>
        </w:rPr>
        <w:t>3、远程接入服务</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1"/>
        <w:gridCol w:w="6557"/>
      </w:tblGrid>
      <w:tr w14:paraId="4816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tcBorders>
              <w:top w:val="single" w:color="000000" w:sz="4" w:space="0"/>
              <w:left w:val="single" w:color="000000" w:sz="4" w:space="0"/>
              <w:bottom w:val="single" w:color="000000" w:sz="4" w:space="0"/>
              <w:right w:val="single" w:color="000000" w:sz="4" w:space="0"/>
            </w:tcBorders>
            <w:vAlign w:val="center"/>
          </w:tcPr>
          <w:p w14:paraId="01F1C236">
            <w:pPr>
              <w:pStyle w:val="12"/>
              <w:rPr>
                <w:rFonts w:hint="default"/>
                <w:color w:val="auto"/>
                <w:highlight w:val="none"/>
              </w:rPr>
            </w:pPr>
            <w:r>
              <w:rPr>
                <w:color w:val="auto"/>
                <w:highlight w:val="none"/>
              </w:rPr>
              <w:t>指标项</w:t>
            </w:r>
          </w:p>
        </w:tc>
        <w:tc>
          <w:tcPr>
            <w:tcW w:w="6557" w:type="dxa"/>
            <w:tcBorders>
              <w:top w:val="single" w:color="000000" w:sz="4" w:space="0"/>
              <w:left w:val="single" w:color="000000" w:sz="4" w:space="0"/>
              <w:bottom w:val="single" w:color="000000" w:sz="4" w:space="0"/>
              <w:right w:val="single" w:color="000000" w:sz="4" w:space="0"/>
            </w:tcBorders>
            <w:vAlign w:val="center"/>
          </w:tcPr>
          <w:p w14:paraId="32B44060">
            <w:pPr>
              <w:pStyle w:val="12"/>
              <w:rPr>
                <w:rFonts w:hint="default"/>
                <w:color w:val="auto"/>
                <w:highlight w:val="none"/>
              </w:rPr>
            </w:pPr>
            <w:r>
              <w:rPr>
                <w:color w:val="auto"/>
                <w:highlight w:val="none"/>
              </w:rPr>
              <w:t>服务要求</w:t>
            </w:r>
          </w:p>
        </w:tc>
      </w:tr>
      <w:tr w14:paraId="19295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tcBorders>
              <w:top w:val="single" w:color="000000" w:sz="4" w:space="0"/>
              <w:left w:val="single" w:color="000000" w:sz="4" w:space="0"/>
              <w:bottom w:val="single" w:color="000000" w:sz="4" w:space="0"/>
              <w:right w:val="single" w:color="000000" w:sz="4" w:space="0"/>
            </w:tcBorders>
            <w:vAlign w:val="center"/>
          </w:tcPr>
          <w:p w14:paraId="1DF58C9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功能要求</w:t>
            </w:r>
          </w:p>
        </w:tc>
        <w:tc>
          <w:tcPr>
            <w:tcW w:w="6557" w:type="dxa"/>
            <w:tcBorders>
              <w:top w:val="single" w:color="000000" w:sz="4" w:space="0"/>
              <w:left w:val="single" w:color="000000" w:sz="4" w:space="0"/>
              <w:bottom w:val="single" w:color="000000" w:sz="4" w:space="0"/>
              <w:right w:val="single" w:color="000000" w:sz="4" w:space="0"/>
            </w:tcBorders>
            <w:vAlign w:val="center"/>
          </w:tcPr>
          <w:p w14:paraId="70201097">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提供堡垒机远程接入服务</w:t>
            </w:r>
          </w:p>
        </w:tc>
      </w:tr>
      <w:tr w14:paraId="50195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tcBorders>
              <w:top w:val="single" w:color="000000" w:sz="4" w:space="0"/>
              <w:left w:val="single" w:color="000000" w:sz="4" w:space="0"/>
              <w:bottom w:val="single" w:color="000000" w:sz="4" w:space="0"/>
              <w:right w:val="single" w:color="000000" w:sz="4" w:space="0"/>
            </w:tcBorders>
            <w:vAlign w:val="center"/>
          </w:tcPr>
          <w:p w14:paraId="62A74371">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运维审计</w:t>
            </w:r>
          </w:p>
        </w:tc>
        <w:tc>
          <w:tcPr>
            <w:tcW w:w="6557" w:type="dxa"/>
            <w:tcBorders>
              <w:top w:val="single" w:color="000000" w:sz="4" w:space="0"/>
              <w:left w:val="single" w:color="000000" w:sz="4" w:space="0"/>
              <w:bottom w:val="single" w:color="000000" w:sz="4" w:space="0"/>
              <w:right w:val="single" w:color="000000" w:sz="4" w:space="0"/>
            </w:tcBorders>
            <w:vAlign w:val="center"/>
          </w:tcPr>
          <w:p w14:paraId="45D32403">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字符操作审计、图形操作审计、文件操作审计</w:t>
            </w:r>
          </w:p>
        </w:tc>
      </w:tr>
      <w:tr w14:paraId="4E94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vMerge w:val="restart"/>
            <w:tcBorders>
              <w:top w:val="single" w:color="000000" w:sz="4" w:space="0"/>
              <w:left w:val="single" w:color="000000" w:sz="4" w:space="0"/>
              <w:right w:val="single" w:color="000000" w:sz="4" w:space="0"/>
            </w:tcBorders>
            <w:vAlign w:val="center"/>
          </w:tcPr>
          <w:p w14:paraId="7760AAD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访问控制</w:t>
            </w:r>
          </w:p>
        </w:tc>
        <w:tc>
          <w:tcPr>
            <w:tcW w:w="6557" w:type="dxa"/>
            <w:tcBorders>
              <w:top w:val="single" w:color="000000" w:sz="4" w:space="0"/>
              <w:left w:val="single" w:color="000000" w:sz="4" w:space="0"/>
              <w:bottom w:val="single" w:color="000000" w:sz="4" w:space="0"/>
              <w:right w:val="single" w:color="000000" w:sz="4" w:space="0"/>
            </w:tcBorders>
            <w:vAlign w:val="center"/>
          </w:tcPr>
          <w:p w14:paraId="5288363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支持基于IP/IP段、用户/用户组、资产/资产组、协议、危险级别等组合策略进行访问控制，对于不合法的行为予以阻断；</w:t>
            </w:r>
          </w:p>
        </w:tc>
      </w:tr>
      <w:tr w14:paraId="54C3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vMerge w:val="continue"/>
            <w:tcBorders>
              <w:left w:val="single" w:color="000000" w:sz="4" w:space="0"/>
              <w:right w:val="single" w:color="000000" w:sz="4" w:space="0"/>
            </w:tcBorders>
            <w:vAlign w:val="center"/>
          </w:tcPr>
          <w:p w14:paraId="2C2F2ACF">
            <w:pPr>
              <w:pStyle w:val="5"/>
              <w:ind w:left="0" w:leftChars="0" w:firstLine="0" w:firstLineChars="0"/>
              <w:rPr>
                <w:rFonts w:hint="eastAsia" w:ascii="宋体" w:hAnsi="宋体" w:cs="宋体"/>
                <w:color w:val="auto"/>
                <w:szCs w:val="21"/>
                <w:highlight w:val="none"/>
              </w:rPr>
            </w:pPr>
          </w:p>
        </w:tc>
        <w:tc>
          <w:tcPr>
            <w:tcW w:w="6557" w:type="dxa"/>
            <w:tcBorders>
              <w:top w:val="single" w:color="000000" w:sz="4" w:space="0"/>
              <w:left w:val="single" w:color="000000" w:sz="4" w:space="0"/>
              <w:bottom w:val="single" w:color="000000" w:sz="4" w:space="0"/>
              <w:right w:val="single" w:color="000000" w:sz="4" w:space="0"/>
            </w:tcBorders>
            <w:vAlign w:val="center"/>
          </w:tcPr>
          <w:p w14:paraId="288A17E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可基于运维账号的登陆时间和资产登陆时间进行访问控制；</w:t>
            </w:r>
          </w:p>
        </w:tc>
      </w:tr>
      <w:tr w14:paraId="39FD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vMerge w:val="continue"/>
            <w:tcBorders>
              <w:left w:val="single" w:color="000000" w:sz="4" w:space="0"/>
              <w:right w:val="single" w:color="000000" w:sz="4" w:space="0"/>
            </w:tcBorders>
            <w:vAlign w:val="center"/>
          </w:tcPr>
          <w:p w14:paraId="6F946910">
            <w:pPr>
              <w:pStyle w:val="5"/>
              <w:ind w:left="0" w:leftChars="0" w:firstLine="0" w:firstLineChars="0"/>
              <w:rPr>
                <w:rFonts w:hint="eastAsia" w:ascii="宋体" w:hAnsi="宋体" w:cs="宋体"/>
                <w:color w:val="auto"/>
                <w:szCs w:val="21"/>
                <w:highlight w:val="none"/>
              </w:rPr>
            </w:pPr>
          </w:p>
        </w:tc>
        <w:tc>
          <w:tcPr>
            <w:tcW w:w="6557" w:type="dxa"/>
            <w:tcBorders>
              <w:top w:val="single" w:color="000000" w:sz="4" w:space="0"/>
              <w:left w:val="single" w:color="000000" w:sz="4" w:space="0"/>
              <w:bottom w:val="single" w:color="000000" w:sz="4" w:space="0"/>
              <w:right w:val="single" w:color="000000" w:sz="4" w:space="0"/>
            </w:tcBorders>
            <w:vAlign w:val="center"/>
          </w:tcPr>
          <w:p w14:paraId="2B8F780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可基于运维操作命令进行访问控制；</w:t>
            </w:r>
          </w:p>
        </w:tc>
      </w:tr>
      <w:tr w14:paraId="2D973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61" w:type="dxa"/>
            <w:vMerge w:val="continue"/>
            <w:tcBorders>
              <w:left w:val="single" w:color="000000" w:sz="4" w:space="0"/>
              <w:bottom w:val="single" w:color="000000" w:sz="4" w:space="0"/>
              <w:right w:val="single" w:color="000000" w:sz="4" w:space="0"/>
            </w:tcBorders>
            <w:vAlign w:val="center"/>
          </w:tcPr>
          <w:p w14:paraId="5395C06B">
            <w:pPr>
              <w:pStyle w:val="5"/>
              <w:ind w:left="0" w:leftChars="0" w:firstLine="0" w:firstLineChars="0"/>
              <w:rPr>
                <w:rFonts w:hint="eastAsia" w:ascii="宋体" w:hAnsi="宋体" w:cs="宋体"/>
                <w:color w:val="auto"/>
                <w:szCs w:val="21"/>
                <w:highlight w:val="none"/>
              </w:rPr>
            </w:pPr>
          </w:p>
        </w:tc>
        <w:tc>
          <w:tcPr>
            <w:tcW w:w="6557" w:type="dxa"/>
            <w:tcBorders>
              <w:top w:val="single" w:color="000000" w:sz="4" w:space="0"/>
              <w:left w:val="single" w:color="000000" w:sz="4" w:space="0"/>
              <w:bottom w:val="single" w:color="000000" w:sz="4" w:space="0"/>
              <w:right w:val="single" w:color="000000" w:sz="4" w:space="0"/>
            </w:tcBorders>
            <w:vAlign w:val="center"/>
          </w:tcPr>
          <w:p w14:paraId="3303A329">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可基于主机、用户、IP地址控制审计日志的访问权限；</w:t>
            </w:r>
          </w:p>
        </w:tc>
      </w:tr>
    </w:tbl>
    <w:p w14:paraId="1C40271E">
      <w:pPr>
        <w:rPr>
          <w:color w:val="auto"/>
          <w:highlight w:val="none"/>
        </w:rPr>
      </w:pPr>
    </w:p>
    <w:p w14:paraId="64297A5F">
      <w:pPr>
        <w:pStyle w:val="3"/>
        <w:snapToGrid w:val="0"/>
        <w:rPr>
          <w:rFonts w:hint="eastAsia" w:hAnsi="宋体" w:cs="宋体"/>
          <w:b/>
          <w:color w:val="auto"/>
          <w:highlight w:val="none"/>
        </w:rPr>
      </w:pPr>
      <w:r>
        <w:rPr>
          <w:rFonts w:hint="eastAsia" w:hAnsi="宋体" w:cs="宋体"/>
          <w:b/>
          <w:color w:val="auto"/>
          <w:highlight w:val="none"/>
        </w:rPr>
        <w:t>4、SSL VPN接入</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7231"/>
      </w:tblGrid>
      <w:tr w14:paraId="0E6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14:paraId="26486B80">
            <w:pPr>
              <w:pStyle w:val="12"/>
              <w:rPr>
                <w:rFonts w:hint="default"/>
                <w:color w:val="auto"/>
                <w:highlight w:val="none"/>
              </w:rPr>
            </w:pPr>
            <w:r>
              <w:rPr>
                <w:color w:val="auto"/>
                <w:highlight w:val="none"/>
              </w:rPr>
              <w:t>指标项</w:t>
            </w:r>
          </w:p>
        </w:tc>
        <w:tc>
          <w:tcPr>
            <w:tcW w:w="7231" w:type="dxa"/>
            <w:tcBorders>
              <w:top w:val="single" w:color="000000" w:sz="4" w:space="0"/>
              <w:left w:val="single" w:color="000000" w:sz="4" w:space="0"/>
              <w:bottom w:val="single" w:color="000000" w:sz="4" w:space="0"/>
              <w:right w:val="single" w:color="000000" w:sz="4" w:space="0"/>
            </w:tcBorders>
            <w:vAlign w:val="center"/>
          </w:tcPr>
          <w:p w14:paraId="4350D0F0">
            <w:pPr>
              <w:pStyle w:val="12"/>
              <w:rPr>
                <w:rFonts w:hint="default"/>
                <w:color w:val="auto"/>
                <w:highlight w:val="none"/>
              </w:rPr>
            </w:pPr>
            <w:r>
              <w:rPr>
                <w:color w:val="auto"/>
                <w:highlight w:val="none"/>
              </w:rPr>
              <w:t>服务要求</w:t>
            </w:r>
          </w:p>
        </w:tc>
      </w:tr>
      <w:tr w14:paraId="22F9A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14:paraId="6BD0BDD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接入方式</w:t>
            </w:r>
          </w:p>
        </w:tc>
        <w:tc>
          <w:tcPr>
            <w:tcW w:w="7231" w:type="dxa"/>
            <w:tcBorders>
              <w:top w:val="single" w:color="000000" w:sz="4" w:space="0"/>
              <w:left w:val="single" w:color="000000" w:sz="4" w:space="0"/>
              <w:bottom w:val="single" w:color="000000" w:sz="4" w:space="0"/>
              <w:right w:val="single" w:color="000000" w:sz="4" w:space="0"/>
            </w:tcBorders>
            <w:vAlign w:val="center"/>
          </w:tcPr>
          <w:p w14:paraId="42110BAC">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实现Web接入，TCP接入，IP接入等多种方式，记录完整的用户访问日志</w:t>
            </w:r>
          </w:p>
        </w:tc>
      </w:tr>
      <w:tr w14:paraId="4974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14:paraId="5DDABF6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身份管理</w:t>
            </w:r>
          </w:p>
        </w:tc>
        <w:tc>
          <w:tcPr>
            <w:tcW w:w="7231" w:type="dxa"/>
            <w:tcBorders>
              <w:top w:val="single" w:color="000000" w:sz="4" w:space="0"/>
              <w:left w:val="single" w:color="000000" w:sz="4" w:space="0"/>
              <w:bottom w:val="single" w:color="000000" w:sz="4" w:space="0"/>
              <w:right w:val="single" w:color="000000" w:sz="4" w:space="0"/>
            </w:tcBorders>
            <w:vAlign w:val="center"/>
          </w:tcPr>
          <w:p w14:paraId="2BED4B7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支持基于用户身份的管理，实现不同身份的用户拥有不同的命令执行权限，并且支持用户视图分级，对于不同级别的用户赋予不同的管理配置权限</w:t>
            </w:r>
          </w:p>
        </w:tc>
      </w:tr>
      <w:tr w14:paraId="032D8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14:paraId="0F7D1BF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访问控制策略</w:t>
            </w:r>
          </w:p>
        </w:tc>
        <w:tc>
          <w:tcPr>
            <w:tcW w:w="7231" w:type="dxa"/>
            <w:tcBorders>
              <w:top w:val="single" w:color="000000" w:sz="4" w:space="0"/>
              <w:left w:val="single" w:color="000000" w:sz="4" w:space="0"/>
              <w:bottom w:val="single" w:color="000000" w:sz="4" w:space="0"/>
              <w:right w:val="single" w:color="000000" w:sz="4" w:space="0"/>
            </w:tcBorders>
            <w:vAlign w:val="center"/>
          </w:tcPr>
          <w:p w14:paraId="4DA662EA">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可以根据请求报文的目的IP地址和目的端口号、源IP地址和源端口号进行过滤</w:t>
            </w:r>
          </w:p>
        </w:tc>
      </w:tr>
      <w:tr w14:paraId="2C7B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14:paraId="05A73AFD">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密码要求</w:t>
            </w:r>
          </w:p>
        </w:tc>
        <w:tc>
          <w:tcPr>
            <w:tcW w:w="7231" w:type="dxa"/>
            <w:tcBorders>
              <w:top w:val="single" w:color="000000" w:sz="4" w:space="0"/>
              <w:left w:val="single" w:color="000000" w:sz="4" w:space="0"/>
              <w:bottom w:val="single" w:color="000000" w:sz="4" w:space="0"/>
              <w:right w:val="single" w:color="000000" w:sz="4" w:space="0"/>
            </w:tcBorders>
            <w:vAlign w:val="center"/>
          </w:tcPr>
          <w:p w14:paraId="7B8EB322">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采用通过商用密码产品认证的SSL VPN产品</w:t>
            </w:r>
          </w:p>
        </w:tc>
      </w:tr>
    </w:tbl>
    <w:p w14:paraId="07682380">
      <w:pPr>
        <w:rPr>
          <w:color w:val="auto"/>
          <w:highlight w:val="none"/>
        </w:rPr>
      </w:pPr>
    </w:p>
    <w:p w14:paraId="4126A5CA">
      <w:pPr>
        <w:pStyle w:val="3"/>
        <w:snapToGrid w:val="0"/>
        <w:rPr>
          <w:rFonts w:hint="eastAsia" w:hAnsi="宋体" w:cs="宋体"/>
          <w:b/>
          <w:color w:val="auto"/>
          <w:highlight w:val="none"/>
        </w:rPr>
      </w:pPr>
      <w:r>
        <w:rPr>
          <w:rFonts w:hint="eastAsia" w:hAnsi="宋体" w:cs="宋体"/>
          <w:b/>
          <w:color w:val="auto"/>
          <w:highlight w:val="none"/>
        </w:rPr>
        <w:t>5、IPSec VPN接入</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0"/>
        <w:gridCol w:w="6448"/>
      </w:tblGrid>
      <w:tr w14:paraId="4579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0" w:type="dxa"/>
            <w:tcBorders>
              <w:top w:val="single" w:color="000000" w:sz="4" w:space="0"/>
              <w:left w:val="single" w:color="000000" w:sz="4" w:space="0"/>
              <w:bottom w:val="single" w:color="000000" w:sz="4" w:space="0"/>
              <w:right w:val="single" w:color="000000" w:sz="4" w:space="0"/>
            </w:tcBorders>
            <w:vAlign w:val="center"/>
          </w:tcPr>
          <w:p w14:paraId="02B30A62">
            <w:pPr>
              <w:pStyle w:val="12"/>
              <w:rPr>
                <w:rFonts w:hint="default"/>
                <w:color w:val="auto"/>
                <w:highlight w:val="none"/>
              </w:rPr>
            </w:pPr>
            <w:r>
              <w:rPr>
                <w:color w:val="auto"/>
                <w:highlight w:val="none"/>
              </w:rPr>
              <w:t>指标项</w:t>
            </w:r>
          </w:p>
        </w:tc>
        <w:tc>
          <w:tcPr>
            <w:tcW w:w="6448" w:type="dxa"/>
            <w:tcBorders>
              <w:top w:val="single" w:color="000000" w:sz="4" w:space="0"/>
              <w:left w:val="single" w:color="000000" w:sz="4" w:space="0"/>
              <w:bottom w:val="single" w:color="000000" w:sz="4" w:space="0"/>
              <w:right w:val="single" w:color="000000" w:sz="4" w:space="0"/>
            </w:tcBorders>
            <w:vAlign w:val="center"/>
          </w:tcPr>
          <w:p w14:paraId="29A1F678">
            <w:pPr>
              <w:pStyle w:val="12"/>
              <w:rPr>
                <w:rFonts w:hint="default"/>
                <w:color w:val="auto"/>
                <w:highlight w:val="none"/>
              </w:rPr>
            </w:pPr>
            <w:r>
              <w:rPr>
                <w:color w:val="auto"/>
                <w:highlight w:val="none"/>
              </w:rPr>
              <w:t>服务要求</w:t>
            </w:r>
          </w:p>
        </w:tc>
      </w:tr>
      <w:tr w14:paraId="0C12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0" w:type="dxa"/>
            <w:tcBorders>
              <w:top w:val="single" w:color="000000" w:sz="4" w:space="0"/>
              <w:left w:val="single" w:color="000000" w:sz="4" w:space="0"/>
              <w:bottom w:val="single" w:color="000000" w:sz="4" w:space="0"/>
              <w:right w:val="single" w:color="000000" w:sz="4" w:space="0"/>
            </w:tcBorders>
            <w:vAlign w:val="center"/>
          </w:tcPr>
          <w:p w14:paraId="5213BBE6">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配置方式</w:t>
            </w:r>
          </w:p>
        </w:tc>
        <w:tc>
          <w:tcPr>
            <w:tcW w:w="6448" w:type="dxa"/>
            <w:tcBorders>
              <w:top w:val="single" w:color="000000" w:sz="4" w:space="0"/>
              <w:left w:val="single" w:color="000000" w:sz="4" w:space="0"/>
              <w:bottom w:val="single" w:color="000000" w:sz="4" w:space="0"/>
              <w:right w:val="single" w:color="000000" w:sz="4" w:space="0"/>
            </w:tcBorders>
            <w:vAlign w:val="center"/>
          </w:tcPr>
          <w:p w14:paraId="5A1C55B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通过手工配置或自动配置的方式实现IPSecVPN隧道的建立，支持对IKE策略、IPSec策略配置及对VPN服务、IPSec站点连接的申请并提供状态监控，记录完整的用户访问日志</w:t>
            </w:r>
          </w:p>
        </w:tc>
      </w:tr>
      <w:tr w14:paraId="277D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0" w:type="dxa"/>
            <w:tcBorders>
              <w:top w:val="single" w:color="000000" w:sz="4" w:space="0"/>
              <w:left w:val="single" w:color="000000" w:sz="4" w:space="0"/>
              <w:bottom w:val="single" w:color="000000" w:sz="4" w:space="0"/>
              <w:right w:val="single" w:color="000000" w:sz="4" w:space="0"/>
            </w:tcBorders>
            <w:vAlign w:val="center"/>
          </w:tcPr>
          <w:p w14:paraId="3A4C900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基本功能</w:t>
            </w:r>
          </w:p>
        </w:tc>
        <w:tc>
          <w:tcPr>
            <w:tcW w:w="6448" w:type="dxa"/>
            <w:tcBorders>
              <w:top w:val="single" w:color="000000" w:sz="4" w:space="0"/>
              <w:left w:val="single" w:color="000000" w:sz="4" w:space="0"/>
              <w:bottom w:val="single" w:color="000000" w:sz="4" w:space="0"/>
              <w:right w:val="single" w:color="000000" w:sz="4" w:space="0"/>
            </w:tcBorders>
            <w:vAlign w:val="center"/>
          </w:tcPr>
          <w:p w14:paraId="263DAF5D">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实现IPsec抗重放检测功能、反向路由注入功能，支持IPv6协议</w:t>
            </w:r>
          </w:p>
        </w:tc>
      </w:tr>
      <w:tr w14:paraId="6614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0" w:type="dxa"/>
            <w:tcBorders>
              <w:top w:val="single" w:color="000000" w:sz="4" w:space="0"/>
              <w:left w:val="single" w:color="000000" w:sz="4" w:space="0"/>
              <w:bottom w:val="single" w:color="000000" w:sz="4" w:space="0"/>
              <w:right w:val="single" w:color="000000" w:sz="4" w:space="0"/>
            </w:tcBorders>
            <w:vAlign w:val="center"/>
          </w:tcPr>
          <w:p w14:paraId="0C4C3AD9">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密码要求</w:t>
            </w:r>
          </w:p>
        </w:tc>
        <w:tc>
          <w:tcPr>
            <w:tcW w:w="6448" w:type="dxa"/>
            <w:tcBorders>
              <w:top w:val="single" w:color="000000" w:sz="4" w:space="0"/>
              <w:left w:val="single" w:color="000000" w:sz="4" w:space="0"/>
              <w:bottom w:val="single" w:color="000000" w:sz="4" w:space="0"/>
              <w:right w:val="single" w:color="000000" w:sz="4" w:space="0"/>
            </w:tcBorders>
            <w:vAlign w:val="center"/>
          </w:tcPr>
          <w:p w14:paraId="637A4E21">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采用通过商用密码产品认证的IPSEC VPN产品</w:t>
            </w:r>
          </w:p>
        </w:tc>
      </w:tr>
    </w:tbl>
    <w:p w14:paraId="2DAD5054">
      <w:pPr>
        <w:pStyle w:val="4"/>
        <w:rPr>
          <w:rFonts w:hint="eastAsia"/>
          <w:color w:val="auto"/>
          <w:highlight w:val="none"/>
        </w:rPr>
      </w:pPr>
    </w:p>
    <w:p w14:paraId="6CEF617B">
      <w:pPr>
        <w:pStyle w:val="3"/>
        <w:snapToGrid w:val="0"/>
        <w:rPr>
          <w:rFonts w:hint="eastAsia" w:hAnsi="宋体" w:cs="宋体"/>
          <w:b/>
          <w:color w:val="auto"/>
          <w:highlight w:val="none"/>
        </w:rPr>
      </w:pPr>
      <w:r>
        <w:rPr>
          <w:rFonts w:hint="eastAsia" w:hAnsi="宋体" w:cs="宋体"/>
          <w:b/>
          <w:color w:val="auto"/>
          <w:highlight w:val="none"/>
        </w:rPr>
        <w:t>6、web应用防火墙防护</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2"/>
        <w:gridCol w:w="6446"/>
      </w:tblGrid>
      <w:tr w14:paraId="5357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367BAA03">
            <w:pPr>
              <w:pStyle w:val="12"/>
              <w:rPr>
                <w:rFonts w:hint="default"/>
                <w:color w:val="auto"/>
                <w:highlight w:val="none"/>
              </w:rPr>
            </w:pPr>
            <w:r>
              <w:rPr>
                <w:color w:val="auto"/>
                <w:highlight w:val="none"/>
              </w:rPr>
              <w:t>指标项</w:t>
            </w:r>
          </w:p>
        </w:tc>
        <w:tc>
          <w:tcPr>
            <w:tcW w:w="6446" w:type="dxa"/>
            <w:tcBorders>
              <w:top w:val="single" w:color="000000" w:sz="4" w:space="0"/>
              <w:left w:val="single" w:color="000000" w:sz="4" w:space="0"/>
              <w:bottom w:val="single" w:color="000000" w:sz="4" w:space="0"/>
              <w:right w:val="single" w:color="000000" w:sz="4" w:space="0"/>
            </w:tcBorders>
            <w:vAlign w:val="center"/>
          </w:tcPr>
          <w:p w14:paraId="41361885">
            <w:pPr>
              <w:pStyle w:val="12"/>
              <w:rPr>
                <w:rFonts w:hint="default"/>
                <w:color w:val="auto"/>
                <w:highlight w:val="none"/>
              </w:rPr>
            </w:pPr>
            <w:r>
              <w:rPr>
                <w:color w:val="auto"/>
                <w:highlight w:val="none"/>
              </w:rPr>
              <w:t>服务要求</w:t>
            </w:r>
          </w:p>
        </w:tc>
      </w:tr>
      <w:tr w14:paraId="12A3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5F12EDBF">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检测算法</w:t>
            </w:r>
          </w:p>
        </w:tc>
        <w:tc>
          <w:tcPr>
            <w:tcW w:w="6446" w:type="dxa"/>
            <w:tcBorders>
              <w:top w:val="single" w:color="000000" w:sz="4" w:space="0"/>
              <w:left w:val="single" w:color="000000" w:sz="4" w:space="0"/>
              <w:bottom w:val="single" w:color="000000" w:sz="4" w:space="0"/>
              <w:right w:val="single" w:color="000000" w:sz="4" w:space="0"/>
            </w:tcBorders>
            <w:vAlign w:val="center"/>
          </w:tcPr>
          <w:p w14:paraId="74379033">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可精确识别包括注入、XSS等OWASP Top 10 WEB通用攻击，有效应对盗链、跨站请求伪造等WEB特殊攻击</w:t>
            </w:r>
          </w:p>
        </w:tc>
      </w:tr>
      <w:tr w14:paraId="6D17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36440371">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部署方式</w:t>
            </w:r>
          </w:p>
        </w:tc>
        <w:tc>
          <w:tcPr>
            <w:tcW w:w="6446" w:type="dxa"/>
            <w:tcBorders>
              <w:top w:val="single" w:color="000000" w:sz="4" w:space="0"/>
              <w:left w:val="single" w:color="000000" w:sz="4" w:space="0"/>
              <w:bottom w:val="single" w:color="000000" w:sz="4" w:space="0"/>
              <w:right w:val="single" w:color="000000" w:sz="4" w:space="0"/>
            </w:tcBorders>
            <w:vAlign w:val="center"/>
          </w:tcPr>
          <w:p w14:paraId="6A44D120">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可以通过透明串接或反向代理、路由模式等方式接入网络中，即可对应用层HTTP流量进行安全防护</w:t>
            </w:r>
          </w:p>
        </w:tc>
      </w:tr>
      <w:tr w14:paraId="4D5E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42202E6E">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黑名单</w:t>
            </w:r>
          </w:p>
        </w:tc>
        <w:tc>
          <w:tcPr>
            <w:tcW w:w="6446" w:type="dxa"/>
            <w:tcBorders>
              <w:top w:val="single" w:color="000000" w:sz="4" w:space="0"/>
              <w:left w:val="single" w:color="000000" w:sz="4" w:space="0"/>
              <w:bottom w:val="single" w:color="000000" w:sz="4" w:space="0"/>
              <w:right w:val="single" w:color="000000" w:sz="4" w:space="0"/>
            </w:tcBorders>
            <w:vAlign w:val="center"/>
          </w:tcPr>
          <w:p w14:paraId="67A2031B">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通过预定义策略及自定义规则，进行规则匹配，阻断异常流量</w:t>
            </w:r>
          </w:p>
        </w:tc>
      </w:tr>
      <w:tr w14:paraId="059D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2DD12E84">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可操作性</w:t>
            </w:r>
          </w:p>
        </w:tc>
        <w:tc>
          <w:tcPr>
            <w:tcW w:w="6446" w:type="dxa"/>
            <w:tcBorders>
              <w:top w:val="single" w:color="000000" w:sz="4" w:space="0"/>
              <w:left w:val="single" w:color="000000" w:sz="4" w:space="0"/>
              <w:bottom w:val="single" w:color="000000" w:sz="4" w:space="0"/>
              <w:right w:val="single" w:color="000000" w:sz="4" w:space="0"/>
            </w:tcBorders>
            <w:vAlign w:val="center"/>
          </w:tcPr>
          <w:p w14:paraId="4CF24715">
            <w:pPr>
              <w:pStyle w:val="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支持通过云管理平台，实现申请部署与使用</w:t>
            </w:r>
          </w:p>
        </w:tc>
      </w:tr>
    </w:tbl>
    <w:p w14:paraId="130B1CA5">
      <w:pPr>
        <w:pStyle w:val="3"/>
        <w:snapToGrid w:val="0"/>
        <w:rPr>
          <w:rFonts w:hint="eastAsia" w:hAnsi="宋体" w:cs="宋体"/>
          <w:b/>
          <w:color w:val="auto"/>
          <w:highlight w:val="none"/>
        </w:rPr>
      </w:pPr>
    </w:p>
    <w:p w14:paraId="2C56AD59">
      <w:pPr>
        <w:pStyle w:val="8"/>
        <w:numPr>
          <w:ilvl w:val="0"/>
          <w:numId w:val="0"/>
        </w:numPr>
        <w:spacing w:before="193" w:after="193"/>
        <w:rPr>
          <w:rFonts w:hint="eastAsia" w:ascii="楷体" w:hAnsi="楷体" w:eastAsia="楷体" w:cs="楷体"/>
          <w:color w:val="auto"/>
          <w:sz w:val="24"/>
          <w:szCs w:val="24"/>
          <w:highlight w:val="none"/>
        </w:rPr>
      </w:pPr>
      <w:r>
        <w:rPr>
          <w:color w:val="auto"/>
          <w:sz w:val="24"/>
          <w:szCs w:val="24"/>
          <w:highlight w:val="none"/>
        </w:rPr>
        <w:t>2.2.4</w:t>
      </w:r>
      <w:r>
        <w:rPr>
          <w:rFonts w:hint="eastAsia" w:ascii="楷体" w:hAnsi="楷体" w:eastAsia="楷体" w:cs="楷体"/>
          <w:color w:val="auto"/>
          <w:sz w:val="24"/>
          <w:szCs w:val="24"/>
          <w:highlight w:val="none"/>
        </w:rPr>
        <w:t>云主机深度监控服务</w:t>
      </w:r>
    </w:p>
    <w:tbl>
      <w:tblPr>
        <w:tblStyle w:val="6"/>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2"/>
        <w:gridCol w:w="6446"/>
      </w:tblGrid>
      <w:tr w14:paraId="4036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14450D25">
            <w:pPr>
              <w:pStyle w:val="12"/>
              <w:rPr>
                <w:rFonts w:hint="default"/>
                <w:color w:val="auto"/>
                <w:highlight w:val="none"/>
              </w:rPr>
            </w:pPr>
            <w:r>
              <w:rPr>
                <w:color w:val="auto"/>
                <w:highlight w:val="none"/>
              </w:rPr>
              <w:t>指标项</w:t>
            </w:r>
          </w:p>
        </w:tc>
        <w:tc>
          <w:tcPr>
            <w:tcW w:w="6446" w:type="dxa"/>
            <w:tcBorders>
              <w:top w:val="single" w:color="000000" w:sz="4" w:space="0"/>
              <w:left w:val="single" w:color="000000" w:sz="4" w:space="0"/>
              <w:bottom w:val="single" w:color="000000" w:sz="4" w:space="0"/>
              <w:right w:val="single" w:color="000000" w:sz="4" w:space="0"/>
            </w:tcBorders>
            <w:vAlign w:val="center"/>
          </w:tcPr>
          <w:p w14:paraId="381607CE">
            <w:pPr>
              <w:pStyle w:val="12"/>
              <w:rPr>
                <w:rFonts w:hint="default"/>
                <w:color w:val="auto"/>
                <w:highlight w:val="none"/>
              </w:rPr>
            </w:pPr>
            <w:r>
              <w:rPr>
                <w:color w:val="auto"/>
                <w:highlight w:val="none"/>
              </w:rPr>
              <w:t>服务要求</w:t>
            </w:r>
          </w:p>
        </w:tc>
      </w:tr>
      <w:tr w14:paraId="3915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78C16434">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云主机深度监控</w:t>
            </w:r>
          </w:p>
        </w:tc>
        <w:tc>
          <w:tcPr>
            <w:tcW w:w="6446" w:type="dxa"/>
            <w:tcBorders>
              <w:top w:val="single" w:color="000000" w:sz="4" w:space="0"/>
              <w:left w:val="single" w:color="000000" w:sz="4" w:space="0"/>
              <w:bottom w:val="single" w:color="000000" w:sz="4" w:space="0"/>
              <w:right w:val="single" w:color="000000" w:sz="4" w:space="0"/>
            </w:tcBorders>
            <w:vAlign w:val="center"/>
          </w:tcPr>
          <w:p w14:paraId="2E2E162E">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 xml:space="preserve">提供云主机7*24小时深度监控服务 </w:t>
            </w:r>
          </w:p>
        </w:tc>
      </w:tr>
      <w:tr w14:paraId="7CBA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0D2C75BB">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集中告警监控</w:t>
            </w:r>
          </w:p>
        </w:tc>
        <w:tc>
          <w:tcPr>
            <w:tcW w:w="6446" w:type="dxa"/>
            <w:tcBorders>
              <w:top w:val="single" w:color="000000" w:sz="4" w:space="0"/>
              <w:left w:val="single" w:color="000000" w:sz="4" w:space="0"/>
              <w:bottom w:val="single" w:color="000000" w:sz="4" w:space="0"/>
              <w:right w:val="single" w:color="000000" w:sz="4" w:space="0"/>
            </w:tcBorders>
            <w:vAlign w:val="center"/>
          </w:tcPr>
          <w:p w14:paraId="7DAD4EF0">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支持多维度告警/事件展现</w:t>
            </w:r>
          </w:p>
        </w:tc>
      </w:tr>
      <w:tr w14:paraId="01144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0FAB445C">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Top性能监控</w:t>
            </w:r>
          </w:p>
        </w:tc>
        <w:tc>
          <w:tcPr>
            <w:tcW w:w="6446" w:type="dxa"/>
            <w:tcBorders>
              <w:top w:val="single" w:color="000000" w:sz="4" w:space="0"/>
              <w:left w:val="single" w:color="000000" w:sz="4" w:space="0"/>
              <w:bottom w:val="single" w:color="000000" w:sz="4" w:space="0"/>
              <w:right w:val="single" w:color="000000" w:sz="4" w:space="0"/>
            </w:tcBorders>
            <w:vAlign w:val="center"/>
          </w:tcPr>
          <w:p w14:paraId="386A3F49">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提供常用指标的TopN性能视图，包括：</w:t>
            </w:r>
          </w:p>
          <w:p w14:paraId="5F0AA065">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服务器、虚拟机的CPU、内存TopN视图；</w:t>
            </w:r>
          </w:p>
          <w:p w14:paraId="35B82A78">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网络接口流量；</w:t>
            </w:r>
          </w:p>
          <w:p w14:paraId="75420705">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存储读写带宽、读写IOPS、读写IO大小。</w:t>
            </w:r>
          </w:p>
        </w:tc>
      </w:tr>
      <w:tr w14:paraId="42C5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029A500D">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安全事件服务</w:t>
            </w:r>
          </w:p>
        </w:tc>
        <w:tc>
          <w:tcPr>
            <w:tcW w:w="6446" w:type="dxa"/>
            <w:tcBorders>
              <w:top w:val="single" w:color="000000" w:sz="4" w:space="0"/>
              <w:left w:val="single" w:color="000000" w:sz="4" w:space="0"/>
              <w:bottom w:val="single" w:color="000000" w:sz="4" w:space="0"/>
              <w:right w:val="single" w:color="000000" w:sz="4" w:space="0"/>
            </w:tcBorders>
            <w:vAlign w:val="center"/>
          </w:tcPr>
          <w:p w14:paraId="74FDAC3B">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提供主机安全事件的验证、分析，并提供事件报告</w:t>
            </w:r>
          </w:p>
        </w:tc>
      </w:tr>
      <w:tr w14:paraId="2108F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26BD63A5">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应急处置服务</w:t>
            </w:r>
          </w:p>
        </w:tc>
        <w:tc>
          <w:tcPr>
            <w:tcW w:w="6446" w:type="dxa"/>
            <w:tcBorders>
              <w:top w:val="single" w:color="000000" w:sz="4" w:space="0"/>
              <w:left w:val="single" w:color="000000" w:sz="4" w:space="0"/>
              <w:bottom w:val="single" w:color="000000" w:sz="4" w:space="0"/>
              <w:right w:val="single" w:color="000000" w:sz="4" w:space="0"/>
            </w:tcBorders>
            <w:vAlign w:val="center"/>
          </w:tcPr>
          <w:p w14:paraId="4AA46D7C">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提供特定云主机的应急问题协助排查，协助处理应用故障等服务，并提供相应报告</w:t>
            </w:r>
          </w:p>
        </w:tc>
      </w:tr>
      <w:tr w14:paraId="21D72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72" w:type="dxa"/>
            <w:tcBorders>
              <w:top w:val="single" w:color="000000" w:sz="4" w:space="0"/>
              <w:left w:val="single" w:color="000000" w:sz="4" w:space="0"/>
              <w:bottom w:val="single" w:color="000000" w:sz="4" w:space="0"/>
              <w:right w:val="single" w:color="000000" w:sz="4" w:space="0"/>
            </w:tcBorders>
            <w:vAlign w:val="center"/>
          </w:tcPr>
          <w:p w14:paraId="712770A7">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值守保障服务</w:t>
            </w:r>
          </w:p>
        </w:tc>
        <w:tc>
          <w:tcPr>
            <w:tcW w:w="6446" w:type="dxa"/>
            <w:tcBorders>
              <w:top w:val="single" w:color="000000" w:sz="4" w:space="0"/>
              <w:left w:val="single" w:color="000000" w:sz="4" w:space="0"/>
              <w:bottom w:val="single" w:color="000000" w:sz="4" w:space="0"/>
              <w:right w:val="single" w:color="000000" w:sz="4" w:space="0"/>
            </w:tcBorders>
            <w:vAlign w:val="center"/>
          </w:tcPr>
          <w:p w14:paraId="1119B23A">
            <w:pPr>
              <w:pStyle w:val="5"/>
              <w:ind w:left="840" w:hanging="420"/>
              <w:rPr>
                <w:rFonts w:hint="eastAsia" w:ascii="宋体" w:hAnsi="宋体" w:cs="宋体"/>
                <w:color w:val="auto"/>
                <w:szCs w:val="21"/>
                <w:highlight w:val="none"/>
              </w:rPr>
            </w:pPr>
            <w:r>
              <w:rPr>
                <w:rFonts w:hint="eastAsia" w:ascii="宋体" w:hAnsi="宋体" w:cs="宋体"/>
                <w:color w:val="auto"/>
                <w:szCs w:val="21"/>
                <w:highlight w:val="none"/>
              </w:rPr>
              <w:t>提供7x24小时的运维值守工作，不仅限于机房巡检、云平台和硬件监控，同时提供问题排查协助、协助处理应用故障等服务，并提供相应报告</w:t>
            </w:r>
          </w:p>
        </w:tc>
      </w:tr>
    </w:tbl>
    <w:p w14:paraId="555DFF9D">
      <w:pPr>
        <w:pStyle w:val="3"/>
        <w:snapToGrid w:val="0"/>
        <w:rPr>
          <w:rFonts w:hint="eastAsia" w:hAnsi="宋体" w:cs="宋体"/>
          <w:b/>
          <w:color w:val="auto"/>
          <w:highlight w:val="none"/>
        </w:rPr>
      </w:pPr>
    </w:p>
    <w:p w14:paraId="12240347">
      <w:pPr>
        <w:pStyle w:val="8"/>
        <w:numPr>
          <w:ilvl w:val="0"/>
          <w:numId w:val="0"/>
        </w:numPr>
        <w:spacing w:before="193" w:after="193"/>
        <w:rPr>
          <w:rFonts w:hint="eastAsia" w:ascii="楷体" w:hAnsi="楷体" w:eastAsia="楷体" w:cs="楷体"/>
          <w:color w:val="auto"/>
          <w:sz w:val="24"/>
          <w:szCs w:val="24"/>
          <w:highlight w:val="none"/>
        </w:rPr>
      </w:pPr>
      <w:r>
        <w:rPr>
          <w:rFonts w:hint="eastAsia"/>
          <w:color w:val="auto"/>
          <w:sz w:val="24"/>
          <w:szCs w:val="24"/>
          <w:highlight w:val="none"/>
        </w:rPr>
        <w:t>2.2.5</w:t>
      </w:r>
      <w:r>
        <w:rPr>
          <w:rFonts w:hint="eastAsia" w:ascii="楷体" w:hAnsi="楷体" w:eastAsia="楷体" w:cs="楷体"/>
          <w:color w:val="auto"/>
          <w:sz w:val="24"/>
          <w:szCs w:val="24"/>
          <w:highlight w:val="none"/>
        </w:rPr>
        <w:t>安全管理服务</w:t>
      </w:r>
    </w:p>
    <w:p w14:paraId="0A9E7B16">
      <w:pPr>
        <w:pStyle w:val="3"/>
        <w:snapToGrid w:val="0"/>
        <w:ind w:firstLine="480"/>
        <w:rPr>
          <w:rFonts w:hint="eastAsia" w:hAnsi="宋体" w:cs="宋体"/>
          <w:color w:val="auto"/>
          <w:highlight w:val="none"/>
        </w:rPr>
      </w:pPr>
      <w:r>
        <w:rPr>
          <w:rFonts w:hint="eastAsia" w:hAnsi="宋体" w:cs="宋体"/>
          <w:color w:val="auto"/>
          <w:highlight w:val="none"/>
        </w:rPr>
        <w:t>投标人所投云平台应具备完备的安全防护体系和安全防护设备，应保证各业务应用系统的支撑环境，包括但不限于服务器、网络、存储以及相关物理环境，应能满足不低于网络安全等级保护（GB/T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积极配合采购人开展各项安全服务保障工作。投标人管辖范围内的硬件、软件及支撑环境资源，至少达到业务系统的最高安全等级要求。</w:t>
      </w:r>
    </w:p>
    <w:p w14:paraId="7CE4A89F">
      <w:pPr>
        <w:pStyle w:val="3"/>
        <w:snapToGrid w:val="0"/>
        <w:ind w:firstLine="480"/>
        <w:rPr>
          <w:rFonts w:hint="eastAsia" w:hAnsi="宋体" w:cs="宋体"/>
          <w:color w:val="auto"/>
          <w:highlight w:val="none"/>
        </w:rPr>
      </w:pPr>
      <w:r>
        <w:rPr>
          <w:rFonts w:hint="eastAsia" w:hAnsi="宋体" w:cs="宋体"/>
          <w:color w:val="auto"/>
          <w:highlight w:val="none"/>
        </w:rPr>
        <w:t>投标人所投云平台通过中央网信办云计算服务安全评估，提供相关证明并加盖投标人公章。</w:t>
      </w:r>
    </w:p>
    <w:p w14:paraId="6B25CD5A">
      <w:pPr>
        <w:pStyle w:val="3"/>
        <w:snapToGrid w:val="0"/>
        <w:ind w:firstLine="480"/>
        <w:rPr>
          <w:rFonts w:hint="eastAsia" w:hAnsi="宋体" w:cs="宋体"/>
          <w:color w:val="auto"/>
          <w:highlight w:val="none"/>
        </w:rPr>
      </w:pPr>
      <w:r>
        <w:rPr>
          <w:rFonts w:hint="eastAsia" w:hAnsi="宋体" w:cs="宋体"/>
          <w:color w:val="auto"/>
          <w:highlight w:val="none"/>
        </w:rPr>
        <w:t>投标人所投云平台需通过等保三级评估，提供相关证明并加盖投标人公章。</w:t>
      </w:r>
    </w:p>
    <w:p w14:paraId="2443DD9F">
      <w:pPr>
        <w:pStyle w:val="3"/>
        <w:snapToGrid w:val="0"/>
        <w:ind w:firstLine="480"/>
        <w:rPr>
          <w:rFonts w:hint="eastAsia" w:hAnsi="宋体" w:cs="宋体"/>
          <w:color w:val="auto"/>
          <w:highlight w:val="none"/>
        </w:rPr>
      </w:pPr>
      <w:r>
        <w:rPr>
          <w:rFonts w:hint="eastAsia" w:hAnsi="宋体" w:cs="宋体"/>
          <w:color w:val="auto"/>
          <w:highlight w:val="none"/>
        </w:rPr>
        <w:t>投标人所投云平台应具备商用密码服务能力，并通过商用密码应用安全性评估，提供相关证明并加盖投标人公章。</w:t>
      </w:r>
    </w:p>
    <w:p w14:paraId="5A99F434">
      <w:pPr>
        <w:pStyle w:val="8"/>
        <w:numPr>
          <w:ilvl w:val="0"/>
          <w:numId w:val="0"/>
        </w:numPr>
        <w:spacing w:before="193" w:after="193"/>
        <w:rPr>
          <w:rFonts w:hint="eastAsia" w:ascii="楷体" w:hAnsi="楷体" w:eastAsia="楷体" w:cs="楷体"/>
          <w:color w:val="auto"/>
          <w:sz w:val="24"/>
          <w:szCs w:val="24"/>
          <w:highlight w:val="none"/>
        </w:rPr>
      </w:pPr>
      <w:r>
        <w:rPr>
          <w:rFonts w:hint="eastAsia"/>
          <w:color w:val="auto"/>
          <w:sz w:val="24"/>
          <w:szCs w:val="24"/>
          <w:highlight w:val="none"/>
        </w:rPr>
        <w:t>2.2.6</w:t>
      </w:r>
      <w:r>
        <w:rPr>
          <w:rFonts w:hint="eastAsia" w:ascii="楷体" w:hAnsi="楷体" w:eastAsia="楷体" w:cs="楷体"/>
          <w:color w:val="auto"/>
          <w:sz w:val="24"/>
          <w:szCs w:val="24"/>
          <w:highlight w:val="none"/>
        </w:rPr>
        <w:t>运维服务</w:t>
      </w:r>
    </w:p>
    <w:p w14:paraId="5F3A47C1">
      <w:pPr>
        <w:pStyle w:val="3"/>
        <w:snapToGrid w:val="0"/>
        <w:rPr>
          <w:rFonts w:hint="eastAsia" w:hAnsi="宋体" w:cs="宋体"/>
          <w:b/>
          <w:color w:val="auto"/>
          <w:highlight w:val="none"/>
        </w:rPr>
      </w:pPr>
      <w:r>
        <w:rPr>
          <w:rFonts w:hint="eastAsia" w:hAnsi="宋体" w:cs="宋体"/>
          <w:b/>
          <w:color w:val="auto"/>
          <w:highlight w:val="none"/>
        </w:rPr>
        <w:t>1、服务要求</w:t>
      </w:r>
    </w:p>
    <w:p w14:paraId="59DFA149">
      <w:pPr>
        <w:pStyle w:val="3"/>
        <w:snapToGrid w:val="0"/>
        <w:ind w:firstLine="480"/>
        <w:rPr>
          <w:rFonts w:hint="eastAsia" w:hAnsi="宋体" w:cs="宋体"/>
          <w:color w:val="auto"/>
          <w:highlight w:val="none"/>
        </w:rPr>
      </w:pPr>
      <w:r>
        <w:rPr>
          <w:rFonts w:hint="eastAsia" w:hAnsi="宋体" w:cs="宋体"/>
          <w:color w:val="auto"/>
          <w:highlight w:val="none"/>
        </w:rPr>
        <w:t>投标人需编制服务制度、规范、流程，需利用监控系统或人工对机房环境、硬件设备及应用系统的运行情况进行7*24小时的监控，及时发现安全隐患，通知相关人员及时处理，并形成监控报告。</w:t>
      </w:r>
    </w:p>
    <w:p w14:paraId="733B561E">
      <w:pPr>
        <w:pStyle w:val="3"/>
        <w:snapToGrid w:val="0"/>
        <w:ind w:firstLine="480"/>
        <w:rPr>
          <w:rFonts w:hint="eastAsia" w:hAnsi="宋体" w:cs="宋体"/>
          <w:color w:val="auto"/>
          <w:highlight w:val="none"/>
        </w:rPr>
      </w:pPr>
      <w:r>
        <w:rPr>
          <w:rFonts w:hint="eastAsia" w:hAnsi="宋体" w:cs="宋体"/>
          <w:color w:val="auto"/>
          <w:highlight w:val="none"/>
        </w:rPr>
        <w:t>投标人负责设立技术支持热线，并安排专人值守，为云服务工作提供7*24小时热线支持服务。投标人针对采购人要求的云平台服务相关内容，需指定专业技术能力较强的工程师，根据采购人要求配合开展相关维护服务。</w:t>
      </w:r>
    </w:p>
    <w:p w14:paraId="4663AC9E">
      <w:pPr>
        <w:pStyle w:val="3"/>
        <w:snapToGrid w:val="0"/>
        <w:rPr>
          <w:rFonts w:hint="eastAsia" w:hAnsi="宋体" w:cs="宋体"/>
          <w:b/>
          <w:color w:val="auto"/>
          <w:highlight w:val="none"/>
        </w:rPr>
      </w:pPr>
      <w:r>
        <w:rPr>
          <w:rFonts w:hint="eastAsia" w:hAnsi="宋体" w:cs="宋体"/>
          <w:b/>
          <w:color w:val="auto"/>
          <w:highlight w:val="none"/>
        </w:rPr>
        <w:t>2、管理能力要求</w:t>
      </w:r>
    </w:p>
    <w:p w14:paraId="78E1FCA4">
      <w:pPr>
        <w:pStyle w:val="3"/>
        <w:snapToGrid w:val="0"/>
        <w:ind w:firstLine="480"/>
        <w:rPr>
          <w:rFonts w:hint="eastAsia" w:hAnsi="宋体" w:cs="宋体"/>
          <w:color w:val="auto"/>
          <w:highlight w:val="none"/>
        </w:rPr>
      </w:pPr>
      <w:r>
        <w:rPr>
          <w:rFonts w:hint="eastAsia" w:hAnsi="宋体" w:cs="宋体"/>
          <w:color w:val="auto"/>
          <w:highlight w:val="none"/>
        </w:rPr>
        <w:t>投标人应采用监控软件，提升管理能力，须具有的管理能力要求如下：</w:t>
      </w:r>
    </w:p>
    <w:p w14:paraId="10A61837">
      <w:pPr>
        <w:pStyle w:val="3"/>
        <w:snapToGrid w:val="0"/>
        <w:ind w:firstLine="480"/>
        <w:rPr>
          <w:rFonts w:hint="eastAsia" w:hAnsi="宋体" w:cs="宋体"/>
          <w:color w:val="auto"/>
          <w:highlight w:val="none"/>
        </w:rPr>
      </w:pPr>
      <w:r>
        <w:rPr>
          <w:rFonts w:hint="eastAsia" w:hAnsi="宋体" w:cs="宋体"/>
          <w:color w:val="auto"/>
          <w:highlight w:val="none"/>
        </w:rPr>
        <w:t>（1）后台任务性能分析能力：能够对后台任务慢追踪，包括时间、后台任务名称、平均响应时间；提供后台任务性能分析能力截图。</w:t>
      </w:r>
    </w:p>
    <w:p w14:paraId="4EFBBA8A">
      <w:pPr>
        <w:pStyle w:val="3"/>
        <w:snapToGrid w:val="0"/>
        <w:ind w:firstLine="480"/>
        <w:rPr>
          <w:rFonts w:hint="eastAsia" w:hAnsi="宋体" w:cs="宋体"/>
          <w:color w:val="auto"/>
          <w:highlight w:val="none"/>
        </w:rPr>
      </w:pPr>
      <w:r>
        <w:rPr>
          <w:rFonts w:hint="eastAsia" w:hAnsi="宋体" w:cs="宋体"/>
          <w:color w:val="auto"/>
          <w:highlight w:val="none"/>
        </w:rPr>
        <w:t>（2）同时间轴数据分析能力；能够对用户体验层、应用程序层、IT架构层进行同时间轴分析，找到引起业务总分降低的关键指标；提供同时间轴数据分析能力截图。</w:t>
      </w:r>
    </w:p>
    <w:p w14:paraId="2A3021B1">
      <w:pPr>
        <w:pStyle w:val="3"/>
        <w:snapToGrid w:val="0"/>
        <w:ind w:firstLine="480"/>
        <w:rPr>
          <w:rFonts w:hint="eastAsia" w:hAnsi="宋体" w:cs="宋体"/>
          <w:color w:val="auto"/>
          <w:highlight w:val="none"/>
        </w:rPr>
      </w:pPr>
      <w:r>
        <w:rPr>
          <w:rFonts w:hint="eastAsia" w:hAnsi="宋体" w:cs="宋体"/>
          <w:color w:val="auto"/>
          <w:highlight w:val="none"/>
        </w:rPr>
        <w:t>（3）具有数据库知识库，实现智能诊断分析功能：当某个场景告警时，可以通过知识图谱推荐的诊断路径进行自动化分析，并输出诊断报告；提供智能诊断分析功能和诊断分析报告能力截图。</w:t>
      </w:r>
    </w:p>
    <w:p w14:paraId="138949D0">
      <w:pPr>
        <w:pStyle w:val="3"/>
        <w:snapToGrid w:val="0"/>
        <w:ind w:firstLine="480"/>
        <w:rPr>
          <w:rFonts w:hint="eastAsia" w:hAnsi="宋体" w:cs="宋体"/>
          <w:color w:val="auto"/>
          <w:highlight w:val="none"/>
        </w:rPr>
      </w:pPr>
      <w:r>
        <w:rPr>
          <w:rFonts w:hint="eastAsia" w:hAnsi="宋体" w:cs="宋体"/>
          <w:color w:val="auto"/>
          <w:highlight w:val="none"/>
        </w:rPr>
        <w:t>（4）具有数据库健康模型和性能模型：通过模型，可以随时了解数据库的运行状态和系统的当前负载及性能情况；提供健康模型和性能模型能力截图。</w:t>
      </w:r>
    </w:p>
    <w:p w14:paraId="14E1611E">
      <w:pPr>
        <w:pStyle w:val="3"/>
        <w:snapToGrid w:val="0"/>
        <w:rPr>
          <w:rFonts w:hint="eastAsia" w:hAnsi="宋体" w:cs="宋体"/>
          <w:b/>
          <w:color w:val="auto"/>
          <w:highlight w:val="none"/>
        </w:rPr>
      </w:pPr>
      <w:r>
        <w:rPr>
          <w:rFonts w:hint="eastAsia" w:hAnsi="宋体" w:cs="宋体"/>
          <w:b/>
          <w:color w:val="auto"/>
          <w:highlight w:val="none"/>
        </w:rPr>
        <w:t>3、响应的及时性要求</w:t>
      </w:r>
    </w:p>
    <w:p w14:paraId="25578A5A">
      <w:pPr>
        <w:pStyle w:val="3"/>
        <w:snapToGrid w:val="0"/>
        <w:ind w:firstLine="480"/>
        <w:rPr>
          <w:rFonts w:hint="eastAsia" w:hAnsi="宋体" w:cs="宋体"/>
          <w:color w:val="auto"/>
          <w:highlight w:val="none"/>
        </w:rPr>
      </w:pPr>
      <w:r>
        <w:rPr>
          <w:rFonts w:hint="eastAsia" w:hAnsi="宋体" w:cs="宋体"/>
          <w:color w:val="auto"/>
          <w:highlight w:val="none"/>
        </w:rPr>
        <w:t>投标人应当提供高效的系统维护服务，有效防范系统风险，系统对应负责人7*24小时电话畅通，能够在系统发生除宕机外的其他故障问题时，投标人应在5分钟内响应，在30分钟之内开始处理故障，能够协调人力资源在1小时内到达现场提供服务。系统发生宕机问题时，投标人应在30分钟内响应，在4个小时之内使系统恢复正常，故障处理完毕后提供相关系统宕机报告。</w:t>
      </w:r>
    </w:p>
    <w:p w14:paraId="2A6358FE">
      <w:pPr>
        <w:pStyle w:val="3"/>
        <w:snapToGrid w:val="0"/>
        <w:rPr>
          <w:rFonts w:hint="eastAsia" w:hAnsi="宋体" w:cs="宋体"/>
          <w:b/>
          <w:color w:val="auto"/>
          <w:highlight w:val="none"/>
        </w:rPr>
      </w:pPr>
      <w:r>
        <w:rPr>
          <w:rFonts w:hint="eastAsia" w:hAnsi="宋体" w:cs="宋体"/>
          <w:b/>
          <w:color w:val="auto"/>
          <w:highlight w:val="none"/>
        </w:rPr>
        <w:t>4、重点保障要求</w:t>
      </w:r>
    </w:p>
    <w:p w14:paraId="4059C7E3">
      <w:pPr>
        <w:pStyle w:val="3"/>
        <w:snapToGrid w:val="0"/>
        <w:ind w:firstLine="480"/>
        <w:rPr>
          <w:rFonts w:hint="eastAsia" w:hAnsi="宋体" w:cs="宋体"/>
          <w:color w:val="auto"/>
          <w:highlight w:val="none"/>
        </w:rPr>
      </w:pPr>
      <w:r>
        <w:rPr>
          <w:rFonts w:hint="eastAsia" w:hAnsi="宋体" w:cs="宋体"/>
          <w:color w:val="auto"/>
          <w:highlight w:val="none"/>
        </w:rPr>
        <w:t>为保障春节、五一、十一、两会等重要时期以及业务高峰期内系统平稳运行，缓解系统高峰期内因业务发生量增大而带来系统压力风险，要求投标人根据业务周期性特点，加大云服务保障力度，保证在业务高峰期内系统平稳运行。</w:t>
      </w:r>
    </w:p>
    <w:p w14:paraId="4F563178">
      <w:pPr>
        <w:pStyle w:val="3"/>
        <w:snapToGrid w:val="0"/>
        <w:rPr>
          <w:rFonts w:hint="eastAsia" w:hAnsi="宋体" w:cs="宋体"/>
          <w:b/>
          <w:color w:val="auto"/>
          <w:highlight w:val="none"/>
        </w:rPr>
      </w:pPr>
      <w:r>
        <w:rPr>
          <w:rFonts w:hint="eastAsia" w:hAnsi="宋体" w:cs="宋体"/>
          <w:b/>
          <w:color w:val="auto"/>
          <w:highlight w:val="none"/>
        </w:rPr>
        <w:t>5、应急保障和风险防控措施</w:t>
      </w:r>
    </w:p>
    <w:p w14:paraId="38B4B8E9">
      <w:pPr>
        <w:pStyle w:val="3"/>
        <w:snapToGrid w:val="0"/>
        <w:ind w:firstLine="480"/>
        <w:rPr>
          <w:rFonts w:hint="eastAsia" w:hAnsi="宋体" w:cs="宋体"/>
          <w:b/>
          <w:color w:val="auto"/>
          <w:highlight w:val="none"/>
        </w:rPr>
      </w:pPr>
      <w:r>
        <w:rPr>
          <w:rFonts w:hint="eastAsia" w:hAnsi="宋体" w:cs="宋体"/>
          <w:color w:val="auto"/>
          <w:highlight w:val="none"/>
        </w:rPr>
        <w:t>云平台应具备相应的应急预案与风险防控措施,在云平台运行维护期间，出现应急情况和风险状况时，按照预案处置,快速解决问题。</w:t>
      </w:r>
    </w:p>
    <w:p w14:paraId="0826A734">
      <w:pPr>
        <w:pStyle w:val="8"/>
        <w:numPr>
          <w:ilvl w:val="0"/>
          <w:numId w:val="0"/>
        </w:numPr>
        <w:spacing w:before="193" w:after="193"/>
        <w:rPr>
          <w:rFonts w:hint="eastAsia" w:ascii="楷体" w:hAnsi="楷体" w:eastAsia="楷体" w:cs="楷体"/>
          <w:color w:val="auto"/>
          <w:sz w:val="24"/>
          <w:szCs w:val="24"/>
          <w:highlight w:val="none"/>
        </w:rPr>
      </w:pPr>
      <w:r>
        <w:rPr>
          <w:rFonts w:hint="eastAsia"/>
          <w:color w:val="auto"/>
          <w:sz w:val="24"/>
          <w:szCs w:val="24"/>
          <w:highlight w:val="none"/>
        </w:rPr>
        <w:t>2.2.7</w:t>
      </w:r>
      <w:r>
        <w:rPr>
          <w:rFonts w:hint="eastAsia" w:ascii="楷体" w:hAnsi="楷体" w:eastAsia="楷体" w:cs="楷体"/>
          <w:color w:val="auto"/>
          <w:sz w:val="24"/>
          <w:szCs w:val="24"/>
          <w:highlight w:val="none"/>
        </w:rPr>
        <w:t>业务连续性保障服务</w:t>
      </w:r>
    </w:p>
    <w:p w14:paraId="4DE92039">
      <w:pPr>
        <w:pStyle w:val="3"/>
        <w:snapToGrid w:val="0"/>
        <w:ind w:firstLine="480"/>
        <w:rPr>
          <w:rFonts w:hint="eastAsia" w:hAnsi="宋体" w:cs="宋体"/>
          <w:color w:val="auto"/>
          <w:highlight w:val="none"/>
        </w:rPr>
      </w:pPr>
      <w:r>
        <w:rPr>
          <w:rFonts w:hint="eastAsia" w:hAnsi="宋体" w:cs="宋体"/>
          <w:color w:val="auto"/>
          <w:highlight w:val="none"/>
        </w:rPr>
        <w:t>由于采购人业务系统均属于生产系统，保障业务系统运行的连续性是关键。投标人需具备类似项目经验，可根据业务特点制定应用系统迁移部署方案，配合采购人完成系统迁移部署、运行和安全保障，最终保证现有业务系统可平滑迁移至成交人云平台。具体要求如下：</w:t>
      </w:r>
    </w:p>
    <w:p w14:paraId="03861C9A">
      <w:pPr>
        <w:pStyle w:val="3"/>
        <w:snapToGrid w:val="0"/>
        <w:ind w:firstLine="480"/>
        <w:rPr>
          <w:rFonts w:hint="eastAsia" w:hAnsi="宋体" w:cs="宋体"/>
          <w:color w:val="auto"/>
          <w:highlight w:val="none"/>
        </w:rPr>
      </w:pPr>
      <w:r>
        <w:rPr>
          <w:rFonts w:hint="eastAsia" w:hAnsi="宋体" w:cs="宋体"/>
          <w:color w:val="auto"/>
          <w:highlight w:val="none"/>
        </w:rPr>
        <w:t>1）根据采购人需求，完成应用系统的迁移部署。投标人需对迁移过程中是否造成业务中断以及业务中断时间进行承诺。</w:t>
      </w:r>
    </w:p>
    <w:p w14:paraId="4B03F704">
      <w:pPr>
        <w:pStyle w:val="3"/>
        <w:snapToGrid w:val="0"/>
        <w:ind w:firstLine="480"/>
        <w:rPr>
          <w:rFonts w:hint="eastAsia" w:hAnsi="宋体" w:cs="宋体"/>
          <w:color w:val="auto"/>
          <w:highlight w:val="none"/>
        </w:rPr>
      </w:pPr>
      <w:r>
        <w:rPr>
          <w:rFonts w:hint="eastAsia" w:hAnsi="宋体" w:cs="宋体"/>
          <w:color w:val="auto"/>
          <w:highlight w:val="none"/>
        </w:rPr>
        <w:t>承诺迁移</w:t>
      </w:r>
      <w:r>
        <w:rPr>
          <w:rFonts w:hint="eastAsia" w:cs="宋体" w:asciiTheme="minorEastAsia" w:hAnsiTheme="minorEastAsia" w:eastAsiaTheme="minorEastAsia"/>
          <w:color w:val="auto"/>
          <w:highlight w:val="none"/>
        </w:rPr>
        <w:t>过程中</w:t>
      </w:r>
      <w:r>
        <w:rPr>
          <w:rFonts w:hint="eastAsia" w:hAnsi="宋体" w:cs="宋体"/>
          <w:color w:val="auto"/>
          <w:highlight w:val="none"/>
        </w:rPr>
        <w:t>业务不中断的；</w:t>
      </w:r>
    </w:p>
    <w:p w14:paraId="722841B2">
      <w:pPr>
        <w:pStyle w:val="3"/>
        <w:snapToGrid w:val="0"/>
        <w:ind w:firstLine="480"/>
        <w:rPr>
          <w:rFonts w:hint="eastAsia" w:hAnsi="宋体" w:cs="宋体"/>
          <w:color w:val="auto"/>
          <w:highlight w:val="none"/>
        </w:rPr>
      </w:pPr>
      <w:r>
        <w:rPr>
          <w:rFonts w:hint="eastAsia" w:hAnsi="宋体" w:cs="宋体"/>
          <w:color w:val="auto"/>
          <w:highlight w:val="none"/>
        </w:rPr>
        <w:t>承诺迁移业务中断时间少于10小时；</w:t>
      </w:r>
    </w:p>
    <w:p w14:paraId="0D6D436D">
      <w:pPr>
        <w:pStyle w:val="3"/>
        <w:snapToGrid w:val="0"/>
        <w:ind w:firstLine="480"/>
        <w:rPr>
          <w:rFonts w:hint="eastAsia" w:hAnsi="宋体" w:cs="宋体"/>
          <w:color w:val="auto"/>
          <w:highlight w:val="none"/>
        </w:rPr>
      </w:pPr>
      <w:r>
        <w:rPr>
          <w:rFonts w:hint="eastAsia" w:hAnsi="宋体" w:cs="宋体"/>
          <w:color w:val="auto"/>
          <w:highlight w:val="none"/>
        </w:rPr>
        <w:t>承诺迁移业务中断时间大于10小时（不包含10小时）但不多于72小时（包含72小时）；</w:t>
      </w:r>
    </w:p>
    <w:p w14:paraId="33C06685">
      <w:pPr>
        <w:pStyle w:val="3"/>
        <w:snapToGrid w:val="0"/>
        <w:ind w:firstLine="480"/>
        <w:rPr>
          <w:rFonts w:hint="eastAsia" w:hAnsi="宋体" w:cs="宋体"/>
          <w:color w:val="auto"/>
          <w:highlight w:val="none"/>
        </w:rPr>
      </w:pPr>
      <w:r>
        <w:rPr>
          <w:rFonts w:hint="eastAsia" w:hAnsi="宋体" w:cs="宋体"/>
          <w:color w:val="auto"/>
          <w:highlight w:val="none"/>
        </w:rPr>
        <w:t>承诺迁移业务中断时间超过72小时（不包含72小时）。</w:t>
      </w:r>
    </w:p>
    <w:p w14:paraId="7729BF73">
      <w:pPr>
        <w:pStyle w:val="3"/>
        <w:snapToGrid w:val="0"/>
        <w:ind w:firstLine="480"/>
        <w:rPr>
          <w:rFonts w:hint="eastAsia" w:hAnsi="宋体" w:cs="宋体"/>
          <w:color w:val="auto"/>
          <w:highlight w:val="none"/>
        </w:rPr>
      </w:pPr>
      <w:r>
        <w:rPr>
          <w:rFonts w:hint="eastAsia" w:hAnsi="宋体" w:cs="宋体"/>
          <w:color w:val="auto"/>
          <w:highlight w:val="none"/>
        </w:rPr>
        <w:t>2）根据采购人关键业务系统的异构部署（不同云服务商之间）需求，投标人须配合采购人开展方案设计、实施调试等工作。相关工作不得收取额外费用。投标人需承诺：本项要求下相关工作产生的费用应包含在投标报价中不额外收取费用。</w:t>
      </w:r>
    </w:p>
    <w:p w14:paraId="17A29564">
      <w:pPr>
        <w:pStyle w:val="3"/>
        <w:snapToGrid w:val="0"/>
        <w:ind w:firstLine="480"/>
        <w:rPr>
          <w:rFonts w:hint="eastAsia" w:hAnsi="宋体" w:cs="宋体"/>
          <w:color w:val="auto"/>
          <w:highlight w:val="none"/>
        </w:rPr>
      </w:pPr>
      <w:r>
        <w:rPr>
          <w:rFonts w:hint="eastAsia" w:hAnsi="宋体" w:cs="宋体"/>
          <w:color w:val="auto"/>
          <w:highlight w:val="none"/>
        </w:rPr>
        <w:t xml:space="preserve">3）由于采购人业务系统主机已部署于北京市政务云平台中，本项目采购结束后可能会涉及部分云主机的跨云迁移工作。对此，投标人需承诺成交后配合采购人积极与原有云平台厂商对接，平滑稳定完成跨云迁移工作。跨云迁移不得额外收取采购人费用。本项目中涉及跨云迁移的工作，应该在本项目签订合同之日起1个月内完成。投标人需承诺：如因投标人一方政务云环境未能满足迁移要求，造成采购人无法在合同签订之日起1个月内完成跨云迁移工作的，自第2个月起，成交人应承担采购人在原有服务商云环境中相关主机的一切租用服务费用，直至相关系统完成迁移工作为止。    </w:t>
      </w:r>
    </w:p>
    <w:p w14:paraId="5349E57C">
      <w:pPr>
        <w:pStyle w:val="3"/>
        <w:snapToGrid w:val="0"/>
        <w:ind w:firstLine="480"/>
        <w:rPr>
          <w:rFonts w:hint="eastAsia" w:hAnsi="宋体" w:cs="宋体"/>
          <w:color w:val="auto"/>
          <w:highlight w:val="none"/>
        </w:rPr>
      </w:pPr>
      <w:r>
        <w:rPr>
          <w:rFonts w:hint="eastAsia" w:hAnsi="宋体" w:cs="宋体"/>
          <w:b/>
          <w:bCs/>
          <w:color w:val="auto"/>
          <w:highlight w:val="none"/>
        </w:rPr>
        <w:t>投标人针对以上1-3项内容提供迁移承诺书并加盖投标人公章。</w:t>
      </w:r>
    </w:p>
    <w:p w14:paraId="44F50F96">
      <w:pPr>
        <w:spacing w:line="360" w:lineRule="auto"/>
        <w:ind w:left="420"/>
        <w:outlineLvl w:val="2"/>
        <w:rPr>
          <w:rFonts w:hint="eastAsia" w:ascii="黑体" w:hAnsi="黑体" w:eastAsia="黑体" w:cs="黑体"/>
          <w:color w:val="auto"/>
          <w:sz w:val="24"/>
          <w:szCs w:val="20"/>
          <w:highlight w:val="none"/>
        </w:rPr>
      </w:pPr>
      <w:r>
        <w:rPr>
          <w:rFonts w:hint="eastAsia"/>
          <w:color w:val="auto"/>
          <w:sz w:val="24"/>
          <w:szCs w:val="20"/>
          <w:highlight w:val="none"/>
        </w:rPr>
        <w:t>2.3</w:t>
      </w:r>
      <w:r>
        <w:rPr>
          <w:rFonts w:hint="eastAsia" w:ascii="黑体" w:hAnsi="黑体" w:eastAsia="黑体" w:cs="黑体"/>
          <w:color w:val="auto"/>
          <w:sz w:val="24"/>
          <w:szCs w:val="20"/>
          <w:highlight w:val="none"/>
        </w:rPr>
        <w:t>运维团队要求</w:t>
      </w:r>
    </w:p>
    <w:p w14:paraId="0863C816">
      <w:pPr>
        <w:pStyle w:val="3"/>
        <w:snapToGrid w:val="0"/>
        <w:ind w:firstLine="480"/>
        <w:rPr>
          <w:rFonts w:hint="eastAsia" w:hAnsi="宋体" w:cs="宋体"/>
          <w:color w:val="auto"/>
          <w:highlight w:val="none"/>
        </w:rPr>
      </w:pPr>
      <w:r>
        <w:rPr>
          <w:rFonts w:hint="eastAsia" w:hAnsi="宋体" w:cs="宋体"/>
          <w:color w:val="auto"/>
          <w:highlight w:val="none"/>
        </w:rPr>
        <w:t>投标人须根据项目要求安排具备相应资质和经验的专业人员从事本项目工作，提供不少于10人的服务团队，须确保项目实施队伍的稳定。投标人需提供项目团队组织架构、成员名单、成员职责，保证担任重要岗位的人员具备相应专业资质。</w:t>
      </w:r>
    </w:p>
    <w:p w14:paraId="76FF9841">
      <w:pPr>
        <w:pStyle w:val="3"/>
        <w:snapToGrid w:val="0"/>
        <w:rPr>
          <w:rFonts w:hint="eastAsia" w:hAnsi="宋体" w:cs="宋体"/>
          <w:b/>
          <w:color w:val="auto"/>
          <w:highlight w:val="none"/>
        </w:rPr>
      </w:pPr>
      <w:r>
        <w:rPr>
          <w:rFonts w:hint="eastAsia" w:hAnsi="宋体" w:cs="宋体"/>
          <w:b/>
          <w:color w:val="auto"/>
          <w:highlight w:val="none"/>
        </w:rPr>
        <w:t>（1）项目经理</w:t>
      </w:r>
    </w:p>
    <w:p w14:paraId="4680F285">
      <w:pPr>
        <w:pStyle w:val="3"/>
        <w:snapToGrid w:val="0"/>
        <w:ind w:firstLine="480"/>
        <w:rPr>
          <w:color w:val="auto"/>
          <w:highlight w:val="none"/>
        </w:rPr>
      </w:pPr>
      <w:r>
        <w:rPr>
          <w:rFonts w:hint="eastAsia" w:hAnsi="宋体" w:cs="宋体"/>
          <w:color w:val="auto"/>
          <w:highlight w:val="none"/>
        </w:rPr>
        <w:t xml:space="preserve">项目经理1名，需具有5年及以上项目管理工作经验（提供个人简历、项目经历），需具备有效期内的高级信息系统项目管理师证书（计算机技术与软件专业技术资格）、信息安全保障人员认证证书（应急服务专业级或以上）、信息安全保障人员认证证书（安全运维专业级或以上）、信息技术应用创新考试评价证书（信创集成项目管理师）、信息技术应用创新考试评价证书（系统架构师）、重要信息系统安全等级保护认证证书等。 </w:t>
      </w:r>
    </w:p>
    <w:p w14:paraId="5BE4AA5D">
      <w:pPr>
        <w:pStyle w:val="3"/>
        <w:snapToGrid w:val="0"/>
        <w:rPr>
          <w:rFonts w:hint="eastAsia" w:hAnsi="宋体" w:cs="宋体"/>
          <w:b/>
          <w:color w:val="auto"/>
          <w:highlight w:val="none"/>
        </w:rPr>
      </w:pPr>
      <w:r>
        <w:rPr>
          <w:rFonts w:hint="eastAsia" w:hAnsi="宋体" w:cs="宋体"/>
          <w:b/>
          <w:color w:val="auto"/>
          <w:highlight w:val="none"/>
        </w:rPr>
        <w:t xml:space="preserve">（2）安全（技术）负责人 </w:t>
      </w:r>
    </w:p>
    <w:p w14:paraId="6E6887A7">
      <w:pPr>
        <w:pStyle w:val="3"/>
        <w:snapToGrid w:val="0"/>
        <w:ind w:firstLine="480"/>
        <w:rPr>
          <w:rFonts w:hint="eastAsia" w:hAnsi="宋体" w:cs="宋体"/>
          <w:color w:val="auto"/>
          <w:highlight w:val="none"/>
        </w:rPr>
      </w:pPr>
      <w:r>
        <w:rPr>
          <w:rFonts w:hint="eastAsia" w:hAnsi="宋体" w:cs="宋体"/>
          <w:color w:val="auto"/>
          <w:highlight w:val="none"/>
        </w:rPr>
        <w:t>安全（技术）负责人员1名（不能与项目经理为同一人），需具有五年以上工作经验，需具有在有效期内的信息安全保障人员认证证书（安全集成专业级或以上）、信息安全保障人员认证证书（应急服务专业级或以上）、注册信息安全工程师（CISP）认证证书等。</w:t>
      </w:r>
    </w:p>
    <w:p w14:paraId="3B28F1A7">
      <w:pPr>
        <w:pStyle w:val="3"/>
        <w:snapToGrid w:val="0"/>
        <w:rPr>
          <w:rFonts w:hint="eastAsia" w:hAnsi="宋体" w:cs="宋体"/>
          <w:b/>
          <w:color w:val="auto"/>
          <w:highlight w:val="none"/>
        </w:rPr>
      </w:pPr>
      <w:r>
        <w:rPr>
          <w:rFonts w:hint="eastAsia" w:hAnsi="宋体" w:cs="宋体"/>
          <w:b/>
          <w:color w:val="auto"/>
          <w:highlight w:val="none"/>
        </w:rPr>
        <w:t>（3）团队人员</w:t>
      </w:r>
    </w:p>
    <w:p w14:paraId="2CCB615F">
      <w:pPr>
        <w:pStyle w:val="3"/>
        <w:snapToGrid w:val="0"/>
        <w:ind w:firstLine="480"/>
        <w:rPr>
          <w:rFonts w:hAnsi="宋体" w:cs="宋体"/>
          <w:color w:val="auto"/>
          <w:highlight w:val="none"/>
        </w:rPr>
      </w:pPr>
      <w:r>
        <w:rPr>
          <w:rFonts w:hint="eastAsia" w:hAnsi="宋体" w:cs="宋体"/>
          <w:color w:val="auto"/>
          <w:highlight w:val="none"/>
        </w:rPr>
        <w:t>其他团队服务人员不少于8名（不包含项目经理和安全技术负责人），团队人员需具备以下技术资格认定证书：系统架构设计师证书、系统分析师证书、信息系统项目管理师证书、系统规划与管理师证书、网络规划设计师证书、数据库系统工程师证书、注册信息安全工程师（CISP）认证证书。</w:t>
      </w:r>
    </w:p>
    <w:p w14:paraId="14E13783">
      <w:pPr>
        <w:pStyle w:val="2"/>
        <w:ind w:firstLineChars="196"/>
        <w:jc w:val="left"/>
        <w:rPr>
          <w:rFonts w:hint="eastAsia" w:ascii="楷体" w:hAnsi="楷体" w:eastAsia="楷体" w:cs="楷体"/>
          <w:b/>
          <w:color w:val="auto"/>
          <w:sz w:val="24"/>
          <w:szCs w:val="21"/>
          <w:highlight w:val="none"/>
        </w:rPr>
      </w:pPr>
      <w:r>
        <w:rPr>
          <w:rFonts w:hint="eastAsia" w:ascii="楷体" w:hAnsi="楷体" w:eastAsia="楷体" w:cs="楷体"/>
          <w:b/>
          <w:color w:val="auto"/>
          <w:sz w:val="24"/>
          <w:szCs w:val="21"/>
          <w:highlight w:val="none"/>
        </w:rPr>
        <w:t>3.验收标准</w:t>
      </w:r>
    </w:p>
    <w:p w14:paraId="7F5D9973">
      <w:pPr>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3.1服务绩效指标</w:t>
      </w:r>
    </w:p>
    <w:p w14:paraId="44D4BA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（1）云服务全年整体可用性≥99.9%；</w:t>
      </w:r>
    </w:p>
    <w:p w14:paraId="300F25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（2）故障响应率100%；</w:t>
      </w:r>
    </w:p>
    <w:p w14:paraId="50136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（3）应急响应时间≤5分钟（重大事件1分钟内响应）。</w:t>
      </w:r>
    </w:p>
    <w:p w14:paraId="12841661">
      <w:pPr>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3.2项目验收要求</w:t>
      </w:r>
    </w:p>
    <w:p w14:paraId="705B33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（1）投标人所提供的北京市市级政务云基础资源服务应遵循客观、科学、合理的原则，符合《北京市市级政务云管理办法》的相关标准及要求。</w:t>
      </w:r>
    </w:p>
    <w:p w14:paraId="75D73C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（2）投标人所提供资源应满足采购文件规定的要求。保证合同期内系统安全稳定运行，不因硬件故障导致服务中断4小时及以上。</w:t>
      </w:r>
    </w:p>
    <w:p w14:paraId="5D3676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（3）服务期满后10个工作日开始对合同项目进行验收，投标人应当在采购人指定的验收日前向采购人提交验收报告。验收报告的内容包括但不限于，合同规定的各项服务清单，各系统设备运行情况。</w:t>
      </w:r>
    </w:p>
    <w:p w14:paraId="0D5A75DC">
      <w:pPr>
        <w:snapToGrid w:val="0"/>
        <w:spacing w:line="360" w:lineRule="auto"/>
        <w:ind w:firstLine="480" w:firstLineChars="200"/>
        <w:rPr>
          <w:b/>
          <w:color w:val="auto"/>
          <w:sz w:val="24"/>
          <w:highlight w:val="none"/>
        </w:rPr>
      </w:pPr>
      <w:r>
        <w:rPr>
          <w:rFonts w:hint="eastAsia" w:ascii="宋体" w:hAnsi="宋体" w:cs="宋体"/>
          <w:color w:val="auto"/>
          <w:sz w:val="24"/>
          <w:highlight w:val="none"/>
        </w:rPr>
        <w:t>（4）服务期届满，投标人按照采购人要求完成所有项目，各项记录、报告等文档齐全，无任何系统遗留问题，并通过由采购人组织的专家验收评审，方可通过验收。</w:t>
      </w:r>
    </w:p>
    <w:p w14:paraId="6AB86CC9">
      <w:pPr>
        <w:pStyle w:val="2"/>
        <w:contextualSpacing/>
        <w:jc w:val="left"/>
        <w:outlineLvl w:val="1"/>
        <w:rPr>
          <w:rFonts w:ascii="楷体" w:hAnsi="楷体" w:eastAsia="楷体" w:cs="楷体"/>
          <w:color w:val="auto"/>
          <w:sz w:val="24"/>
          <w:highlight w:val="none"/>
        </w:rPr>
      </w:pPr>
      <w:r>
        <w:rPr>
          <w:rFonts w:ascii="楷体" w:hAnsi="楷体" w:eastAsia="楷体" w:cs="楷体"/>
          <w:color w:val="auto"/>
          <w:sz w:val="24"/>
          <w:highlight w:val="none"/>
        </w:rPr>
        <w:t>4. 其他要求</w:t>
      </w:r>
    </w:p>
    <w:p w14:paraId="32D26CF7">
      <w:pPr>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4.1保密要求</w:t>
      </w:r>
    </w:p>
    <w:p w14:paraId="4DAAFF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342114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7415B6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（3）投标人保证将保密信息的披露范围严格控制在直接从事该项目工作且因工作需要有必要知悉保密信息的工作人员范围内,对投标人非从事该项目的人员一律严格保密。</w:t>
      </w:r>
    </w:p>
    <w:p w14:paraId="7FFCB5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1CCBAE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（5）任何时间内，一经采购人提出要求，投标人应按照采购人指示在收到采购人书面通知后 5 日内将含有保密信息的所有文件或其他资料归还采购人，且不得擅自复制留存。</w:t>
      </w:r>
    </w:p>
    <w:p w14:paraId="4CF88E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（6）非经采购人特别授权，采购人向投标人提供的任何保密信息并不包括授予投标人该保密信息包含的任何专利权、商标权、著作权、商业秘密或其它类型的知识产权。</w:t>
      </w:r>
    </w:p>
    <w:p w14:paraId="767B7B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（7）投标人承担上述保密义务的期限为合同有效期间及合同终止后2年，承担上述保密义务的责任主体为投标人（含投标人服务人员）。</w:t>
      </w:r>
    </w:p>
    <w:p w14:paraId="7A50040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6AB680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（9）投标人应当对获悉的政务数据、个人信息等予以保密，不得用于其他用途，不得泄露、出售或者非法向他人提供。</w:t>
      </w:r>
    </w:p>
    <w:p w14:paraId="7671EB2B">
      <w:pPr>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4.2知识产权要求</w:t>
      </w:r>
    </w:p>
    <w:p w14:paraId="0B57B7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（1）投标人应确保本项目所提交成果无知识产权纠纷，项目成果的知识产权属于项目委托方。须在响应文件中对此项作出专项承诺，格式自拟。</w:t>
      </w:r>
    </w:p>
    <w:p w14:paraId="3F248C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14:paraId="67C7C64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1"/>
      <w:numFmt w:val="decimal"/>
      <w:pStyle w:val="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84607"/>
    <w:rsid w:val="16D8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List 2"/>
    <w:basedOn w:val="1"/>
    <w:qFormat/>
    <w:uiPriority w:val="0"/>
    <w:pPr>
      <w:ind w:left="100" w:leftChars="200" w:hanging="200" w:hangingChars="200"/>
    </w:pPr>
  </w:style>
  <w:style w:type="paragraph" w:customStyle="1" w:styleId="8">
    <w:name w:val="三级条标题"/>
    <w:basedOn w:val="9"/>
    <w:next w:val="1"/>
    <w:qFormat/>
    <w:uiPriority w:val="0"/>
    <w:pPr>
      <w:numPr>
        <w:ilvl w:val="3"/>
        <w:numId w:val="1"/>
      </w:numPr>
      <w:tabs>
        <w:tab w:val="left" w:pos="360"/>
        <w:tab w:val="left" w:pos="840"/>
      </w:tabs>
      <w:ind w:left="0" w:hanging="840"/>
      <w:outlineLvl w:val="3"/>
    </w:pPr>
  </w:style>
  <w:style w:type="paragraph" w:customStyle="1" w:styleId="9">
    <w:name w:val="二级条标题"/>
    <w:basedOn w:val="1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
    <w:name w:val="一级条标题"/>
    <w:basedOn w:val="11"/>
    <w:next w:val="1"/>
    <w:qFormat/>
    <w:uiPriority w:val="0"/>
    <w:pPr>
      <w:numPr>
        <w:ilvl w:val="1"/>
      </w:numPr>
      <w:tabs>
        <w:tab w:val="left" w:pos="360"/>
        <w:tab w:val="left" w:pos="840"/>
      </w:tabs>
      <w:ind w:left="0" w:hanging="840"/>
      <w:outlineLvl w:val="1"/>
    </w:pPr>
  </w:style>
  <w:style w:type="paragraph" w:customStyle="1" w:styleId="1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2">
    <w:name w:val="表头"/>
    <w:basedOn w:val="1"/>
    <w:qFormat/>
    <w:uiPriority w:val="0"/>
    <w:pPr>
      <w:tabs>
        <w:tab w:val="left" w:pos="0"/>
      </w:tabs>
      <w:jc w:val="center"/>
    </w:pPr>
    <w:rPr>
      <w:rFonts w:hint="eastAs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2025-05-30T06:43:00Z</dcterms:created>
  <dc:creator>卓</dc:creator>
  <cp:lastModifiedBy>卓</cp:lastModifiedBy>
  <dcterms:modified xsi:type="dcterms:W3CDTF">2025-05-30T06:43:30Z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61724CCA9CFC45EF87C7A6D4E507D0CC_11</vt:lpwstr>
  </property>
  <property fmtid="{D5CDD505-2E9C-101B-9397-08002B2CF9AE}" pid="4" name="KSOTemplateDocerSaveRecord">
    <vt:lpwstr>eyJoZGlkIjoiNTQ2YWU4ZmVkMTg2MmRlOGU2ZWVkODQzZWU5OTBiZDAiLCJ1c2VySWQiOiI1NDQ3NjE0MjMifQ==</vt:lpwstr>
  </property>
</Properties>
</file>