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0E770"/>
    <w:p w14:paraId="1B52818B"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评分标准和评分方法</w:t>
      </w:r>
    </w:p>
    <w:p w14:paraId="255F235F">
      <w:pPr>
        <w:pStyle w:val="3"/>
        <w:rPr>
          <w:rFonts w:hint="eastAsia"/>
        </w:rPr>
      </w:pPr>
    </w:p>
    <w:p w14:paraId="3EC2DCA9">
      <w:pPr>
        <w:widowControl/>
        <w:spacing w:line="400" w:lineRule="exac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1、评标方法：采用综合评分法，满分为</w:t>
      </w:r>
      <w:r>
        <w:rPr>
          <w:rFonts w:ascii="宋体" w:hAnsi="宋体" w:eastAsia="宋体" w:cs="Times New Roman"/>
          <w:kern w:val="0"/>
          <w:szCs w:val="21"/>
        </w:rPr>
        <w:t>100</w:t>
      </w:r>
      <w:r>
        <w:rPr>
          <w:rFonts w:hint="eastAsia" w:ascii="宋体" w:hAnsi="宋体" w:eastAsia="宋体" w:cs="Times New Roman"/>
          <w:kern w:val="0"/>
          <w:szCs w:val="21"/>
        </w:rPr>
        <w:t>分。</w:t>
      </w:r>
    </w:p>
    <w:p w14:paraId="2E2275D2">
      <w:pPr>
        <w:widowControl/>
        <w:spacing w:line="400" w:lineRule="exac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2、价格分采用低价优先法计算，即满足磋商文件要求且报价最低的报价为评标基准价，其价格分为满分，其他报价人的价格分统一按下列公式计算：</w:t>
      </w:r>
    </w:p>
    <w:p w14:paraId="3E37F56E">
      <w:pPr>
        <w:widowControl/>
        <w:spacing w:line="400" w:lineRule="exac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报价得分=（评标基准价/报价）×价格权值×100。</w:t>
      </w:r>
    </w:p>
    <w:p w14:paraId="05EAF8F5">
      <w:pPr>
        <w:widowControl/>
        <w:spacing w:line="400" w:lineRule="exac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3、最低报价不作为成交保证。</w:t>
      </w:r>
    </w:p>
    <w:p w14:paraId="5E4E39CC">
      <w:pPr>
        <w:widowControl/>
        <w:spacing w:line="400" w:lineRule="exact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Cs w:val="21"/>
        </w:rPr>
        <w:t>4、具体评标标准：</w:t>
      </w:r>
    </w:p>
    <w:p w14:paraId="388EEDAF"/>
    <w:tbl>
      <w:tblPr>
        <w:tblStyle w:val="6"/>
        <w:tblW w:w="8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11"/>
        <w:gridCol w:w="4950"/>
        <w:gridCol w:w="765"/>
        <w:gridCol w:w="810"/>
      </w:tblGrid>
      <w:tr w14:paraId="7EEAC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 w14:paraId="601C6EF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评分部分</w:t>
            </w:r>
          </w:p>
        </w:tc>
        <w:tc>
          <w:tcPr>
            <w:tcW w:w="1111" w:type="dxa"/>
            <w:vAlign w:val="center"/>
          </w:tcPr>
          <w:p w14:paraId="46EDE53A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评分因素</w:t>
            </w:r>
          </w:p>
        </w:tc>
        <w:tc>
          <w:tcPr>
            <w:tcW w:w="4950" w:type="dxa"/>
            <w:vAlign w:val="center"/>
          </w:tcPr>
          <w:p w14:paraId="36FD95D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评分标准</w:t>
            </w:r>
          </w:p>
        </w:tc>
        <w:tc>
          <w:tcPr>
            <w:tcW w:w="765" w:type="dxa"/>
            <w:vAlign w:val="center"/>
          </w:tcPr>
          <w:p w14:paraId="5C5D54FA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分值</w:t>
            </w:r>
          </w:p>
        </w:tc>
        <w:tc>
          <w:tcPr>
            <w:tcW w:w="810" w:type="dxa"/>
            <w:vAlign w:val="center"/>
          </w:tcPr>
          <w:p w14:paraId="03FED1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分值属性</w:t>
            </w:r>
          </w:p>
        </w:tc>
      </w:tr>
      <w:tr w14:paraId="66CA5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05" w:type="dxa"/>
            <w:vAlign w:val="center"/>
          </w:tcPr>
          <w:p w14:paraId="448735E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价格部分（10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）</w:t>
            </w:r>
          </w:p>
        </w:tc>
        <w:tc>
          <w:tcPr>
            <w:tcW w:w="1111" w:type="dxa"/>
            <w:vAlign w:val="center"/>
          </w:tcPr>
          <w:p w14:paraId="08E29CCD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价格</w:t>
            </w:r>
          </w:p>
        </w:tc>
        <w:tc>
          <w:tcPr>
            <w:tcW w:w="4950" w:type="dxa"/>
            <w:vAlign w:val="center"/>
          </w:tcPr>
          <w:p w14:paraId="18AB3361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价格分采用低价优先法计算，即满足招标文件要求且报价最低的报价为评标基准价，其价格分为满分，其他投标人的价格分统一按下列公式计算：投标报价得分=（评标基准价/报价）×价格权值×100。</w:t>
            </w:r>
          </w:p>
          <w:p w14:paraId="79C7B65F">
            <w:pPr>
              <w:rPr>
                <w:szCs w:val="21"/>
              </w:rPr>
            </w:pPr>
            <w:r>
              <w:rPr>
                <w:color w:val="000000"/>
                <w:szCs w:val="21"/>
              </w:rPr>
              <w:t>此处投标报价指经过报价修正，及因落实政府采购政策进行价格调整后的报价，详见第四章《评标程序、评标方法和评标标准》2.4及2.5</w:t>
            </w:r>
          </w:p>
        </w:tc>
        <w:tc>
          <w:tcPr>
            <w:tcW w:w="765" w:type="dxa"/>
            <w:vAlign w:val="center"/>
          </w:tcPr>
          <w:p w14:paraId="56A8C5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10" w:type="dxa"/>
            <w:vAlign w:val="center"/>
          </w:tcPr>
          <w:p w14:paraId="6D0226C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客观</w:t>
            </w:r>
          </w:p>
        </w:tc>
      </w:tr>
      <w:tr w14:paraId="14C6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05" w:type="dxa"/>
            <w:vMerge w:val="restart"/>
            <w:vAlign w:val="center"/>
          </w:tcPr>
          <w:p w14:paraId="5A3072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商务</w:t>
            </w:r>
          </w:p>
          <w:p w14:paraId="13983AC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部分（2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）</w:t>
            </w:r>
          </w:p>
        </w:tc>
        <w:tc>
          <w:tcPr>
            <w:tcW w:w="1111" w:type="dxa"/>
            <w:vAlign w:val="center"/>
          </w:tcPr>
          <w:p w14:paraId="28CA8E22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质量管理体系认证书</w:t>
            </w:r>
          </w:p>
        </w:tc>
        <w:tc>
          <w:tcPr>
            <w:tcW w:w="4950" w:type="dxa"/>
          </w:tcPr>
          <w:p w14:paraId="4E7EDBCD">
            <w:pPr>
              <w:widowControl/>
              <w:spacing w:after="84"/>
              <w:rPr>
                <w:szCs w:val="21"/>
              </w:rPr>
            </w:pPr>
            <w:r>
              <w:rPr>
                <w:bCs/>
                <w:kern w:val="1"/>
                <w:szCs w:val="21"/>
              </w:rPr>
              <w:t>具有质量管理体系认证书得</w:t>
            </w:r>
            <w:r>
              <w:rPr>
                <w:rFonts w:hint="eastAsia"/>
                <w:bCs/>
                <w:kern w:val="1"/>
                <w:szCs w:val="21"/>
                <w:lang w:val="en-US" w:eastAsia="zh-CN"/>
              </w:rPr>
              <w:t>3</w:t>
            </w:r>
            <w:r>
              <w:rPr>
                <w:bCs/>
                <w:kern w:val="1"/>
                <w:szCs w:val="21"/>
              </w:rPr>
              <w:t>分，提供证书复印件，否则不得分。</w:t>
            </w:r>
          </w:p>
        </w:tc>
        <w:tc>
          <w:tcPr>
            <w:tcW w:w="765" w:type="dxa"/>
            <w:vAlign w:val="center"/>
          </w:tcPr>
          <w:p w14:paraId="7760C258"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810" w:type="dxa"/>
            <w:vAlign w:val="center"/>
          </w:tcPr>
          <w:p w14:paraId="68CC08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客观</w:t>
            </w:r>
          </w:p>
        </w:tc>
      </w:tr>
      <w:tr w14:paraId="3B72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5" w:type="dxa"/>
            <w:vMerge w:val="continue"/>
            <w:vAlign w:val="center"/>
          </w:tcPr>
          <w:p w14:paraId="0D096BF7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7407657D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ITSS认证证书</w:t>
            </w:r>
          </w:p>
        </w:tc>
        <w:tc>
          <w:tcPr>
            <w:tcW w:w="4950" w:type="dxa"/>
            <w:vAlign w:val="center"/>
          </w:tcPr>
          <w:p w14:paraId="5633D39C">
            <w:pPr>
              <w:widowControl/>
              <w:spacing w:after="84"/>
              <w:rPr>
                <w:szCs w:val="21"/>
              </w:rPr>
            </w:pPr>
            <w:r>
              <w:rPr>
                <w:bCs/>
                <w:szCs w:val="21"/>
              </w:rPr>
              <w:t>具有ITSS信息技术服务运行维护标准符合性证书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，具备ITSS二级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改进级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分，具备ITSS一级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提升级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bCs/>
                <w:szCs w:val="21"/>
              </w:rPr>
              <w:t>，提供证书复印件，否则不得分。</w:t>
            </w:r>
          </w:p>
        </w:tc>
        <w:tc>
          <w:tcPr>
            <w:tcW w:w="765" w:type="dxa"/>
            <w:vAlign w:val="center"/>
          </w:tcPr>
          <w:p w14:paraId="4519072A"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810" w:type="dxa"/>
            <w:vAlign w:val="center"/>
          </w:tcPr>
          <w:p w14:paraId="0523D7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客观</w:t>
            </w:r>
          </w:p>
        </w:tc>
      </w:tr>
      <w:tr w14:paraId="28E2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5" w:type="dxa"/>
            <w:vMerge w:val="continue"/>
            <w:vAlign w:val="center"/>
          </w:tcPr>
          <w:p w14:paraId="79A38E63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648B35DD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中央网信办云计算服务安全评估</w:t>
            </w:r>
          </w:p>
        </w:tc>
        <w:tc>
          <w:tcPr>
            <w:tcW w:w="4950" w:type="dxa"/>
          </w:tcPr>
          <w:p w14:paraId="610251F8">
            <w:pPr>
              <w:widowControl/>
              <w:spacing w:after="84"/>
              <w:rPr>
                <w:szCs w:val="21"/>
              </w:rPr>
            </w:pPr>
            <w:r>
              <w:rPr>
                <w:bCs/>
                <w:kern w:val="1"/>
                <w:szCs w:val="21"/>
              </w:rPr>
              <w:t>所提供的云平台，通过中央网信办云计算服务安全评估，提供截图证明材料得3分，否则不得分。</w:t>
            </w:r>
          </w:p>
        </w:tc>
        <w:tc>
          <w:tcPr>
            <w:tcW w:w="765" w:type="dxa"/>
            <w:vAlign w:val="center"/>
          </w:tcPr>
          <w:p w14:paraId="1B505B3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810" w:type="dxa"/>
            <w:vAlign w:val="center"/>
          </w:tcPr>
          <w:p w14:paraId="6EA11C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客观</w:t>
            </w:r>
          </w:p>
        </w:tc>
      </w:tr>
      <w:tr w14:paraId="5C1F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5" w:type="dxa"/>
            <w:vMerge w:val="continue"/>
            <w:vAlign w:val="center"/>
          </w:tcPr>
          <w:p w14:paraId="17676C85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28FFDD14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国家认可的信息安全测评机构测评材料</w:t>
            </w:r>
          </w:p>
        </w:tc>
        <w:tc>
          <w:tcPr>
            <w:tcW w:w="4950" w:type="dxa"/>
          </w:tcPr>
          <w:p w14:paraId="60B281D6">
            <w:pPr>
              <w:widowControl/>
              <w:spacing w:after="84"/>
              <w:rPr>
                <w:bCs/>
                <w:kern w:val="1"/>
                <w:szCs w:val="21"/>
              </w:rPr>
            </w:pPr>
            <w:r>
              <w:rPr>
                <w:bCs/>
                <w:kern w:val="1"/>
                <w:szCs w:val="21"/>
              </w:rPr>
              <w:t>投标人所提供市级政务云平台应通过网络安全等级保护(GB/T 22239-2019)第三级测评，提供政务云平台2023年度网络安全等级保护第三级测评证明材料，且测评结果评分在90(含)以上的得4分，85(含)以上到90(不含)得3分，80(含)以上到85(不含)得2分，60(含)以上到80(不含)得1分,60分(不含)以下的及未提供不得分。</w:t>
            </w:r>
          </w:p>
          <w:p w14:paraId="5F432C93">
            <w:pPr>
              <w:widowControl/>
              <w:spacing w:after="84"/>
              <w:rPr>
                <w:szCs w:val="21"/>
              </w:rPr>
            </w:pPr>
            <w:r>
              <w:rPr>
                <w:bCs/>
                <w:kern w:val="1"/>
                <w:szCs w:val="21"/>
              </w:rPr>
              <w:t>注:提供等级测评机构出具的测评报告复印件，复印件需包含测评机构专用章。</w:t>
            </w:r>
          </w:p>
        </w:tc>
        <w:tc>
          <w:tcPr>
            <w:tcW w:w="765" w:type="dxa"/>
            <w:vAlign w:val="center"/>
          </w:tcPr>
          <w:p w14:paraId="148C061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810" w:type="dxa"/>
            <w:vAlign w:val="center"/>
          </w:tcPr>
          <w:p w14:paraId="6EF478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客观</w:t>
            </w:r>
          </w:p>
        </w:tc>
      </w:tr>
      <w:tr w14:paraId="2823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5" w:type="dxa"/>
            <w:vMerge w:val="continue"/>
            <w:vAlign w:val="center"/>
          </w:tcPr>
          <w:p w14:paraId="7AD0A5D6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456A0B4E">
            <w:pPr>
              <w:snapToGrid w:val="0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类似业绩</w:t>
            </w:r>
          </w:p>
        </w:tc>
        <w:tc>
          <w:tcPr>
            <w:tcW w:w="4950" w:type="dxa"/>
          </w:tcPr>
          <w:p w14:paraId="33561FA9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投标人具有合同签订日期自2021年起至递交投标文件截止时间类似案例。</w:t>
            </w:r>
          </w:p>
          <w:p w14:paraId="24412890">
            <w:pPr>
              <w:rPr>
                <w:szCs w:val="21"/>
              </w:rPr>
            </w:pPr>
            <w:r>
              <w:rPr>
                <w:bCs/>
                <w:szCs w:val="21"/>
              </w:rPr>
              <w:t>须提供合同首页、合同金额页、盖章页的复印件。每个得2分，最多得10分。</w:t>
            </w:r>
          </w:p>
        </w:tc>
        <w:tc>
          <w:tcPr>
            <w:tcW w:w="765" w:type="dxa"/>
            <w:vAlign w:val="center"/>
          </w:tcPr>
          <w:p w14:paraId="2B29FC5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10</w:t>
            </w:r>
          </w:p>
        </w:tc>
        <w:tc>
          <w:tcPr>
            <w:tcW w:w="810" w:type="dxa"/>
            <w:vAlign w:val="center"/>
          </w:tcPr>
          <w:p w14:paraId="3C75CC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客观</w:t>
            </w:r>
          </w:p>
        </w:tc>
      </w:tr>
      <w:tr w14:paraId="225B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5" w:type="dxa"/>
            <w:vMerge w:val="restart"/>
            <w:vAlign w:val="center"/>
          </w:tcPr>
          <w:p w14:paraId="0D310A1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技术部分（6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）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9AC77D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总体服务方案</w:t>
            </w:r>
          </w:p>
          <w:p w14:paraId="6DB5B54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132230D6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阐述对采购人提供的总体服务方案，包含以下内容：</w:t>
            </w:r>
          </w:p>
          <w:p w14:paraId="26D8A88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1、计算服务</w:t>
            </w:r>
          </w:p>
          <w:p w14:paraId="0CE2FD8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2、存储服务</w:t>
            </w:r>
          </w:p>
          <w:p w14:paraId="0EE4A8D3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3、网络服务</w:t>
            </w:r>
          </w:p>
          <w:p w14:paraId="02A16BDF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4、云主机深度监控服务</w:t>
            </w:r>
          </w:p>
          <w:p w14:paraId="007D6C80">
            <w:pPr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color w:val="000000"/>
                <w:szCs w:val="21"/>
              </w:rPr>
              <w:t>5、云上物理服务器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租用服务</w:t>
            </w:r>
          </w:p>
          <w:p w14:paraId="4ADAFFAC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6、基础软件支撑服务</w:t>
            </w:r>
          </w:p>
          <w:p w14:paraId="19188AEC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7、专线服务</w:t>
            </w:r>
          </w:p>
          <w:p w14:paraId="47C06C22">
            <w:pP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Cs/>
                <w:szCs w:val="21"/>
              </w:rPr>
              <w:t>8、</w:t>
            </w:r>
            <w:r>
              <w:rPr>
                <w:color w:val="000000"/>
                <w:szCs w:val="21"/>
              </w:rPr>
              <w:t>云上系统安全保障服务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color w:val="000000"/>
                <w:szCs w:val="21"/>
              </w:rPr>
              <w:t>方案完整合理、内容详细，专门针对本项目，符合采购需求和实际情况视为符合；方案内容属于通用类，非专门针对本项目，部分符合采购需求和实际情况视为部分符合；方案内容对采购需求进行简单复制、非专门针对本项目，不符合实际情况或未提供视为不符合。以上8项，每一项符合得</w:t>
            </w:r>
            <w:r>
              <w:rPr>
                <w:szCs w:val="21"/>
              </w:rPr>
              <w:t>2</w:t>
            </w:r>
            <w:r>
              <w:rPr>
                <w:color w:val="000000"/>
                <w:szCs w:val="21"/>
              </w:rPr>
              <w:t>分，部分符合得</w:t>
            </w:r>
            <w:r>
              <w:rPr>
                <w:szCs w:val="21"/>
              </w:rPr>
              <w:t>1</w:t>
            </w:r>
            <w:r>
              <w:rPr>
                <w:color w:val="000000"/>
                <w:szCs w:val="21"/>
              </w:rPr>
              <w:t>分，不符合不得分。此项最高</w:t>
            </w:r>
            <w:r>
              <w:rPr>
                <w:szCs w:val="21"/>
              </w:rPr>
              <w:t>16</w:t>
            </w:r>
            <w:r>
              <w:rPr>
                <w:color w:val="000000"/>
                <w:szCs w:val="21"/>
              </w:rPr>
              <w:t>分。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2BC68D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F0777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主观</w:t>
            </w:r>
          </w:p>
        </w:tc>
      </w:tr>
      <w:tr w14:paraId="02FD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05" w:type="dxa"/>
            <w:vMerge w:val="continue"/>
            <w:vAlign w:val="center"/>
          </w:tcPr>
          <w:p w14:paraId="0E215B57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5E51786B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服务团队</w:t>
            </w:r>
          </w:p>
        </w:tc>
        <w:tc>
          <w:tcPr>
            <w:tcW w:w="4950" w:type="dxa"/>
            <w:shd w:val="clear" w:color="auto" w:fill="auto"/>
          </w:tcPr>
          <w:p w14:paraId="37EE5E38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一、人员证书</w:t>
            </w:r>
          </w:p>
          <w:p w14:paraId="54F3626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项目经理具有信息系统项目管理师（高级）证书，得2分，未提供：0分；</w:t>
            </w:r>
          </w:p>
          <w:p w14:paraId="20FF855B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技术负责人具有有效的注册信息安全专业人员CISP证书，得2分，未提供：0分；</w:t>
            </w:r>
          </w:p>
          <w:p w14:paraId="4F93CBAE">
            <w:pPr>
              <w:pStyle w:val="8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二、团队成员</w:t>
            </w:r>
          </w:p>
          <w:p w14:paraId="32D17C59">
            <w:pPr>
              <w:pStyle w:val="8"/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团队成员（不含项目经理和技术负责人）8人以上得4分，6-7人得2分，3-5人得1分，不足3人不得分。</w:t>
            </w:r>
          </w:p>
          <w:p w14:paraId="556A8D5C">
            <w:pPr>
              <w:pStyle w:val="8"/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人员配备方案和人员简历：（1）要求所有人员拥有本科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及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以上学历（2）所有人员需具备5年（含）以上的工作经验。以上每点符合得2分，不符合不得分。此项最高4分。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E4711BA">
            <w:pPr>
              <w:spacing w:line="360" w:lineRule="auto"/>
              <w:jc w:val="center"/>
              <w:rPr>
                <w:bCs/>
                <w:szCs w:val="21"/>
                <w:highlight w:val="yellow"/>
              </w:rPr>
            </w:pPr>
            <w:r>
              <w:rPr>
                <w:bCs/>
                <w:szCs w:val="21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F95CDA">
            <w:pPr>
              <w:pStyle w:val="8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客观</w:t>
            </w:r>
          </w:p>
        </w:tc>
      </w:tr>
      <w:tr w14:paraId="1880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5" w:type="dxa"/>
            <w:vMerge w:val="continue"/>
            <w:vAlign w:val="center"/>
          </w:tcPr>
          <w:p w14:paraId="036B58EF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206A9436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部署方案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2F19FE9">
            <w:pPr>
              <w:rPr>
                <w:szCs w:val="21"/>
              </w:rPr>
            </w:pPr>
            <w:r>
              <w:rPr>
                <w:szCs w:val="21"/>
              </w:rPr>
              <w:t>部署方案：包括①部署迁移流程②业务系统不中断③迁移测试。</w:t>
            </w:r>
          </w:p>
          <w:p w14:paraId="533A86AC">
            <w:pPr>
              <w:rPr>
                <w:szCs w:val="21"/>
              </w:rPr>
            </w:pPr>
            <w:r>
              <w:rPr>
                <w:szCs w:val="21"/>
              </w:rPr>
              <w:t>方案内容详细，专门针对本项目，有详细部署流程和迁移测试方案，业务系统不中断，符合采购需求和实际情况视为符合；方案内容属于通用类，非专门针对本项目，需要中断业务，部分符合实际情况视为部分符合；方案内容复制粘贴采购需求，需要中断业务，非专门针对本项目，不符合实际情况或未提供视为不符合；（每符合1项得3分，部分符合得1分，不符合不得分；此项最高9分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891D57A">
            <w:pPr>
              <w:autoSpaceDE w:val="0"/>
              <w:autoSpaceDN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217EA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主观</w:t>
            </w:r>
          </w:p>
        </w:tc>
      </w:tr>
      <w:tr w14:paraId="32436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5" w:type="dxa"/>
            <w:vMerge w:val="continue"/>
            <w:vAlign w:val="center"/>
          </w:tcPr>
          <w:p w14:paraId="3B89C07D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3A5BDBC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业务中断情况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B5A46D7">
            <w:pPr>
              <w:tabs>
                <w:tab w:val="left" w:pos="567"/>
              </w:tabs>
              <w:spacing w:before="120"/>
              <w:rPr>
                <w:szCs w:val="21"/>
              </w:rPr>
            </w:pPr>
            <w:r>
              <w:rPr>
                <w:rFonts w:hint="eastAsia"/>
                <w:szCs w:val="21"/>
              </w:rPr>
              <w:t>无需迁移</w:t>
            </w:r>
            <w:r>
              <w:rPr>
                <w:rFonts w:hint="eastAsia"/>
                <w:szCs w:val="21"/>
                <w:lang w:val="en-US" w:eastAsia="zh-CN"/>
              </w:rPr>
              <w:t>或迁移</w:t>
            </w:r>
            <w:r>
              <w:rPr>
                <w:szCs w:val="21"/>
              </w:rPr>
              <w:t>业务不中断，得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；需要迁移，</w:t>
            </w:r>
            <w:r>
              <w:rPr>
                <w:szCs w:val="21"/>
              </w:rPr>
              <w:t>业务中断时长小于等于10分钟，得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分；</w:t>
            </w:r>
            <w:r>
              <w:rPr>
                <w:rFonts w:hint="eastAsia"/>
                <w:szCs w:val="21"/>
              </w:rPr>
              <w:t>需要迁移，</w:t>
            </w:r>
            <w:r>
              <w:rPr>
                <w:szCs w:val="21"/>
              </w:rPr>
              <w:t>业务中断时长小于60分钟，得1分；</w:t>
            </w:r>
            <w:r>
              <w:rPr>
                <w:rFonts w:hint="eastAsia"/>
                <w:szCs w:val="21"/>
              </w:rPr>
              <w:t>需要迁移，</w:t>
            </w:r>
            <w:r>
              <w:rPr>
                <w:szCs w:val="21"/>
              </w:rPr>
              <w:t>业务中断时长大于60分钟，不得分，需提供证明材料。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A524008">
            <w:pPr>
              <w:autoSpaceDE w:val="0"/>
              <w:autoSpaceDN w:val="0"/>
              <w:spacing w:line="360" w:lineRule="auto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F3D46E">
            <w:pPr>
              <w:tabs>
                <w:tab w:val="left" w:pos="567"/>
              </w:tabs>
              <w:spacing w:before="120" w:line="360" w:lineRule="auto"/>
              <w:jc w:val="center"/>
              <w:rPr>
                <w:szCs w:val="21"/>
              </w:rPr>
            </w:pPr>
            <w:r>
              <w:rPr>
                <w:bCs/>
                <w:kern w:val="1"/>
                <w:szCs w:val="21"/>
              </w:rPr>
              <w:t>客观</w:t>
            </w:r>
          </w:p>
        </w:tc>
      </w:tr>
      <w:tr w14:paraId="362D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5" w:type="dxa"/>
            <w:vMerge w:val="continue"/>
            <w:vAlign w:val="center"/>
          </w:tcPr>
          <w:p w14:paraId="5F012147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14C52D08">
            <w:pPr>
              <w:jc w:val="center"/>
              <w:rPr>
                <w:szCs w:val="21"/>
              </w:rPr>
            </w:pPr>
            <w:r>
              <w:rPr>
                <w:bCs/>
                <w:color w:val="000000"/>
                <w:szCs w:val="21"/>
              </w:rPr>
              <w:t>项目实施质量保证方案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3596671D">
            <w:pPr>
              <w:rPr>
                <w:szCs w:val="21"/>
              </w:rPr>
            </w:pPr>
            <w:r>
              <w:rPr>
                <w:szCs w:val="21"/>
              </w:rPr>
              <w:t>项目实施质量保证方案：包括①实施进度计划②项目团队组织结构③质量保证。方案内容详细，专门针对本项目，符合采购需求和实际情况视为符合；方案内容属于通用类，非专门针对本项目，部分符合实际情况视为部分符合；方案内容复制粘贴采购需求，非专门针对本项目，不符合实际情况或未提供视为不符合；（每符合1项得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分，部分符合得1分，不符合不得分；此项最高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分）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2823396">
            <w:pPr>
              <w:autoSpaceDE w:val="0"/>
              <w:autoSpaceDN w:val="0"/>
              <w:spacing w:line="360" w:lineRule="auto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87AD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主观</w:t>
            </w:r>
          </w:p>
        </w:tc>
      </w:tr>
      <w:tr w14:paraId="7B60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5" w:type="dxa"/>
            <w:vMerge w:val="continue"/>
            <w:vAlign w:val="center"/>
          </w:tcPr>
          <w:p w14:paraId="2ED53FC2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702EDCCC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安全服务方案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D2A1B1B">
            <w:pPr>
              <w:rPr>
                <w:szCs w:val="21"/>
              </w:rPr>
            </w:pPr>
            <w:r>
              <w:rPr>
                <w:szCs w:val="21"/>
              </w:rPr>
              <w:t>安全服务方案：包括①安全体系硬件架构②基础安全服务③云内租户安全防护设计④安全管控措施方案。方案内容详细，专门针对本项目，能详细描述云平台安全方案和能力，达到等保三级和密码服务要求，符合采购需求和实际情况视为符合；方案内容属于通用类，非专门针对本项目，部分符合实际情况视为部分符合；方案内容复制粘贴采购需求，非专门针对本项目，不符合实际情况或未提供视为不符合；（每符合1项得2分，部分符合得1分，不符合不得分；此项最高8分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C92D1A0">
            <w:pPr>
              <w:autoSpaceDE w:val="0"/>
              <w:autoSpaceDN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E5B7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主观</w:t>
            </w:r>
          </w:p>
        </w:tc>
      </w:tr>
      <w:tr w14:paraId="4E161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5" w:type="dxa"/>
            <w:vMerge w:val="continue"/>
            <w:vAlign w:val="center"/>
          </w:tcPr>
          <w:p w14:paraId="30A33187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1B10D201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运维服务方案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F3D972D">
            <w:pPr>
              <w:rPr>
                <w:szCs w:val="21"/>
              </w:rPr>
            </w:pPr>
            <w:r>
              <w:rPr>
                <w:szCs w:val="21"/>
              </w:rPr>
              <w:t>云平台运维服务方案：包括①运维服务制度与规范②运维表单③云资源动态调整方案④应急处置方案。</w:t>
            </w:r>
          </w:p>
          <w:p w14:paraId="2373C714">
            <w:pPr>
              <w:rPr>
                <w:szCs w:val="21"/>
              </w:rPr>
            </w:pPr>
            <w:r>
              <w:rPr>
                <w:szCs w:val="21"/>
              </w:rPr>
              <w:t>方案内容详细，专门针对本项目，有详细的制度、规范和运维表单，符合采购需求和实际情况视为符合；方案内容属于通用类，非专门针对本项目，制度规范和运维表单不完整，部分符合实际情况视为部分符合；方案内容复制粘贴采购需求，非专门针对本项目，不符合实际情况或未提供视为不符合；（每符合1项得2分，部分符合得1分，不符合不得分；此项最高8分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1E4D82D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0F75B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主观</w:t>
            </w:r>
          </w:p>
        </w:tc>
      </w:tr>
    </w:tbl>
    <w:p w14:paraId="1F7BCA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C08C0"/>
    <w:rsid w:val="01073745"/>
    <w:rsid w:val="06C17B49"/>
    <w:rsid w:val="23CD1E86"/>
    <w:rsid w:val="29B33362"/>
    <w:rsid w:val="3266710E"/>
    <w:rsid w:val="356C0B3B"/>
    <w:rsid w:val="4AC478F3"/>
    <w:rsid w:val="4E226038"/>
    <w:rsid w:val="529F0B9B"/>
    <w:rsid w:val="579C08C0"/>
    <w:rsid w:val="642E7E8E"/>
    <w:rsid w:val="6DB65C76"/>
    <w:rsid w:val="7EEE0E86"/>
    <w:rsid w:val="7FB5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customStyle="1" w:styleId="8">
    <w:name w:val="正文 缩进2字符"/>
    <w:basedOn w:val="1"/>
    <w:autoRedefine/>
    <w:qFormat/>
    <w:uiPriority w:val="0"/>
    <w:pPr>
      <w:spacing w:line="288" w:lineRule="auto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2505</Words>
  <Characters>2577</Characters>
  <Lines>0</Lines>
  <Paragraphs>0</Paragraphs>
  <TotalTime>0</TotalTime>
  <ScaleCrop>false</ScaleCrop>
  <LinksUpToDate>false</LinksUpToDate>
  <CharactersWithSpaces>2578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2025-05-21T11:31:00Z</dcterms:created>
  <dc:creator>许</dc:creator>
  <cp:lastModifiedBy>许</cp:lastModifiedBy>
  <dcterms:modified xsi:type="dcterms:W3CDTF">2025-06-05T05:12:51Z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309C2F47E644483F8C545AB62825B808_11</vt:lpwstr>
  </property>
  <property fmtid="{D5CDD505-2E9C-101B-9397-08002B2CF9AE}" pid="4" name="KSOTemplateDocerSaveRecord">
    <vt:lpwstr>eyJoZGlkIjoiNzNhZjU3NTBlODNkNDhlOTRiOTNmOGZkNWU2NzlkMWIiLCJ1c2VySWQiOiIzMDE0MjE3NzIifQ==</vt:lpwstr>
  </property>
</Properties>
</file>