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A3599">
      <w:pPr>
        <w:spacing w:line="360" w:lineRule="auto"/>
        <w:jc w:val="center"/>
        <w:outlineLvl w:val="0"/>
        <w:rPr>
          <w:b/>
          <w:color w:val="auto"/>
          <w:sz w:val="36"/>
          <w:szCs w:val="36"/>
          <w:highlight w:val="none"/>
        </w:rPr>
      </w:pPr>
      <w:bookmarkStart w:id="0" w:name="_Toc99301424"/>
      <w:r>
        <w:rPr>
          <w:b/>
          <w:color w:val="auto"/>
          <w:sz w:val="36"/>
          <w:szCs w:val="36"/>
          <w:highlight w:val="none"/>
        </w:rPr>
        <w:t>第五章   采购需求</w:t>
      </w:r>
      <w:bookmarkEnd w:id="0"/>
    </w:p>
    <w:p w14:paraId="4F510CDF">
      <w:pPr>
        <w:jc w:val="center"/>
        <w:rPr>
          <w:rFonts w:ascii="方正小标宋简体" w:hAnsi="方正小标宋简体" w:eastAsia="方正小标宋简体" w:cs="宋体"/>
          <w:color w:val="auto"/>
          <w:kern w:val="0"/>
          <w:sz w:val="36"/>
          <w:szCs w:val="36"/>
          <w:highlight w:val="none"/>
        </w:rPr>
      </w:pPr>
    </w:p>
    <w:p w14:paraId="27138D18">
      <w:pPr>
        <w:rPr>
          <w:color w:val="auto"/>
          <w:highlight w:val="none"/>
        </w:rPr>
      </w:pPr>
    </w:p>
    <w:p w14:paraId="3A07C426">
      <w:pPr>
        <w:jc w:val="center"/>
        <w:rPr>
          <w:rFonts w:ascii="方正小标宋简体" w:hAnsi="方正小标宋简体" w:eastAsia="方正小标宋简体" w:cs="宋体"/>
          <w:color w:val="auto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宋体"/>
          <w:color w:val="auto"/>
          <w:kern w:val="0"/>
          <w:sz w:val="36"/>
          <w:szCs w:val="36"/>
          <w:highlight w:val="none"/>
        </w:rPr>
        <w:t>（</w:t>
      </w:r>
      <w:r>
        <w:rPr>
          <w:rFonts w:ascii="方正小标宋简体" w:hAnsi="方正小标宋简体" w:eastAsia="方正小标宋简体" w:cs="宋体"/>
          <w:color w:val="auto"/>
          <w:kern w:val="0"/>
          <w:sz w:val="36"/>
          <w:szCs w:val="36"/>
          <w:highlight w:val="none"/>
        </w:rPr>
        <w:t>第</w:t>
      </w:r>
      <w:r>
        <w:rPr>
          <w:rFonts w:hint="eastAsia" w:ascii="方正小标宋简体" w:hAnsi="方正小标宋简体" w:eastAsia="方正小标宋简体" w:cs="宋体"/>
          <w:color w:val="auto"/>
          <w:kern w:val="0"/>
          <w:sz w:val="36"/>
          <w:szCs w:val="36"/>
          <w:highlight w:val="none"/>
          <w:lang w:val="en-US" w:eastAsia="zh-CN"/>
        </w:rPr>
        <w:t>1</w:t>
      </w:r>
      <w:r>
        <w:rPr>
          <w:rFonts w:ascii="方正小标宋简体" w:hAnsi="方正小标宋简体" w:eastAsia="方正小标宋简体" w:cs="宋体"/>
          <w:color w:val="auto"/>
          <w:kern w:val="0"/>
          <w:sz w:val="36"/>
          <w:szCs w:val="36"/>
          <w:highlight w:val="none"/>
        </w:rPr>
        <w:t>包</w:t>
      </w:r>
      <w:r>
        <w:rPr>
          <w:rFonts w:hint="eastAsia" w:ascii="方正小标宋简体" w:hAnsi="方正小标宋简体" w:eastAsia="方正小标宋简体" w:cs="宋体"/>
          <w:color w:val="auto"/>
          <w:kern w:val="0"/>
          <w:sz w:val="36"/>
          <w:szCs w:val="36"/>
          <w:highlight w:val="none"/>
        </w:rPr>
        <w:t>：监测调度网络租用）</w:t>
      </w:r>
    </w:p>
    <w:p w14:paraId="7334B2B4">
      <w:pPr>
        <w:pStyle w:val="5"/>
        <w:numPr>
          <w:ilvl w:val="0"/>
          <w:numId w:val="1"/>
        </w:numPr>
        <w:spacing w:line="360" w:lineRule="auto"/>
        <w:ind w:firstLineChars="0"/>
        <w:contextualSpacing/>
        <w:rPr>
          <w:b/>
          <w:color w:val="auto"/>
          <w:sz w:val="24"/>
          <w:szCs w:val="24"/>
          <w:highlight w:val="none"/>
        </w:rPr>
      </w:pPr>
      <w:r>
        <w:rPr>
          <w:b/>
          <w:color w:val="auto"/>
          <w:sz w:val="24"/>
          <w:szCs w:val="24"/>
          <w:highlight w:val="none"/>
        </w:rPr>
        <w:t>采购标的</w:t>
      </w:r>
    </w:p>
    <w:p w14:paraId="2F71AA3C">
      <w:pPr>
        <w:spacing w:line="360" w:lineRule="auto"/>
        <w:contextualSpacing/>
        <w:rPr>
          <w:bCs/>
          <w:color w:val="auto"/>
          <w:sz w:val="24"/>
          <w:highlight w:val="none"/>
        </w:rPr>
      </w:pPr>
      <w:r>
        <w:rPr>
          <w:bCs/>
          <w:color w:val="auto"/>
          <w:sz w:val="24"/>
          <w:highlight w:val="none"/>
        </w:rPr>
        <w:t>1. 采购标的（货物需求一览表）</w:t>
      </w:r>
    </w:p>
    <w:p w14:paraId="4D856AC2">
      <w:pPr>
        <w:spacing w:line="360" w:lineRule="auto"/>
        <w:contextualSpacing/>
        <w:jc w:val="center"/>
        <w:rPr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表1：网络租用线路概览</w:t>
      </w:r>
    </w:p>
    <w:tbl>
      <w:tblPr>
        <w:tblStyle w:val="3"/>
        <w:tblW w:w="696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80"/>
        <w:gridCol w:w="920"/>
        <w:gridCol w:w="920"/>
        <w:gridCol w:w="1120"/>
        <w:gridCol w:w="960"/>
      </w:tblGrid>
      <w:tr w14:paraId="07139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F035"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BE8D8"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专线用途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F1252"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带宽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A6E3E"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F4EA7"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租用期（月）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F6E9E"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  <w:highlight w:val="none"/>
              </w:rPr>
              <w:t>备注</w:t>
            </w:r>
          </w:p>
        </w:tc>
      </w:tr>
      <w:tr w14:paraId="73C7A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4D5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85FC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安全播出指挥调度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4006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10M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34E2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F8FA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DB2EF">
            <w:pPr>
              <w:widowControl/>
              <w:jc w:val="center"/>
              <w:textAlignment w:val="center"/>
              <w:rPr>
                <w:rFonts w:ascii="Calibri" w:hAnsi="Calibri" w:cs="Calibri"/>
                <w:color w:val="auto"/>
                <w:kern w:val="0"/>
                <w:szCs w:val="21"/>
                <w:highlight w:val="none"/>
              </w:rPr>
            </w:pPr>
          </w:p>
        </w:tc>
      </w:tr>
      <w:tr w14:paraId="5433E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E334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E22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56B7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20M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F725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CE2E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7A469">
            <w:pPr>
              <w:widowControl/>
              <w:jc w:val="center"/>
              <w:textAlignment w:val="center"/>
              <w:rPr>
                <w:rFonts w:ascii="Calibri" w:hAnsi="Calibri" w:cs="Calibri"/>
                <w:color w:val="auto"/>
                <w:kern w:val="0"/>
                <w:szCs w:val="21"/>
                <w:highlight w:val="none"/>
              </w:rPr>
            </w:pPr>
          </w:p>
        </w:tc>
      </w:tr>
      <w:tr w14:paraId="09829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F275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A195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C6FD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50M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4611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2D48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43C48">
            <w:pPr>
              <w:widowControl/>
              <w:jc w:val="center"/>
              <w:textAlignment w:val="center"/>
              <w:rPr>
                <w:rFonts w:ascii="Calibri" w:hAnsi="Calibri" w:cs="Calibri"/>
                <w:color w:val="auto"/>
                <w:kern w:val="0"/>
                <w:szCs w:val="21"/>
                <w:highlight w:val="none"/>
              </w:rPr>
            </w:pPr>
          </w:p>
        </w:tc>
      </w:tr>
      <w:tr w14:paraId="761E3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B986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442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B244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100M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92FC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77DB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8E3E1">
            <w:pPr>
              <w:widowControl/>
              <w:jc w:val="center"/>
              <w:textAlignment w:val="center"/>
              <w:rPr>
                <w:rFonts w:ascii="Calibri" w:hAnsi="Calibri" w:cs="Calibri"/>
                <w:color w:val="auto"/>
                <w:kern w:val="0"/>
                <w:szCs w:val="21"/>
                <w:highlight w:val="none"/>
              </w:rPr>
            </w:pPr>
          </w:p>
        </w:tc>
      </w:tr>
      <w:tr w14:paraId="3276E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332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A20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广播电视监测及</w:t>
            </w:r>
          </w:p>
          <w:p w14:paraId="36B3916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信号传输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C9D0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2M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F73E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7CBD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E17CE">
            <w:pPr>
              <w:widowControl/>
              <w:jc w:val="center"/>
              <w:textAlignment w:val="center"/>
              <w:rPr>
                <w:rFonts w:ascii="Calibri" w:hAnsi="Calibri" w:cs="Calibri"/>
                <w:color w:val="auto"/>
                <w:kern w:val="0"/>
                <w:szCs w:val="21"/>
                <w:highlight w:val="none"/>
              </w:rPr>
            </w:pPr>
          </w:p>
        </w:tc>
      </w:tr>
      <w:tr w14:paraId="513FA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4A3E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5F5E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7F9D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10M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EB57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66F5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CC4">
            <w:pPr>
              <w:widowControl/>
              <w:jc w:val="center"/>
              <w:textAlignment w:val="center"/>
              <w:rPr>
                <w:rFonts w:ascii="Calibri" w:hAnsi="Calibri" w:cs="Calibri"/>
                <w:color w:val="auto"/>
                <w:kern w:val="0"/>
                <w:szCs w:val="21"/>
                <w:highlight w:val="none"/>
              </w:rPr>
            </w:pPr>
          </w:p>
        </w:tc>
      </w:tr>
      <w:tr w14:paraId="65CC7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BDBD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F06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398E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20M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D70E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5DCC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E1E91">
            <w:pPr>
              <w:widowControl/>
              <w:jc w:val="center"/>
              <w:textAlignment w:val="center"/>
              <w:rPr>
                <w:rFonts w:ascii="Calibri" w:hAnsi="Calibri" w:cs="Calibri"/>
                <w:color w:val="auto"/>
                <w:kern w:val="0"/>
                <w:szCs w:val="21"/>
                <w:highlight w:val="none"/>
              </w:rPr>
            </w:pPr>
          </w:p>
        </w:tc>
      </w:tr>
      <w:tr w14:paraId="362BA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A75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991A1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4FC9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30M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6DE0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087C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8F9F9">
            <w:pPr>
              <w:widowControl/>
              <w:jc w:val="center"/>
              <w:textAlignment w:val="center"/>
              <w:rPr>
                <w:rFonts w:ascii="Calibri" w:hAnsi="Calibri" w:cs="Calibri"/>
                <w:color w:val="auto"/>
                <w:kern w:val="0"/>
                <w:szCs w:val="21"/>
                <w:highlight w:val="none"/>
              </w:rPr>
            </w:pPr>
          </w:p>
        </w:tc>
      </w:tr>
      <w:tr w14:paraId="0ED78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D867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A1D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7447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100M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467B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C9C3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FA03E">
            <w:pPr>
              <w:widowControl/>
              <w:jc w:val="center"/>
              <w:textAlignment w:val="center"/>
              <w:rPr>
                <w:rFonts w:ascii="Calibri" w:hAnsi="Calibri" w:cs="Calibri"/>
                <w:color w:val="auto"/>
                <w:kern w:val="0"/>
                <w:szCs w:val="21"/>
                <w:highlight w:val="none"/>
              </w:rPr>
            </w:pPr>
          </w:p>
        </w:tc>
      </w:tr>
      <w:tr w14:paraId="6AE0B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192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550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18F0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180M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1BAF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0ACD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4672F">
            <w:pPr>
              <w:widowControl/>
              <w:jc w:val="center"/>
              <w:textAlignment w:val="center"/>
              <w:rPr>
                <w:rFonts w:ascii="Calibri" w:hAnsi="Calibri" w:cs="Calibri"/>
                <w:color w:val="auto"/>
                <w:kern w:val="0"/>
                <w:szCs w:val="21"/>
                <w:highlight w:val="none"/>
              </w:rPr>
            </w:pPr>
          </w:p>
        </w:tc>
      </w:tr>
      <w:tr w14:paraId="4573E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477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9526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5F37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400M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9663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199D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A9125">
            <w:pPr>
              <w:widowControl/>
              <w:jc w:val="center"/>
              <w:textAlignment w:val="center"/>
              <w:rPr>
                <w:rFonts w:ascii="Calibri" w:hAnsi="Calibri" w:cs="Calibri"/>
                <w:color w:val="auto"/>
                <w:kern w:val="0"/>
                <w:szCs w:val="21"/>
                <w:highlight w:val="none"/>
              </w:rPr>
            </w:pPr>
          </w:p>
        </w:tc>
      </w:tr>
      <w:tr w14:paraId="2FAFF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6821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83B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970E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450M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7A1E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A050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B9BA3">
            <w:pPr>
              <w:widowControl/>
              <w:jc w:val="center"/>
              <w:textAlignment w:val="center"/>
              <w:rPr>
                <w:rFonts w:ascii="Calibri" w:hAnsi="Calibri" w:cs="Calibri"/>
                <w:color w:val="auto"/>
                <w:kern w:val="0"/>
                <w:szCs w:val="21"/>
                <w:highlight w:val="none"/>
              </w:rPr>
            </w:pPr>
          </w:p>
        </w:tc>
      </w:tr>
      <w:tr w14:paraId="4AB55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111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ADB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8A39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600M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AB15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E248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7469F">
            <w:pPr>
              <w:widowControl/>
              <w:jc w:val="center"/>
              <w:textAlignment w:val="center"/>
              <w:rPr>
                <w:rFonts w:ascii="Calibri" w:hAnsi="Calibri" w:cs="Calibri"/>
                <w:color w:val="auto"/>
                <w:kern w:val="0"/>
                <w:szCs w:val="21"/>
                <w:highlight w:val="none"/>
              </w:rPr>
            </w:pPr>
          </w:p>
        </w:tc>
      </w:tr>
      <w:tr w14:paraId="417FB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A00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F998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AF1F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1000M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2306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C3F5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89A89">
            <w:pPr>
              <w:widowControl/>
              <w:jc w:val="center"/>
              <w:textAlignment w:val="center"/>
              <w:rPr>
                <w:rFonts w:ascii="Calibri" w:hAnsi="Calibri" w:cs="Calibri"/>
                <w:color w:val="auto"/>
                <w:kern w:val="0"/>
                <w:szCs w:val="21"/>
                <w:highlight w:val="none"/>
              </w:rPr>
            </w:pPr>
          </w:p>
        </w:tc>
      </w:tr>
      <w:tr w14:paraId="11CEB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52F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19BB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F36E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1800M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6183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8C9A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B3B39">
            <w:pPr>
              <w:widowControl/>
              <w:jc w:val="center"/>
              <w:textAlignment w:val="center"/>
              <w:rPr>
                <w:rFonts w:ascii="Calibri" w:hAnsi="Calibri" w:cs="Calibri"/>
                <w:color w:val="auto"/>
                <w:kern w:val="0"/>
                <w:szCs w:val="21"/>
                <w:highlight w:val="none"/>
              </w:rPr>
            </w:pPr>
          </w:p>
        </w:tc>
      </w:tr>
      <w:tr w14:paraId="24B03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155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020B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合计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ED5B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1AB2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124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B086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6157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</w:tbl>
    <w:p w14:paraId="27EE78AF">
      <w:pPr>
        <w:spacing w:line="360" w:lineRule="auto"/>
        <w:contextualSpacing/>
        <w:rPr>
          <w:bCs/>
          <w:color w:val="auto"/>
          <w:sz w:val="24"/>
          <w:highlight w:val="none"/>
        </w:rPr>
      </w:pPr>
    </w:p>
    <w:p w14:paraId="5ABDB59C">
      <w:pPr>
        <w:spacing w:line="360" w:lineRule="auto"/>
        <w:contextualSpacing/>
        <w:jc w:val="center"/>
        <w:rPr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表2：网络租用线路具体需求</w:t>
      </w:r>
    </w:p>
    <w:tbl>
      <w:tblPr>
        <w:tblStyle w:val="3"/>
        <w:tblW w:w="100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709"/>
        <w:gridCol w:w="1276"/>
        <w:gridCol w:w="3487"/>
        <w:gridCol w:w="717"/>
        <w:gridCol w:w="1203"/>
        <w:gridCol w:w="960"/>
        <w:gridCol w:w="960"/>
      </w:tblGrid>
      <w:tr w14:paraId="0E663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7D4F"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业务名称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1311C"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516E1"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网络A端名称及地址</w:t>
            </w:r>
          </w:p>
        </w:tc>
        <w:tc>
          <w:tcPr>
            <w:tcW w:w="3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8C89C"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网络</w:t>
            </w:r>
            <w:r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Z</w:t>
            </w: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端安装位置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75DF0"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数量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2DE24"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接入类型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61CF3"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前端带宽（M)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C1E19">
            <w:pPr>
              <w:widowControl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接口类型</w:t>
            </w:r>
          </w:p>
        </w:tc>
      </w:tr>
      <w:tr w14:paraId="12FA9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2D4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安全播出指挥调度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D20F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06975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北京市广播电视监测中心指挥大厅设备机房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181C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延庆高山转播站值班室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BDD1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BA63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48C5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808C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3B11A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CDEA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5025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7D5A5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69EF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房山高山转播站值班室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01C5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2EF4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8536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6095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1CB07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E994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0AFE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8389F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6B09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西城融媒体中心会议室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C55E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149C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B888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191C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75729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875D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3C24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30506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25DE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西城文旅局会议室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FC79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40DC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E704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A34F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7381C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9D0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7935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CAEAB5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175B8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海淀文旅局会议室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C024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6FC8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AC0F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E728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08B59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55F3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B826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52FF11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C11B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丰台文旅局会议室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220A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1A85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9D72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BA49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387C6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2037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15AF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E979F5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43D6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石景山文旅局会议室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CA20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3329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9085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0A3C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4763E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821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97BE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E5EA3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2D13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门头沟文旅局会议室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5CC5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0058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D0C5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4574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245B1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C03D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C22F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262D2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4613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昌平文旅局会议室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F31D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7857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9E59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7E88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584C0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91F8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E031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462B0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C95A2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延庆文旅局会议室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99C6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78E1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02AE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8B1B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62837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E19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DCEB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AA8D3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5741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房山文旅局会议室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0217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25E0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319C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8842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03E03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B1C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8F54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46AC81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15275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歌华A0机房值班室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BCBA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E77C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AE79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89F1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7995B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100A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67C4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B8FCB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7247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歌华C0机房值班室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C306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C699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D445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EA3A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6ED57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2095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2503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40A3B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4D29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歌华D0机房值班室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51DA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61F5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8FFF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7F67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41DB1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CD3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2F26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B0F82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11245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歌华石景山分公司机房值班室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148A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9F16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DCD5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44F1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7348E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C33A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87A9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B11BB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9E38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歌华门头沟分公司机房值班室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5155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6F7B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E29D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6E06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2E39B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D159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F409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349C61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56778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歌华昌平分公司机房值班室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A2D1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D97C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A57B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C91A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54D47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CF78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3C52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3BBB9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2472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歌华延庆分公司机房值班室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8001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0811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C086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4B8F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0EF9F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8F271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814D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A7D02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BBE0E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歌华房山分公司机房值班室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7498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0C26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D933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0CDB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01A74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B583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6C86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F731E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0999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北京新媒体集团（会议室）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4555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216A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EC00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8EC6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23078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F12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2823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93E19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D73B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海淀融媒体中心（会议室+值班室）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1F5F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1797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08A9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174D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3D3C6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3BF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E87F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ECA43A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ED5B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丰台融媒体中心（会议室+值班室）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E8B7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D9F0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8939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E24E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6FA08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F03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75E8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4C69B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1DB2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石景山融媒体中心（会议室+值班室）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6BE3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3C9E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0DE9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4F94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023E4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6F5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1707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00B42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326D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门头沟融媒体中心值班室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3436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1B60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0AD2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26CE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5C05E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A4DE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8607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77F78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CC0E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门头沟融媒体中心会议室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D4C1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E8CD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A309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1F5C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0A109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2CB2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CFFB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A4440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29C9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昌平融媒体中心值班室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751C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7AC2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94AA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EC7B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6E467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554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B9D8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A1116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1A35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昌平融媒体中心会议室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AD23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172E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EDD6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4A3B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21597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B24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3C52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E1D49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AFC6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延庆融媒体中心值班室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149D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F96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A3FC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447F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25AB8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E42E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5D73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9DFF5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40BB2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延庆融媒体中心会议室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8307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6426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8C5B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212D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289AE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A6FE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CFD8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74C7CE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65C7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房山融媒体中心（会议室+值班室）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F30D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EC46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FB49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C7AC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6B6F1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7588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1FAF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4FB4D1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7C93A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北京广播电视台广播端总控值班室（建外）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5962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FC48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72FD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76DF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04180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A08A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C663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C6DFD1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78BF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密云高山转播站值班室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9483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020C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7B57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ABC1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6D01B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115D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AEDC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50744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AFE9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怀柔高山转播站值班室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677F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1674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C713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3042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61E29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43E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40AF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40381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7F94E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平谷高山转播站值班室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7E8A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1437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07CC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AE2E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1739F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5E27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D41A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687041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828C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歌华传媒集团会议室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A6E6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9297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39A8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0940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12DD4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6225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9F35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DF82F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92C9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移动电视会议室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F9FF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C374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6953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BD27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556A5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B9A3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58B3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CFD4A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DC41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移动电视值班室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C2A6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B2CD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E9E5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215E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1DBA8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D98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00A7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480A98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C829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城市电视会议室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568D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DE72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899F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AECF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130A3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3CC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82B9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37E62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98E8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数字电视</w:t>
            </w:r>
            <w:r>
              <w:rPr>
                <w:rFonts w:hint="eastAsia" w:ascii="黑体" w:hAnsi="黑体" w:eastAsia="黑体" w:cs="Arial"/>
                <w:color w:val="auto"/>
                <w:kern w:val="0"/>
                <w:sz w:val="20"/>
                <w:szCs w:val="20"/>
                <w:highlight w:val="none"/>
              </w:rPr>
              <w:t>·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鼎视公司会议室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641F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0438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2820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1492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7711D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2D7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09CD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298EC2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D113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数字电视·鼎视公司值班室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80BA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C3F2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351B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97E3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605B3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A3B1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148C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1BCDE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78D0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亦庄融媒体中心会议室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26DB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4621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7BEB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4B3A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3D238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B37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B5C1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F0B5A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64BE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朝阳融媒体中心会议室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C85A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AF85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028E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E24F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2838A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EF76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0DD2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C46F0E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FFB5A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朝阳融媒体中心值班室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2F04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3EEB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FBDA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E5BF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3054F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000EE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7FD9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671E5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2B53A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怀柔融媒体中心会议室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B6AB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92C6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7866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2A31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517D7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D9E7A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FBD2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A1CB8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DDF8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怀柔融媒体中心值班室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B7BB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05DE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3B0F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A315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2A197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351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DE84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0D596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0C4F8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东城文旅局会议室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D185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3706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1508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97E1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4F545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9145E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3CB2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4A026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C782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朝阳文旅局会议室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AFE6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1C59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B2E1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4681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542D4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52D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CFE0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0559DE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B063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怀柔文旅局会议室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4161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D2CB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1CBA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E7E7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0861B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9E8E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E876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1E1388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02B9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密云文旅局会议室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C20C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0E47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3716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0AB8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2B575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A9AD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EA45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94C45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96BA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顺义文旅局会议室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435A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025B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D4B5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B780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27307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A98A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72B0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2B59FE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52AFE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平谷文旅局会议室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3065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656E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CD62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8C6B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0FEDE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36B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E4B4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B55A25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93668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通州文旅局会议室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189C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47FB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FE97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03EE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7FDFE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5C5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145D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B11B0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0DA82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大兴文旅局会议室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7210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052C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232E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F965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7369F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8861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2D51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03FE6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06CA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歌华B0机房值班室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77C0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3512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9D28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F80E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43342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2227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0E88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67565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E85AE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歌华怀柔分公司机房值班室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1581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7FFF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09BB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F31A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79190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2730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E5E6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C09B2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362C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歌华密云分公司机房值班室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947C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3C69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26C0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8ABB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02940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4FB7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3873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D1769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6A9E2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歌华顺义分公司机房值班室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27E6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0D11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C86F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7F63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55F8D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E94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DF1B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1CDBE5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46DB5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歌华平谷分公司机房值班室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94FF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2F16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7344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80F4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16BD1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9198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6E18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0957B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D95B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歌华通州分公司机房值班室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356F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1422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3F6B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9AD6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1DEF9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0E208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0512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2E5C5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49B2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歌华大兴分公司机房值班室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1FF9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F924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B372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B4E3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76A4F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9B4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B04A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8FAB1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B6C72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歌华总前端（值班室）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CB4A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F082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4DBE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B679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78CBF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75F7E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1228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D71BD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892A8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歌华总前端（会议室）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2E2A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8C36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CF0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8180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10D65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EE2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EAC5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92F9B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B935E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密云融媒体中心会议室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9042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1FF7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C7AA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224D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1E2F4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1A7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952D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52B25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F2DF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密云融媒体中心值班室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2B2C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AAA6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554A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DE76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777D9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93D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0740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97CFB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1414E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顺义融媒体中心（会议室+值班室）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855C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61AA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987A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E02F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07C2D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20AE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8746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428705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5591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平谷融媒体中心（会议室+值班室）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D6BA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E4A5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A130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1BFB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00BD0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E01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4667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DE38A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75322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通州融媒体中心值班室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9273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F5F3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5F89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1EC6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13F8C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1716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6A49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E1AAF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DCA4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通州融媒体中心会议室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B2A1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6405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647B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3507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410D4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AB4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F70B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32F4B5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5778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大兴融媒体中心值班室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908F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6A17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0E12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0713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1E0EC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F80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33A5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405CD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F7F7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大兴融媒体中心会议室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AC4F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283F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0FA2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F02C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273AD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740C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05C9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239E4A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FA67A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北京广播电视台会议室2606室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4C90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C631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F99E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68CE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320ED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1D0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F924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991DF1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470A2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北京广播电视台电视端播出值班室1307室（建国路98号）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DFCC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D32D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30EA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2651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06917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09B8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0A61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C2722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局346会议设备间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5F62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总局视频会议系统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2A2C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9ED1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SDH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0E2B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F7BA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18BD4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B405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D116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FC6B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监测中心安播大厅</w:t>
            </w:r>
          </w:p>
        </w:tc>
        <w:tc>
          <w:tcPr>
            <w:tcW w:w="34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FE15A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总局指挥调度平台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A173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B88A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D814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81EE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25B6E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17C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3692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42EE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科技处313室</w:t>
            </w:r>
          </w:p>
        </w:tc>
        <w:tc>
          <w:tcPr>
            <w:tcW w:w="34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741F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9846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EB1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5793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73E1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33BF4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A2EFF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</w:rPr>
              <w:t>广播电视监测及信号传输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204A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3161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副中心C1数据机房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4536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海淀融媒体中心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7665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147D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5DC4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FC78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220A3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1D641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F6A5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2D5A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B8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丰台融媒体中心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08A7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90DE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C69D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8F82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7426D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4973E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2E6F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F601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DD28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门头沟融媒体中心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1A7B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C392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A762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9DB6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5D4B0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F6F56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C2CF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9EEE2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3A4C1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昌平融媒体中心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93D0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DCE4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337F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7851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6ACB4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17A6F8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71D1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BC4C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EB53E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延庆融媒体中心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43E9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A1DF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7597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94DE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6DC9D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480AD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E19C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640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BC4E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房山融媒体中心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8D04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F0F2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8282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4FCC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07F5D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BF79E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11D1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742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4393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石景山融媒体中心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F47F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6E63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2421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CF83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19FA7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49DCE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9C46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82A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6BC6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歌华A0机房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CA7C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91BF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F171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15A3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509F3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4465DA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E4C7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B0CE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D02E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歌华C0机房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6D1A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F88C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A708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6F54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1575A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61390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A897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FBC0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A83FA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歌华D0机房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1C9E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10FF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1DA3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919A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11E3C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B2EF6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C157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D6FF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ED52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歌华石景山分公司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BF32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FC57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47E1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4848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0403B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E02912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FCEE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858F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5037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歌华门头沟分公司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1B78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9E8F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D4C3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E909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6459A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313E0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68EB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EE0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77C7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歌华昌平分公司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67B5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493B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C55B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7F4F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3E3D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B6E682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D027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73868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81EF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歌华延庆分公司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B8D2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45E1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C840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3FDE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19991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E1FF2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A5BD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96698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315F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歌华房山分公司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220B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6E48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3EB4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84E1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7C3D4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03286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1197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D8BA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0FF5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延庆高山无线转播站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5FDB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EE7B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E202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3641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1E434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4CC6EA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A725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F4752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B5C3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房山高山无线转播站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A4C0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77D2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CCD5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FBA9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626D6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AAFB5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5179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A8A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2BEB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怀柔融媒体中心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02A1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9FFD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A1FB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A8CA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5A463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4056F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C817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CDE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87801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密云融媒体中心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762B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B573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65DC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E8D8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51276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260E2A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C125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0519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8AE6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顺义融媒体中心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1FD0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5FC1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06A0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FCF7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4B20D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75AF1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179B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534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5A5D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平谷融媒体中心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1C87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C5F7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0111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B3D9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3F43D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75175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7628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9AA5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F54BE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通州融媒体中心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8880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2EE8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D69E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C99B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010C8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9ABFC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B0E2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98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A4B91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6965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通州甘棠发射塔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916E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9F2B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1A73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0818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2832C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6A6B9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72C9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EE4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07848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大兴融媒体中心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DF78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7341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83B8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8B5F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11DD3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CECE6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7A5E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B478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53A7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朝阳融媒体中心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BEF3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7191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370A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0CF0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0B516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BAEC6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A523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C5B41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ACD6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歌华B0机房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709F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A396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0455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60BB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2C935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2449A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7190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4DDE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397C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歌华怀柔分公司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E847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BE73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4397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348E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6843C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34BED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FE34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15015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AD44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歌华密云分公司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EB41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7C20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A18F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9E61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2D9C4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F5C56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3993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683E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6B465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歌华顺义分公司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5C6C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D0DE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79DC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3E60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0C3D5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FFEB3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EFC5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E9D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AC83E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歌华平谷分公司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79B5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7B82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D2F4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560D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13472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435C8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0A14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730E5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E535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歌华通州分公司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092D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1553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032E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27C8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06E80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1FB5D2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0706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2C2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4D6A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歌华大兴分公司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B3BF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47FF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41DE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11A9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5D0A2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5AB4E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B2C5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D82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8C2C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密云高山无线转播站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48C7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21EE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7AA4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D356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0D8EC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A9E9E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A5F9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12B02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5FC4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怀柔高山无线转播站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0FDF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29DB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6A54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688D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7F281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AEF11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2E0A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D54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097C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平谷高山无线转播站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C442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B0EB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87F3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B0B9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5F2D1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C24FE8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8088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4F592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BE9C2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北京广播电视台广播端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45E6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D2FF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4355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C431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光口</w:t>
            </w:r>
          </w:p>
        </w:tc>
      </w:tr>
      <w:tr w14:paraId="02C0C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2F130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0B1D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0ABD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9929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鼎视平台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EE2F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176B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2D44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D06E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光口</w:t>
            </w:r>
          </w:p>
        </w:tc>
      </w:tr>
      <w:tr w14:paraId="0937B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E11AF2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D27B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5F2F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4419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北京广播电视台电视端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5010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EA20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1974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F971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光口</w:t>
            </w:r>
          </w:p>
        </w:tc>
      </w:tr>
      <w:tr w14:paraId="63FBF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D0BEF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6E34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339E2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副中心C1数据机房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D961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北京广播电视台电视端设备网管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3260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55D2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8955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4AB5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66C1F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4105C8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901B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5D4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6619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北京广播电视台广播端设备网管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82CD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8875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1F3B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BBE0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14F0F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BBEA1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35367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E690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FB1B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鼎视平台设备网管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6816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14A3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7D40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4139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038DC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29F5D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D3B1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ADFA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副中心C1数据机房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E9F1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北京广播电视台共享信息终端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A9F1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9276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8A39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F427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70EA0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A6D531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0415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118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14A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8737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歌华有线总工办共享信息终端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528D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B131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5825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BFA7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77885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C26ED7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C48F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E3B4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D0476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顺义融媒体中心办公楼播出机房共享信息终端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2DF5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1A02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4007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0840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546B6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ED2525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EC62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0972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副中心C1数据机房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D634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北京市政务云六里桥机房（IPTV、公共广播、网站安全监测回传及对外发布）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0B40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E1CF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BCA5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4C25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光口</w:t>
            </w:r>
          </w:p>
        </w:tc>
      </w:tr>
      <w:tr w14:paraId="0D05A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9A5C9D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3421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A01C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北京市政务云六里桥机房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7A91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新媒体集团播出机房（西三环老电视台）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D7EE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6C2B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224D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C613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光口</w:t>
            </w:r>
          </w:p>
        </w:tc>
      </w:tr>
      <w:tr w14:paraId="00604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803F93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A71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8D769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副中心C1数据机房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CABA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歌华总前端机房（高标清4K）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686A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0FFB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8C5D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4FF9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光口</w:t>
            </w:r>
          </w:p>
        </w:tc>
      </w:tr>
      <w:tr w14:paraId="689C9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8228D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7A8F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822D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副中心C1数据机房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CBD4B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歌华总前端机房（8K电视信号）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336E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4039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5B81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BADC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  <w:tr w14:paraId="6B81F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F3C57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1D5C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09164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北京市广播电视监测中心指挥大厅设备机房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452EC"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歌华前端综合网络支撑系统视频图（歌华端） 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209C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635A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PTN、OTN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F811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44CF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电口</w:t>
            </w:r>
          </w:p>
        </w:tc>
      </w:tr>
    </w:tbl>
    <w:p w14:paraId="58DF73EE">
      <w:pPr>
        <w:spacing w:line="360" w:lineRule="auto"/>
        <w:contextualSpacing/>
        <w:rPr>
          <w:bCs/>
          <w:color w:val="auto"/>
          <w:sz w:val="24"/>
          <w:highlight w:val="none"/>
        </w:rPr>
      </w:pPr>
    </w:p>
    <w:p w14:paraId="5860CA1B">
      <w:pPr>
        <w:spacing w:line="360" w:lineRule="auto"/>
        <w:contextualSpacing/>
        <w:rPr>
          <w:color w:val="auto"/>
          <w:sz w:val="24"/>
          <w:highlight w:val="none"/>
        </w:rPr>
      </w:pPr>
      <w:r>
        <w:rPr>
          <w:bCs/>
          <w:color w:val="auto"/>
          <w:sz w:val="24"/>
          <w:highlight w:val="none"/>
        </w:rPr>
        <w:t>2.</w:t>
      </w:r>
      <w:r>
        <w:rPr>
          <w:color w:val="auto"/>
          <w:sz w:val="24"/>
          <w:highlight w:val="none"/>
        </w:rPr>
        <w:t>项目概述</w:t>
      </w:r>
    </w:p>
    <w:p w14:paraId="574C85FF">
      <w:pPr>
        <w:spacing w:line="360" w:lineRule="auto"/>
        <w:ind w:firstLine="480" w:firstLineChars="200"/>
        <w:contextualSpacing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北京市广播电视监测中心现已建成公共广播信号监测系统、广播电视融合媒体智慧监管平台，实现对我市市区两级安播单位播出、传输、发射的广播电视节目、IPTV节目监测，实现对各单位重要播出环节、重点安播场所可视指挥调度</w:t>
      </w:r>
      <w:r>
        <w:rPr>
          <w:color w:val="auto"/>
          <w:sz w:val="24"/>
          <w:highlight w:val="none"/>
        </w:rPr>
        <w:t>。</w:t>
      </w:r>
    </w:p>
    <w:p w14:paraId="7EA74189">
      <w:pPr>
        <w:spacing w:line="360" w:lineRule="auto"/>
        <w:ind w:firstLine="480" w:firstLineChars="200"/>
        <w:contextualSpacing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根据《广播电视安全播出管理规定》要求，监测中心接收、监测北京广播电视台、北京新媒体集团、数字电视·鼎视公司、歌华有线公司总前端及各分中心分公司、歌华传媒移动电视公司、各区融媒体中心等单位播出、传输、开路发射的广播电视节目、IPTV节目，并开展安全播出指挥调度业务，需租用专线传送节目信号、报警信息、指挥调度信息，要求租用网络通达各单位播出机房、传输机房、发射机房、会议室及北京市政务云。</w:t>
      </w:r>
    </w:p>
    <w:p w14:paraId="227EFACA">
      <w:pPr>
        <w:pStyle w:val="5"/>
        <w:numPr>
          <w:ilvl w:val="0"/>
          <w:numId w:val="1"/>
        </w:numPr>
        <w:spacing w:line="360" w:lineRule="auto"/>
        <w:ind w:firstLineChars="0"/>
        <w:contextualSpacing/>
        <w:rPr>
          <w:b/>
          <w:color w:val="auto"/>
          <w:sz w:val="24"/>
          <w:szCs w:val="24"/>
          <w:highlight w:val="none"/>
        </w:rPr>
      </w:pPr>
      <w:r>
        <w:rPr>
          <w:b/>
          <w:color w:val="auto"/>
          <w:sz w:val="24"/>
          <w:szCs w:val="24"/>
          <w:highlight w:val="none"/>
        </w:rPr>
        <w:t>商务要求</w:t>
      </w:r>
    </w:p>
    <w:p w14:paraId="413E9535">
      <w:pPr>
        <w:spacing w:line="360" w:lineRule="auto"/>
        <w:contextualSpacing/>
        <w:rPr>
          <w:i/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1. 交付的时间和地点</w:t>
      </w:r>
    </w:p>
    <w:p w14:paraId="5BB308AD">
      <w:pPr>
        <w:spacing w:line="360" w:lineRule="auto"/>
        <w:ind w:firstLine="480" w:firstLineChars="200"/>
        <w:contextualSpacing/>
        <w:rPr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（1）时间：12个月。</w:t>
      </w:r>
    </w:p>
    <w:p w14:paraId="5C103575">
      <w:pPr>
        <w:spacing w:line="360" w:lineRule="auto"/>
        <w:ind w:firstLine="480" w:firstLineChars="200"/>
        <w:contextualSpacing/>
        <w:rPr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</w:rPr>
        <w:t>（2）地点：北京广播电视台、歌华有线公司</w:t>
      </w:r>
      <w:r>
        <w:rPr>
          <w:bCs/>
          <w:color w:val="auto"/>
          <w:sz w:val="24"/>
          <w:highlight w:val="none"/>
        </w:rPr>
        <w:t>、</w:t>
      </w:r>
      <w:r>
        <w:rPr>
          <w:rFonts w:hint="eastAsia"/>
          <w:color w:val="auto"/>
          <w:sz w:val="24"/>
          <w:highlight w:val="none"/>
        </w:rPr>
        <w:t>数字电视·鼎视公司</w:t>
      </w:r>
      <w:r>
        <w:rPr>
          <w:rFonts w:hint="eastAsia"/>
          <w:bCs/>
          <w:color w:val="auto"/>
          <w:sz w:val="24"/>
          <w:highlight w:val="none"/>
        </w:rPr>
        <w:t>、各区融媒体中心、高山转播站等广播电视播出传输机构至北京市广播电视监测中心、</w:t>
      </w:r>
      <w:r>
        <w:rPr>
          <w:bCs/>
          <w:color w:val="auto"/>
          <w:sz w:val="24"/>
          <w:highlight w:val="none"/>
        </w:rPr>
        <w:t>北京市政务云</w:t>
      </w:r>
      <w:r>
        <w:rPr>
          <w:rFonts w:hint="eastAsia"/>
          <w:bCs/>
          <w:color w:val="auto"/>
          <w:sz w:val="24"/>
          <w:highlight w:val="none"/>
        </w:rPr>
        <w:t>。</w:t>
      </w:r>
    </w:p>
    <w:p w14:paraId="4672E355">
      <w:pPr>
        <w:spacing w:line="360" w:lineRule="auto"/>
        <w:contextualSpacing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2. 付款条件</w:t>
      </w:r>
    </w:p>
    <w:p w14:paraId="659F2070">
      <w:pPr>
        <w:spacing w:line="360" w:lineRule="auto"/>
        <w:ind w:firstLine="480" w:firstLineChars="200"/>
        <w:contextualSpacing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合同签订生效后5个工作日内，中标人向采购人支付合同总价的10%作为合同履约保证金，采购人收到履约保证金后10个工作日内支付80%合同款；中标人按照合同规定履行服务满2个月后，采购人支付20%合同尾款；合同期满后，若中标人完全履行了合同所规定的条款，经采购人验收合格后且无任何争议或遗留问题，在10个工作日内，采购人向中标人无息退还合同履约保证金。</w:t>
      </w:r>
    </w:p>
    <w:p w14:paraId="48329B82">
      <w:pPr>
        <w:pStyle w:val="5"/>
        <w:numPr>
          <w:ilvl w:val="0"/>
          <w:numId w:val="1"/>
        </w:numPr>
        <w:spacing w:line="360" w:lineRule="auto"/>
        <w:ind w:firstLineChars="0"/>
        <w:contextualSpacing/>
        <w:rPr>
          <w:b/>
          <w:color w:val="auto"/>
          <w:sz w:val="24"/>
          <w:szCs w:val="24"/>
          <w:highlight w:val="none"/>
        </w:rPr>
      </w:pPr>
      <w:r>
        <w:rPr>
          <w:b/>
          <w:color w:val="auto"/>
          <w:sz w:val="24"/>
          <w:szCs w:val="24"/>
          <w:highlight w:val="none"/>
        </w:rPr>
        <w:t>技术要求</w:t>
      </w:r>
    </w:p>
    <w:p w14:paraId="080C638E">
      <w:pPr>
        <w:spacing w:line="360" w:lineRule="auto"/>
        <w:contextualSpacing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1. 基本要求</w:t>
      </w:r>
    </w:p>
    <w:p w14:paraId="2E93D959">
      <w:pPr>
        <w:spacing w:line="360" w:lineRule="auto"/>
        <w:ind w:firstLine="480" w:firstLineChars="200"/>
        <w:contextualSpacing/>
        <w:outlineLvl w:val="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1.1网络租用</w:t>
      </w:r>
      <w:r>
        <w:rPr>
          <w:color w:val="auto"/>
          <w:sz w:val="24"/>
          <w:highlight w:val="none"/>
        </w:rPr>
        <w:t>需实现的功能或者目标</w:t>
      </w:r>
    </w:p>
    <w:p w14:paraId="6B8ADA54">
      <w:pPr>
        <w:spacing w:line="360" w:lineRule="auto"/>
        <w:ind w:firstLine="480" w:firstLineChars="200"/>
        <w:contextualSpacing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租用监测调度网络，支撑北京市广播电视监测中心广播电视监测、安全播出可视指挥调度、公共广播信号监测等业务正常开展。</w:t>
      </w:r>
    </w:p>
    <w:p w14:paraId="31998016">
      <w:pPr>
        <w:spacing w:line="360" w:lineRule="auto"/>
        <w:ind w:firstLine="480" w:firstLineChars="200"/>
        <w:contextualSpacing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1.2合同</w:t>
      </w:r>
      <w:r>
        <w:rPr>
          <w:color w:val="auto"/>
          <w:sz w:val="24"/>
          <w:highlight w:val="none"/>
        </w:rPr>
        <w:t>签订后</w:t>
      </w:r>
      <w:r>
        <w:rPr>
          <w:rFonts w:hint="eastAsia"/>
          <w:color w:val="auto"/>
          <w:sz w:val="24"/>
          <w:highlight w:val="none"/>
        </w:rPr>
        <w:t>5个</w:t>
      </w:r>
      <w:r>
        <w:rPr>
          <w:color w:val="auto"/>
          <w:sz w:val="24"/>
          <w:highlight w:val="none"/>
        </w:rPr>
        <w:t>工作日内完成</w:t>
      </w:r>
      <w:r>
        <w:rPr>
          <w:rFonts w:hint="eastAsia"/>
          <w:color w:val="auto"/>
          <w:sz w:val="24"/>
          <w:highlight w:val="none"/>
        </w:rPr>
        <w:t>全部</w:t>
      </w:r>
      <w:r>
        <w:rPr>
          <w:color w:val="auto"/>
          <w:sz w:val="24"/>
          <w:highlight w:val="none"/>
        </w:rPr>
        <w:t>链路开通</w:t>
      </w:r>
      <w:r>
        <w:rPr>
          <w:rFonts w:hint="eastAsia"/>
          <w:color w:val="auto"/>
          <w:sz w:val="24"/>
          <w:highlight w:val="none"/>
        </w:rPr>
        <w:t>。</w:t>
      </w:r>
    </w:p>
    <w:p w14:paraId="57E8E8AD">
      <w:pPr>
        <w:spacing w:line="360" w:lineRule="auto"/>
        <w:contextualSpacing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2. 服务内容及要求</w:t>
      </w:r>
    </w:p>
    <w:p w14:paraId="487E8E69">
      <w:pPr>
        <w:pStyle w:val="5"/>
        <w:adjustRightInd w:val="0"/>
        <w:spacing w:line="360" w:lineRule="auto"/>
        <w:ind w:firstLine="424" w:firstLineChars="177"/>
        <w:contextualSpacing/>
        <w:jc w:val="left"/>
        <w:outlineLvl w:val="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2.1</w:t>
      </w:r>
      <w:r>
        <w:rPr>
          <w:rFonts w:hint="eastAsia"/>
          <w:color w:val="auto"/>
          <w:sz w:val="24"/>
          <w:szCs w:val="24"/>
          <w:highlight w:val="none"/>
        </w:rPr>
        <w:tab/>
      </w:r>
      <w:r>
        <w:rPr>
          <w:rFonts w:hint="eastAsia"/>
          <w:color w:val="auto"/>
          <w:sz w:val="24"/>
          <w:szCs w:val="24"/>
          <w:highlight w:val="none"/>
        </w:rPr>
        <w:t>租用线路需满足的性能等要求</w:t>
      </w:r>
    </w:p>
    <w:p w14:paraId="06B3EF5E">
      <w:pPr>
        <w:widowControl/>
        <w:spacing w:line="360" w:lineRule="auto"/>
        <w:ind w:firstLine="480" w:firstLineChars="200"/>
        <w:contextualSpacing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（1）为广播电视监测、安全播出可视指挥调度提供不间断专网传输服务。</w:t>
      </w:r>
    </w:p>
    <w:p w14:paraId="3B1F4C8E">
      <w:pPr>
        <w:widowControl/>
        <w:spacing w:line="360" w:lineRule="auto"/>
        <w:ind w:firstLine="480" w:firstLineChars="200"/>
        <w:contextualSpacing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（2）主干光路和主要设备可用率大于99.99％以上,信号传输误码率、时延等应符合国家相关标准。</w:t>
      </w:r>
    </w:p>
    <w:p w14:paraId="64DDA478">
      <w:pPr>
        <w:widowControl/>
        <w:spacing w:line="360" w:lineRule="auto"/>
        <w:ind w:firstLine="480" w:firstLineChars="200"/>
        <w:contextualSpacing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（3）因外部原因导致专线调整、维修、变更的，应提前3个工作日通知监测中心。</w:t>
      </w:r>
    </w:p>
    <w:p w14:paraId="19623E4B">
      <w:pPr>
        <w:pStyle w:val="5"/>
        <w:adjustRightInd w:val="0"/>
        <w:spacing w:line="360" w:lineRule="auto"/>
        <w:ind w:firstLine="424" w:firstLineChars="177"/>
        <w:contextualSpacing/>
        <w:jc w:val="left"/>
        <w:outlineLvl w:val="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2.2 租用线路需满足的服务等要求</w:t>
      </w:r>
    </w:p>
    <w:p w14:paraId="614813CE">
      <w:pPr>
        <w:pStyle w:val="5"/>
        <w:adjustRightInd w:val="0"/>
        <w:spacing w:line="360" w:lineRule="auto"/>
        <w:ind w:firstLine="424" w:firstLineChars="177"/>
        <w:contextualSpacing/>
        <w:jc w:val="lef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（1）</w:t>
      </w:r>
      <w:r>
        <w:rPr>
          <w:rFonts w:hint="eastAsia"/>
          <w:color w:val="auto"/>
          <w:sz w:val="24"/>
          <w:szCs w:val="24"/>
          <w:highlight w:val="none"/>
        </w:rPr>
        <w:t>投标人应提供7×24热线人工值守以及响应电话，7×24全天候技术支持响应，当设备出现故障时，采购人在任何时候可以得到及时响应和故障及时解决。</w:t>
      </w:r>
    </w:p>
    <w:p w14:paraId="5A2DC104">
      <w:pPr>
        <w:pStyle w:val="5"/>
        <w:adjustRightInd w:val="0"/>
        <w:spacing w:line="360" w:lineRule="auto"/>
        <w:ind w:firstLine="424" w:firstLineChars="177"/>
        <w:contextualSpacing/>
        <w:jc w:val="lef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（</w:t>
      </w:r>
      <w:r>
        <w:rPr>
          <w:color w:val="auto"/>
          <w:sz w:val="24"/>
          <w:szCs w:val="24"/>
          <w:highlight w:val="none"/>
        </w:rPr>
        <w:t>2</w:t>
      </w:r>
      <w:r>
        <w:rPr>
          <w:rFonts w:hint="eastAsia"/>
          <w:color w:val="auto"/>
          <w:sz w:val="24"/>
          <w:szCs w:val="24"/>
          <w:highlight w:val="none"/>
        </w:rPr>
        <w:t>）巡检维护</w:t>
      </w:r>
    </w:p>
    <w:p w14:paraId="25F99503">
      <w:pPr>
        <w:pStyle w:val="5"/>
        <w:adjustRightInd w:val="0"/>
        <w:spacing w:line="360" w:lineRule="auto"/>
        <w:ind w:firstLine="424" w:firstLineChars="177"/>
        <w:contextualSpacing/>
        <w:jc w:val="lef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每季度对广播电视监测、安全播出可视指挥调度专网进行巡检。包括对光路电路、传输线路的运行状况进行检查，巡检完成后向监测中心提交巡检报告，内容包括：巡检内容概述、网络保障情况、故障处理情况等。</w:t>
      </w:r>
    </w:p>
    <w:p w14:paraId="5C67E37A">
      <w:pPr>
        <w:pStyle w:val="5"/>
        <w:adjustRightInd w:val="0"/>
        <w:spacing w:line="360" w:lineRule="auto"/>
        <w:ind w:firstLine="424" w:firstLineChars="177"/>
        <w:contextualSpacing/>
        <w:jc w:val="left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（3）应急处置</w:t>
      </w:r>
    </w:p>
    <w:p w14:paraId="1BE63A9C">
      <w:pPr>
        <w:pStyle w:val="5"/>
        <w:adjustRightInd w:val="0"/>
        <w:spacing w:line="360" w:lineRule="auto"/>
        <w:ind w:firstLine="424" w:firstLineChars="177"/>
        <w:contextualSpacing/>
        <w:jc w:val="left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突发情况造成专线中断，须在2小时内确定故障点并到达事故现场，4小时内恢复专线传输，及时报告监测中心并在2个工作日内向监测中心提交详细故障处理报告。</w:t>
      </w:r>
    </w:p>
    <w:p w14:paraId="30F0ACFB">
      <w:pPr>
        <w:widowControl/>
        <w:spacing w:line="360" w:lineRule="auto"/>
        <w:ind w:firstLine="480" w:firstLineChars="200"/>
        <w:contextualSpacing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2.</w:t>
      </w:r>
      <w:r>
        <w:rPr>
          <w:rFonts w:hint="eastAsia"/>
          <w:color w:val="auto"/>
          <w:sz w:val="24"/>
          <w:highlight w:val="none"/>
        </w:rPr>
        <w:t>3</w:t>
      </w:r>
      <w:r>
        <w:rPr>
          <w:color w:val="auto"/>
          <w:sz w:val="24"/>
          <w:highlight w:val="none"/>
        </w:rPr>
        <w:t>为落实政府采购政策需满足的要求</w:t>
      </w:r>
    </w:p>
    <w:p w14:paraId="7F0C3448">
      <w:pPr>
        <w:widowControl/>
        <w:spacing w:line="360" w:lineRule="auto"/>
        <w:ind w:firstLine="480" w:firstLineChars="200"/>
        <w:contextualSpacing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不涉及。</w:t>
      </w:r>
    </w:p>
    <w:p w14:paraId="4320AB6B">
      <w:pPr>
        <w:widowControl/>
        <w:spacing w:line="360" w:lineRule="auto"/>
        <w:ind w:firstLine="480" w:firstLineChars="200"/>
        <w:contextualSpacing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2.</w:t>
      </w:r>
      <w:r>
        <w:rPr>
          <w:color w:val="auto"/>
          <w:sz w:val="24"/>
          <w:highlight w:val="none"/>
        </w:rPr>
        <w:t>4</w:t>
      </w:r>
      <w:r>
        <w:rPr>
          <w:rFonts w:hint="eastAsia"/>
          <w:color w:val="auto"/>
          <w:sz w:val="24"/>
          <w:highlight w:val="none"/>
        </w:rPr>
        <w:t>线路租用的其他服务要求</w:t>
      </w:r>
    </w:p>
    <w:p w14:paraId="09B03A79">
      <w:pPr>
        <w:widowControl/>
        <w:spacing w:line="360" w:lineRule="auto"/>
        <w:ind w:firstLine="480" w:firstLineChars="200"/>
        <w:contextualSpacing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（1）项目实施团队要求</w:t>
      </w:r>
    </w:p>
    <w:p w14:paraId="45C6C298">
      <w:pPr>
        <w:pStyle w:val="5"/>
        <w:adjustRightInd w:val="0"/>
        <w:spacing w:line="360" w:lineRule="auto"/>
        <w:ind w:firstLine="424" w:firstLineChars="177"/>
        <w:contextualSpacing/>
        <w:jc w:val="left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投标人应为本项目配备不少于2人的维护团队，负责定期</w:t>
      </w:r>
      <w:r>
        <w:rPr>
          <w:color w:val="auto"/>
          <w:sz w:val="24"/>
          <w:highlight w:val="none"/>
        </w:rPr>
        <w:t>对网络设施进行维护。</w:t>
      </w:r>
      <w:r>
        <w:rPr>
          <w:rFonts w:hint="eastAsia"/>
          <w:color w:val="auto"/>
          <w:sz w:val="24"/>
          <w:highlight w:val="none"/>
        </w:rPr>
        <w:t>团队成员具备2年以上专网维护工作经验，以及国家主管部门颁发的网络或通信专业中级</w:t>
      </w:r>
      <w:r>
        <w:rPr>
          <w:color w:val="auto"/>
          <w:sz w:val="24"/>
          <w:highlight w:val="none"/>
        </w:rPr>
        <w:t xml:space="preserve"> (</w:t>
      </w:r>
      <w:r>
        <w:rPr>
          <w:rFonts w:hint="eastAsia"/>
          <w:color w:val="auto"/>
          <w:sz w:val="24"/>
          <w:highlight w:val="none"/>
        </w:rPr>
        <w:t>含</w:t>
      </w:r>
      <w:r>
        <w:rPr>
          <w:color w:val="auto"/>
          <w:sz w:val="24"/>
          <w:highlight w:val="none"/>
        </w:rPr>
        <w:t>)</w:t>
      </w:r>
      <w:r>
        <w:rPr>
          <w:rFonts w:hint="eastAsia"/>
          <w:color w:val="auto"/>
          <w:sz w:val="24"/>
          <w:highlight w:val="none"/>
        </w:rPr>
        <w:t>以上工程师资格，熟悉PTN网络，经验丰富具备维护技能；</w:t>
      </w:r>
      <w:bookmarkStart w:id="1" w:name="_GoBack"/>
      <w:bookmarkEnd w:id="1"/>
      <w:r>
        <w:rPr>
          <w:rFonts w:hint="eastAsia"/>
          <w:color w:val="auto"/>
          <w:sz w:val="24"/>
          <w:highlight w:val="none"/>
        </w:rPr>
        <w:t>并派专人负责售后服务。</w:t>
      </w:r>
    </w:p>
    <w:p w14:paraId="2D2DD775">
      <w:pPr>
        <w:pStyle w:val="5"/>
        <w:adjustRightInd w:val="0"/>
        <w:spacing w:line="360" w:lineRule="auto"/>
        <w:ind w:firstLine="424" w:firstLineChars="177"/>
        <w:contextualSpacing/>
        <w:jc w:val="left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★提供不少于2人的</w:t>
      </w:r>
      <w:r>
        <w:rPr>
          <w:color w:val="auto"/>
          <w:sz w:val="24"/>
          <w:highlight w:val="none"/>
        </w:rPr>
        <w:t>5*8小时</w:t>
      </w:r>
      <w:r>
        <w:rPr>
          <w:rFonts w:hint="eastAsia"/>
          <w:color w:val="auto"/>
          <w:sz w:val="24"/>
          <w:highlight w:val="none"/>
        </w:rPr>
        <w:t>现场技术支持和服务保障机制，接收网络报障，</w:t>
      </w:r>
      <w:r>
        <w:rPr>
          <w:color w:val="auto"/>
          <w:sz w:val="24"/>
          <w:highlight w:val="none"/>
        </w:rPr>
        <w:t>协调</w:t>
      </w:r>
      <w:r>
        <w:rPr>
          <w:rFonts w:hint="eastAsia"/>
          <w:color w:val="auto"/>
          <w:sz w:val="24"/>
          <w:highlight w:val="none"/>
        </w:rPr>
        <w:t>排障，确保监测调度网络畅通。投标人须出具承诺函，格式自拟、加盖公章。</w:t>
      </w:r>
    </w:p>
    <w:p w14:paraId="73124B22">
      <w:pPr>
        <w:pStyle w:val="5"/>
        <w:adjustRightInd w:val="0"/>
        <w:spacing w:line="360" w:lineRule="auto"/>
        <w:ind w:firstLine="424" w:firstLineChars="177"/>
        <w:contextualSpacing/>
        <w:jc w:val="left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（2）投标人提供《项目需求分析》《项目服务方案》《运行维护方案》《应急预案》</w:t>
      </w:r>
    </w:p>
    <w:p w14:paraId="08516DA4">
      <w:pPr>
        <w:pStyle w:val="5"/>
        <w:adjustRightInd w:val="0"/>
        <w:spacing w:line="360" w:lineRule="auto"/>
        <w:ind w:firstLine="664" w:firstLineChars="277"/>
        <w:contextualSpacing/>
        <w:jc w:val="left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1）《项目需求分析》内容应包括</w:t>
      </w:r>
      <w:r>
        <w:rPr>
          <w:rFonts w:hint="eastAsia" w:ascii="宋体" w:hAnsi="宋体" w:cs="宋体"/>
          <w:color w:val="auto"/>
          <w:sz w:val="24"/>
          <w:highlight w:val="none"/>
        </w:rPr>
        <w:t>业务内容理解、网络需求</w:t>
      </w:r>
      <w:r>
        <w:rPr>
          <w:rFonts w:ascii="宋体" w:hAnsi="宋体" w:cs="宋体"/>
          <w:color w:val="auto"/>
          <w:sz w:val="24"/>
          <w:highlight w:val="none"/>
        </w:rPr>
        <w:t>理解</w:t>
      </w:r>
      <w:r>
        <w:rPr>
          <w:rFonts w:hint="eastAsia" w:ascii="宋体" w:hAnsi="宋体" w:cs="宋体"/>
          <w:color w:val="auto"/>
          <w:sz w:val="24"/>
          <w:highlight w:val="none"/>
        </w:rPr>
        <w:t>、</w:t>
      </w:r>
      <w:r>
        <w:rPr>
          <w:rFonts w:ascii="宋体" w:hAnsi="宋体" w:cs="宋体"/>
          <w:color w:val="auto"/>
          <w:sz w:val="24"/>
          <w:highlight w:val="none"/>
        </w:rPr>
        <w:t>重难点分析等</w:t>
      </w:r>
      <w:r>
        <w:rPr>
          <w:rFonts w:hint="eastAsia" w:ascii="宋体" w:hAnsi="宋体" w:cs="宋体"/>
          <w:color w:val="auto"/>
          <w:sz w:val="24"/>
          <w:highlight w:val="none"/>
        </w:rPr>
        <w:t>内容。</w:t>
      </w:r>
    </w:p>
    <w:p w14:paraId="22BA4FAA">
      <w:pPr>
        <w:pStyle w:val="5"/>
        <w:adjustRightInd w:val="0"/>
        <w:spacing w:line="360" w:lineRule="auto"/>
        <w:ind w:firstLine="664" w:firstLineChars="277"/>
        <w:contextualSpacing/>
        <w:jc w:val="left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2）《项目服务方案》内容应包括</w:t>
      </w:r>
      <w:r>
        <w:rPr>
          <w:rFonts w:hint="eastAsia"/>
          <w:color w:val="auto"/>
          <w:sz w:val="24"/>
          <w:highlight w:val="none"/>
        </w:rPr>
        <w:t>技术</w:t>
      </w:r>
      <w:r>
        <w:rPr>
          <w:color w:val="auto"/>
          <w:sz w:val="24"/>
          <w:highlight w:val="none"/>
        </w:rPr>
        <w:t>路线及</w:t>
      </w:r>
      <w:r>
        <w:rPr>
          <w:rFonts w:hint="eastAsia"/>
          <w:color w:val="auto"/>
          <w:sz w:val="24"/>
          <w:highlight w:val="none"/>
        </w:rPr>
        <w:t>组网方案、网络带宽、接入方式、备份网络的拓扑规划等内容。</w:t>
      </w:r>
    </w:p>
    <w:p w14:paraId="26304A13">
      <w:pPr>
        <w:pStyle w:val="5"/>
        <w:adjustRightInd w:val="0"/>
        <w:spacing w:line="360" w:lineRule="auto"/>
        <w:ind w:firstLine="664" w:firstLineChars="277"/>
        <w:contextualSpacing/>
        <w:jc w:val="left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3）《运行维护方案》内容应包括对光路电路等传输线路的运行状况的维护内容、维护方式、维护周期、维护团队</w:t>
      </w:r>
      <w:r>
        <w:rPr>
          <w:rFonts w:hint="eastAsia"/>
          <w:color w:val="auto"/>
          <w:sz w:val="24"/>
          <w:highlight w:val="none"/>
        </w:rPr>
        <w:t>及物资保障</w:t>
      </w:r>
      <w:r>
        <w:rPr>
          <w:rFonts w:hint="eastAsia"/>
          <w:color w:val="auto"/>
          <w:sz w:val="24"/>
          <w:highlight w:val="none"/>
        </w:rPr>
        <w:t>等。</w:t>
      </w:r>
    </w:p>
    <w:p w14:paraId="780F497E">
      <w:pPr>
        <w:pStyle w:val="5"/>
        <w:adjustRightInd w:val="0"/>
        <w:spacing w:line="360" w:lineRule="auto"/>
        <w:ind w:firstLine="664" w:firstLineChars="277"/>
        <w:contextualSpacing/>
        <w:jc w:val="left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4）《应急预案》内容包括风险分析、应对分析、响应速度、处置团队</w:t>
      </w:r>
      <w:r>
        <w:rPr>
          <w:rFonts w:hint="eastAsia"/>
          <w:color w:val="auto"/>
          <w:sz w:val="24"/>
          <w:highlight w:val="none"/>
        </w:rPr>
        <w:t>及</w:t>
      </w:r>
      <w:r>
        <w:rPr>
          <w:color w:val="auto"/>
          <w:sz w:val="24"/>
          <w:highlight w:val="none"/>
        </w:rPr>
        <w:t>保障经验</w:t>
      </w:r>
      <w:r>
        <w:rPr>
          <w:rFonts w:hint="eastAsia"/>
          <w:color w:val="auto"/>
          <w:sz w:val="24"/>
          <w:highlight w:val="none"/>
        </w:rPr>
        <w:t>等。</w:t>
      </w:r>
    </w:p>
    <w:p w14:paraId="7373857D">
      <w:pPr>
        <w:spacing w:line="360" w:lineRule="auto"/>
        <w:contextualSpacing/>
        <w:rPr>
          <w:i/>
          <w:iCs/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3. 验收标准</w:t>
      </w:r>
    </w:p>
    <w:p w14:paraId="02B035B2">
      <w:pPr>
        <w:widowControl/>
        <w:spacing w:line="360" w:lineRule="auto"/>
        <w:ind w:firstLine="482"/>
        <w:contextualSpacing/>
        <w:rPr>
          <w:rFonts w:ascii="Calibri" w:hAnsi="Calibri"/>
          <w:color w:val="auto"/>
          <w:sz w:val="24"/>
          <w:szCs w:val="22"/>
          <w:highlight w:val="none"/>
        </w:rPr>
      </w:pPr>
      <w:r>
        <w:rPr>
          <w:rFonts w:hint="eastAsia" w:ascii="Calibri" w:hAnsi="Calibri"/>
          <w:color w:val="auto"/>
          <w:sz w:val="24"/>
          <w:szCs w:val="22"/>
          <w:highlight w:val="none"/>
        </w:rPr>
        <w:t>1.投标人提供的网络资源符合招标文件要求。</w:t>
      </w:r>
    </w:p>
    <w:p w14:paraId="41609E18">
      <w:pPr>
        <w:widowControl/>
        <w:spacing w:line="360" w:lineRule="auto"/>
        <w:ind w:firstLine="482"/>
        <w:contextualSpacing/>
        <w:rPr>
          <w:rFonts w:ascii="Calibri" w:hAnsi="Calibri"/>
          <w:color w:val="auto"/>
          <w:sz w:val="24"/>
          <w:szCs w:val="22"/>
          <w:highlight w:val="none"/>
        </w:rPr>
      </w:pPr>
      <w:r>
        <w:rPr>
          <w:rFonts w:hint="eastAsia" w:ascii="Calibri" w:hAnsi="Calibri"/>
          <w:color w:val="auto"/>
          <w:sz w:val="24"/>
          <w:szCs w:val="22"/>
          <w:highlight w:val="none"/>
        </w:rPr>
        <w:t>2.服务期期满。</w:t>
      </w:r>
    </w:p>
    <w:p w14:paraId="0808D775">
      <w:pPr>
        <w:widowControl/>
        <w:spacing w:line="360" w:lineRule="auto"/>
        <w:ind w:firstLine="482"/>
        <w:contextualSpacing/>
        <w:rPr>
          <w:rFonts w:ascii="Calibri" w:hAnsi="Calibri"/>
          <w:color w:val="auto"/>
          <w:sz w:val="24"/>
          <w:szCs w:val="22"/>
          <w:highlight w:val="none"/>
        </w:rPr>
      </w:pPr>
      <w:r>
        <w:rPr>
          <w:rFonts w:hint="eastAsia" w:ascii="Calibri" w:hAnsi="Calibri"/>
          <w:color w:val="auto"/>
          <w:sz w:val="24"/>
          <w:szCs w:val="22"/>
          <w:highlight w:val="none"/>
        </w:rPr>
        <w:t>3.相关报告齐全。</w:t>
      </w:r>
    </w:p>
    <w:p w14:paraId="53394869">
      <w:pPr>
        <w:widowControl/>
        <w:jc w:val="left"/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51098"/>
    <w:multiLevelType w:val="multilevel"/>
    <w:tmpl w:val="13851098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67C98"/>
    <w:rsid w:val="3B96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2025-06-19T09:56:00Z</dcterms:created>
  <dc:creator>卓</dc:creator>
  <cp:lastModifiedBy>卓</cp:lastModifiedBy>
  <dcterms:modified xsi:type="dcterms:W3CDTF">2025-06-19T09:58:04Z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B1385D0B7CCC45AB8BDBC5E2FAEE4ADE_11</vt:lpwstr>
  </property>
  <property fmtid="{D5CDD505-2E9C-101B-9397-08002B2CF9AE}" pid="4" name="KSOTemplateDocerSaveRecord">
    <vt:lpwstr>eyJoZGlkIjoiNTQ2YWU4ZmVkMTg2MmRlOGU2ZWVkODQzZWU5OTBiZDAiLCJ1c2VySWQiOiI1NDQ3NjE0MjMifQ==</vt:lpwstr>
  </property>
</Properties>
</file>