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D5475">
      <w:pPr>
        <w:jc w:val="center"/>
        <w:rPr>
          <w:rFonts w:ascii="方正小标宋简体" w:hAnsi="方正小标宋简体" w:eastAsia="方正小标宋简体" w:cs="宋体"/>
          <w:kern w:val="0"/>
          <w:sz w:val="36"/>
          <w:szCs w:val="36"/>
        </w:rPr>
      </w:pPr>
      <w:r>
        <w:rPr>
          <w:rFonts w:hint="eastAsia" w:ascii="方正小标宋简体" w:hAnsi="方正小标宋简体" w:eastAsia="方正小标宋简体" w:cs="宋体"/>
          <w:kern w:val="0"/>
          <w:sz w:val="36"/>
          <w:szCs w:val="36"/>
        </w:rPr>
        <w:t>采购需求</w:t>
      </w:r>
    </w:p>
    <w:p w14:paraId="4B3A15ED">
      <w:pPr>
        <w:jc w:val="center"/>
        <w:rPr>
          <w:rFonts w:hint="eastAsia" w:ascii="黑体" w:hAnsi="宋体" w:eastAsia="黑体" w:cs="宋体"/>
          <w:kern w:val="0"/>
          <w:sz w:val="32"/>
          <w:szCs w:val="32"/>
        </w:rPr>
      </w:pPr>
    </w:p>
    <w:p w14:paraId="0D5A8615">
      <w:pPr>
        <w:spacing w:line="360" w:lineRule="auto"/>
        <w:contextualSpacing/>
        <w:rPr>
          <w:sz w:val="24"/>
        </w:rPr>
      </w:pPr>
    </w:p>
    <w:p w14:paraId="284FF6D8">
      <w:pPr>
        <w:pStyle w:val="5"/>
        <w:numPr>
          <w:ilvl w:val="0"/>
          <w:numId w:val="0"/>
        </w:numPr>
        <w:tabs>
          <w:tab w:val="left" w:pos="4941"/>
        </w:tabs>
        <w:spacing w:line="360" w:lineRule="auto"/>
        <w:ind w:left="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14:paraId="38F6F37A">
      <w:pPr>
        <w:spacing w:line="360" w:lineRule="auto"/>
        <w:contextualSpacing/>
        <w:rPr>
          <w:bCs/>
          <w:sz w:val="24"/>
        </w:rPr>
      </w:pPr>
      <w:r>
        <w:rPr>
          <w:bCs/>
          <w:sz w:val="24"/>
        </w:rPr>
        <w:t>1. 采购标的（货物需求一览表或简要服务内容及数量）</w:t>
      </w:r>
    </w:p>
    <w:tbl>
      <w:tblPr>
        <w:tblStyle w:val="3"/>
        <w:tblW w:w="0" w:type="auto"/>
        <w:tblInd w:w="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Layout w:type="fixed"/>
        <w:tblCellMar>
          <w:top w:w="0" w:type="dxa"/>
          <w:left w:w="108" w:type="dxa"/>
          <w:bottom w:w="0" w:type="dxa"/>
          <w:right w:w="108" w:type="dxa"/>
        </w:tblCellMar>
      </w:tblPr>
      <w:tblGrid>
        <w:gridCol w:w="1012"/>
        <w:gridCol w:w="2197"/>
        <w:gridCol w:w="1012"/>
        <w:gridCol w:w="1012"/>
        <w:gridCol w:w="2451"/>
        <w:gridCol w:w="2451"/>
      </w:tblGrid>
      <w:tr w14:paraId="141C7EF8">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1012" w:type="dxa"/>
            <w:noWrap w:val="0"/>
            <w:vAlign w:val="center"/>
          </w:tcPr>
          <w:p w14:paraId="4E54DA97">
            <w:pPr>
              <w:jc w:val="center"/>
            </w:pPr>
            <w:r>
              <w:rPr>
                <w:b/>
                <w:bCs/>
              </w:rPr>
              <w:t>序号</w:t>
            </w:r>
          </w:p>
        </w:tc>
        <w:tc>
          <w:tcPr>
            <w:tcW w:w="2197" w:type="dxa"/>
            <w:noWrap w:val="0"/>
            <w:vAlign w:val="center"/>
          </w:tcPr>
          <w:p w14:paraId="099FCD94">
            <w:pPr>
              <w:jc w:val="center"/>
            </w:pPr>
            <w:r>
              <w:rPr>
                <w:b/>
                <w:bCs/>
              </w:rPr>
              <w:t>货物或服务名称</w:t>
            </w:r>
          </w:p>
        </w:tc>
        <w:tc>
          <w:tcPr>
            <w:tcW w:w="1012" w:type="dxa"/>
            <w:noWrap w:val="0"/>
            <w:vAlign w:val="center"/>
          </w:tcPr>
          <w:p w14:paraId="186D49CE">
            <w:pPr>
              <w:jc w:val="center"/>
            </w:pPr>
            <w:r>
              <w:rPr>
                <w:b/>
                <w:bCs/>
              </w:rPr>
              <w:t>数量</w:t>
            </w:r>
          </w:p>
        </w:tc>
        <w:tc>
          <w:tcPr>
            <w:tcW w:w="1012" w:type="dxa"/>
            <w:noWrap w:val="0"/>
            <w:vAlign w:val="center"/>
          </w:tcPr>
          <w:p w14:paraId="1621EF18">
            <w:pPr>
              <w:jc w:val="center"/>
            </w:pPr>
            <w:r>
              <w:rPr>
                <w:b/>
                <w:bCs/>
              </w:rPr>
              <w:t>单位</w:t>
            </w:r>
          </w:p>
        </w:tc>
        <w:tc>
          <w:tcPr>
            <w:tcW w:w="2451" w:type="dxa"/>
            <w:noWrap w:val="0"/>
            <w:vAlign w:val="center"/>
          </w:tcPr>
          <w:p w14:paraId="6FBF8D54">
            <w:pPr>
              <w:jc w:val="center"/>
            </w:pPr>
            <w:r>
              <w:rPr>
                <w:b/>
                <w:bCs/>
              </w:rPr>
              <w:t>备注（核心产品）</w:t>
            </w:r>
          </w:p>
        </w:tc>
        <w:tc>
          <w:tcPr>
            <w:tcW w:w="2451" w:type="dxa"/>
            <w:noWrap w:val="0"/>
            <w:vAlign w:val="center"/>
          </w:tcPr>
          <w:p w14:paraId="0D2841A4">
            <w:pPr>
              <w:jc w:val="center"/>
            </w:pPr>
            <w:r>
              <w:rPr>
                <w:b/>
                <w:bCs/>
              </w:rPr>
              <w:t>是否接受进口产品</w:t>
            </w:r>
          </w:p>
        </w:tc>
      </w:tr>
      <w:tr w14:paraId="194544C4">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1012" w:type="dxa"/>
            <w:noWrap w:val="0"/>
            <w:vAlign w:val="center"/>
          </w:tcPr>
          <w:p w14:paraId="7704EC1B">
            <w:pPr>
              <w:jc w:val="center"/>
            </w:pPr>
            <w:r>
              <w:t>1</w:t>
            </w:r>
          </w:p>
        </w:tc>
        <w:tc>
          <w:tcPr>
            <w:tcW w:w="2197" w:type="dxa"/>
            <w:noWrap w:val="0"/>
            <w:vAlign w:val="center"/>
          </w:tcPr>
          <w:p w14:paraId="3151A593">
            <w:pPr>
              <w:jc w:val="center"/>
            </w:pPr>
            <w:r>
              <w:t>超融合一体机</w:t>
            </w:r>
          </w:p>
        </w:tc>
        <w:tc>
          <w:tcPr>
            <w:tcW w:w="1012" w:type="dxa"/>
            <w:noWrap w:val="0"/>
            <w:vAlign w:val="center"/>
          </w:tcPr>
          <w:p w14:paraId="60C1F957">
            <w:pPr>
              <w:jc w:val="center"/>
            </w:pPr>
            <w:r>
              <w:t>6</w:t>
            </w:r>
          </w:p>
        </w:tc>
        <w:tc>
          <w:tcPr>
            <w:tcW w:w="1012" w:type="dxa"/>
            <w:noWrap w:val="0"/>
            <w:vAlign w:val="center"/>
          </w:tcPr>
          <w:p w14:paraId="5C02F31F">
            <w:pPr>
              <w:jc w:val="center"/>
            </w:pPr>
            <w:r>
              <w:t>台</w:t>
            </w:r>
          </w:p>
        </w:tc>
        <w:tc>
          <w:tcPr>
            <w:tcW w:w="2451" w:type="dxa"/>
            <w:noWrap w:val="0"/>
            <w:vAlign w:val="center"/>
          </w:tcPr>
          <w:p w14:paraId="2AFEB89F">
            <w:pPr>
              <w:jc w:val="center"/>
            </w:pPr>
            <w:r>
              <w:rPr>
                <w:rFonts w:hint="eastAsia"/>
              </w:rPr>
              <w:t>否</w:t>
            </w:r>
          </w:p>
        </w:tc>
        <w:tc>
          <w:tcPr>
            <w:tcW w:w="2451" w:type="dxa"/>
            <w:noWrap w:val="0"/>
            <w:vAlign w:val="center"/>
          </w:tcPr>
          <w:p w14:paraId="6CDFDAA0">
            <w:pPr>
              <w:jc w:val="center"/>
            </w:pPr>
            <w:r>
              <w:t>否</w:t>
            </w:r>
          </w:p>
        </w:tc>
      </w:tr>
      <w:tr w14:paraId="1D349109">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1012" w:type="dxa"/>
            <w:noWrap w:val="0"/>
            <w:vAlign w:val="center"/>
          </w:tcPr>
          <w:p w14:paraId="0C2F911B">
            <w:pPr>
              <w:jc w:val="center"/>
            </w:pPr>
            <w:r>
              <w:t>2</w:t>
            </w:r>
          </w:p>
        </w:tc>
        <w:tc>
          <w:tcPr>
            <w:tcW w:w="2197" w:type="dxa"/>
            <w:noWrap w:val="0"/>
            <w:vAlign w:val="center"/>
          </w:tcPr>
          <w:p w14:paraId="39D75F82">
            <w:pPr>
              <w:jc w:val="center"/>
            </w:pPr>
            <w:r>
              <w:t>服务器</w:t>
            </w:r>
          </w:p>
        </w:tc>
        <w:tc>
          <w:tcPr>
            <w:tcW w:w="1012" w:type="dxa"/>
            <w:noWrap w:val="0"/>
            <w:vAlign w:val="center"/>
          </w:tcPr>
          <w:p w14:paraId="75271C8F">
            <w:pPr>
              <w:jc w:val="center"/>
              <w:rPr>
                <w:rFonts w:hint="eastAsia" w:eastAsia="微软雅黑"/>
              </w:rPr>
            </w:pPr>
            <w:r>
              <w:rPr>
                <w:rFonts w:hint="eastAsia"/>
              </w:rPr>
              <w:t>4</w:t>
            </w:r>
          </w:p>
        </w:tc>
        <w:tc>
          <w:tcPr>
            <w:tcW w:w="1012" w:type="dxa"/>
            <w:noWrap w:val="0"/>
            <w:vAlign w:val="center"/>
          </w:tcPr>
          <w:p w14:paraId="5DDB6BB1">
            <w:pPr>
              <w:jc w:val="center"/>
            </w:pPr>
            <w:r>
              <w:t>台</w:t>
            </w:r>
          </w:p>
        </w:tc>
        <w:tc>
          <w:tcPr>
            <w:tcW w:w="2451" w:type="dxa"/>
            <w:noWrap w:val="0"/>
            <w:vAlign w:val="center"/>
          </w:tcPr>
          <w:p w14:paraId="673446CA">
            <w:pPr>
              <w:jc w:val="center"/>
            </w:pPr>
            <w:r>
              <w:rPr>
                <w:rFonts w:hint="eastAsia"/>
              </w:rPr>
              <w:t>是</w:t>
            </w:r>
          </w:p>
        </w:tc>
        <w:tc>
          <w:tcPr>
            <w:tcW w:w="2451" w:type="dxa"/>
            <w:noWrap w:val="0"/>
            <w:vAlign w:val="center"/>
          </w:tcPr>
          <w:p w14:paraId="4F52DAEF">
            <w:pPr>
              <w:jc w:val="center"/>
            </w:pPr>
            <w:r>
              <w:t>否</w:t>
            </w:r>
          </w:p>
        </w:tc>
      </w:tr>
      <w:tr w14:paraId="0B4BFA2A">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1012" w:type="dxa"/>
            <w:noWrap w:val="0"/>
            <w:vAlign w:val="center"/>
          </w:tcPr>
          <w:p w14:paraId="174F3DB0">
            <w:pPr>
              <w:jc w:val="center"/>
              <w:rPr>
                <w:rFonts w:hint="eastAsia" w:eastAsia="微软雅黑"/>
              </w:rPr>
            </w:pPr>
            <w:r>
              <w:rPr>
                <w:rFonts w:hint="eastAsia"/>
              </w:rPr>
              <w:t>3</w:t>
            </w:r>
          </w:p>
        </w:tc>
        <w:tc>
          <w:tcPr>
            <w:tcW w:w="2197" w:type="dxa"/>
            <w:noWrap w:val="0"/>
            <w:vAlign w:val="center"/>
          </w:tcPr>
          <w:p w14:paraId="0D930BC1">
            <w:pPr>
              <w:jc w:val="center"/>
              <w:rPr>
                <w:rFonts w:eastAsia="微软雅黑"/>
              </w:rPr>
            </w:pPr>
            <w:r>
              <w:rPr>
                <w:rFonts w:hint="eastAsia"/>
              </w:rPr>
              <w:t>备份一体机</w:t>
            </w:r>
          </w:p>
        </w:tc>
        <w:tc>
          <w:tcPr>
            <w:tcW w:w="1012" w:type="dxa"/>
            <w:noWrap w:val="0"/>
            <w:vAlign w:val="center"/>
          </w:tcPr>
          <w:p w14:paraId="54114AA3">
            <w:pPr>
              <w:jc w:val="center"/>
              <w:rPr>
                <w:rFonts w:hint="eastAsia" w:eastAsia="微软雅黑"/>
              </w:rPr>
            </w:pPr>
            <w:r>
              <w:rPr>
                <w:rFonts w:hint="eastAsia"/>
              </w:rPr>
              <w:t>1</w:t>
            </w:r>
          </w:p>
        </w:tc>
        <w:tc>
          <w:tcPr>
            <w:tcW w:w="1012" w:type="dxa"/>
            <w:noWrap w:val="0"/>
            <w:vAlign w:val="center"/>
          </w:tcPr>
          <w:p w14:paraId="3C48B0E4">
            <w:pPr>
              <w:jc w:val="center"/>
              <w:rPr>
                <w:rFonts w:hint="eastAsia" w:eastAsia="微软雅黑"/>
              </w:rPr>
            </w:pPr>
            <w:r>
              <w:rPr>
                <w:rFonts w:hint="eastAsia"/>
              </w:rPr>
              <w:t>台</w:t>
            </w:r>
          </w:p>
        </w:tc>
        <w:tc>
          <w:tcPr>
            <w:tcW w:w="2451" w:type="dxa"/>
            <w:noWrap w:val="0"/>
            <w:vAlign w:val="center"/>
          </w:tcPr>
          <w:p w14:paraId="2141247A">
            <w:pPr>
              <w:jc w:val="center"/>
              <w:rPr>
                <w:rFonts w:hint="eastAsia" w:eastAsia="微软雅黑"/>
              </w:rPr>
            </w:pPr>
            <w:r>
              <w:rPr>
                <w:rFonts w:hint="eastAsia"/>
              </w:rPr>
              <w:t>否</w:t>
            </w:r>
          </w:p>
        </w:tc>
        <w:tc>
          <w:tcPr>
            <w:tcW w:w="2451" w:type="dxa"/>
            <w:noWrap w:val="0"/>
            <w:vAlign w:val="center"/>
          </w:tcPr>
          <w:p w14:paraId="5877D2A6">
            <w:pPr>
              <w:jc w:val="center"/>
              <w:rPr>
                <w:rFonts w:hint="eastAsia" w:eastAsia="微软雅黑"/>
              </w:rPr>
            </w:pPr>
            <w:r>
              <w:rPr>
                <w:rFonts w:hint="eastAsia"/>
              </w:rPr>
              <w:t>否</w:t>
            </w:r>
          </w:p>
        </w:tc>
      </w:tr>
    </w:tbl>
    <w:p w14:paraId="0E7FB0B3">
      <w:pPr>
        <w:spacing w:line="360" w:lineRule="auto"/>
        <w:contextualSpacing/>
        <w:rPr>
          <w:bCs/>
          <w:sz w:val="24"/>
        </w:rPr>
      </w:pPr>
    </w:p>
    <w:p w14:paraId="365B76E7">
      <w:pPr>
        <w:spacing w:line="360" w:lineRule="auto"/>
        <w:contextualSpacing/>
        <w:rPr>
          <w:bCs/>
          <w:sz w:val="24"/>
        </w:rPr>
      </w:pPr>
    </w:p>
    <w:p w14:paraId="197895CD">
      <w:pPr>
        <w:spacing w:line="360" w:lineRule="auto"/>
        <w:contextualSpacing/>
        <w:rPr>
          <w:bCs/>
          <w:sz w:val="24"/>
        </w:rPr>
      </w:pPr>
      <w:r>
        <w:rPr>
          <w:bCs/>
          <w:sz w:val="24"/>
        </w:rPr>
        <w:t>2. 项目背景/项目概述</w:t>
      </w:r>
    </w:p>
    <w:p w14:paraId="6D1BEB70">
      <w:pPr>
        <w:spacing w:line="360" w:lineRule="auto"/>
        <w:ind w:firstLine="482"/>
        <w:contextualSpacing/>
        <w:rPr>
          <w:bCs/>
          <w:sz w:val="24"/>
        </w:rPr>
      </w:pPr>
      <w:r>
        <w:rPr>
          <w:rFonts w:hint="eastAsia"/>
          <w:bCs/>
          <w:sz w:val="24"/>
          <w:lang w:eastAsia="zh"/>
        </w:rPr>
        <w:t>1）</w:t>
      </w:r>
      <w:r>
        <w:rPr>
          <w:rFonts w:hint="eastAsia"/>
          <w:bCs/>
          <w:sz w:val="24"/>
        </w:rPr>
        <w:t>购买6台</w:t>
      </w:r>
      <w:r>
        <w:rPr>
          <w:rFonts w:hint="eastAsia"/>
          <w:bCs/>
          <w:sz w:val="24"/>
          <w:lang w:eastAsia="zh"/>
        </w:rPr>
        <w:t>X86架构</w:t>
      </w:r>
      <w:r>
        <w:rPr>
          <w:rFonts w:hint="eastAsia"/>
          <w:bCs/>
          <w:sz w:val="24"/>
        </w:rPr>
        <w:t>超融合一体机，替</w:t>
      </w:r>
      <w:bookmarkStart w:id="6" w:name="_GoBack"/>
      <w:bookmarkEnd w:id="6"/>
      <w:r>
        <w:rPr>
          <w:rFonts w:hint="eastAsia"/>
          <w:bCs/>
          <w:sz w:val="24"/>
        </w:rPr>
        <w:t>换201</w:t>
      </w:r>
      <w:r>
        <w:rPr>
          <w:rFonts w:hint="eastAsia"/>
          <w:bCs/>
          <w:sz w:val="24"/>
          <w:lang w:eastAsia="zh"/>
        </w:rPr>
        <w:t>9</w:t>
      </w:r>
      <w:r>
        <w:rPr>
          <w:rFonts w:hint="eastAsia"/>
          <w:bCs/>
          <w:sz w:val="24"/>
        </w:rPr>
        <w:t>年购置的V</w:t>
      </w:r>
      <w:r>
        <w:rPr>
          <w:rFonts w:hint="eastAsia"/>
          <w:bCs/>
          <w:sz w:val="24"/>
          <w:lang w:eastAsia="zh"/>
        </w:rPr>
        <w:t>xRail</w:t>
      </w:r>
      <w:r>
        <w:rPr>
          <w:rFonts w:hint="eastAsia"/>
          <w:bCs/>
          <w:sz w:val="24"/>
        </w:rPr>
        <w:t>虚拟化集群，</w:t>
      </w:r>
      <w:r>
        <w:rPr>
          <w:rFonts w:hint="eastAsia"/>
          <w:bCs/>
          <w:sz w:val="24"/>
          <w:lang w:eastAsia="zh"/>
        </w:rPr>
        <w:t>完成所有虚拟机的迁移。新购置的超融合集群要具备</w:t>
      </w:r>
      <w:r>
        <w:rPr>
          <w:rFonts w:hint="eastAsia"/>
          <w:bCs/>
          <w:sz w:val="24"/>
        </w:rPr>
        <w:t>管理</w:t>
      </w:r>
      <w:r>
        <w:rPr>
          <w:rFonts w:hint="eastAsia"/>
          <w:bCs/>
          <w:sz w:val="24"/>
          <w:lang w:eastAsia="zh"/>
        </w:rPr>
        <w:t>全部虚拟化集群的能力，包括</w:t>
      </w:r>
      <w:r>
        <w:rPr>
          <w:rFonts w:hint="eastAsia"/>
          <w:bCs/>
          <w:sz w:val="24"/>
        </w:rPr>
        <w:t>对</w:t>
      </w:r>
      <w:r>
        <w:rPr>
          <w:rFonts w:hint="eastAsia"/>
          <w:bCs/>
          <w:sz w:val="24"/>
          <w:lang w:eastAsia="zh"/>
        </w:rPr>
        <w:t>学校近2年购入的</w:t>
      </w:r>
      <w:r>
        <w:rPr>
          <w:rFonts w:hint="eastAsia"/>
          <w:bCs/>
          <w:sz w:val="24"/>
        </w:rPr>
        <w:t>同构及异构的主流虚拟化平台</w:t>
      </w:r>
      <w:r>
        <w:rPr>
          <w:rFonts w:hint="eastAsia"/>
          <w:bCs/>
          <w:sz w:val="24"/>
          <w:lang w:eastAsia="zh"/>
        </w:rPr>
        <w:t>，并能</w:t>
      </w:r>
      <w:r>
        <w:rPr>
          <w:rFonts w:hint="eastAsia"/>
          <w:bCs/>
          <w:sz w:val="24"/>
        </w:rPr>
        <w:t>满足扩展智能算力计算需求，用于后续学校的模型推理工作；</w:t>
      </w:r>
      <w:r>
        <w:rPr>
          <w:rFonts w:hint="eastAsia"/>
          <w:bCs/>
          <w:sz w:val="24"/>
          <w:lang w:eastAsia="zh"/>
        </w:rPr>
        <w:t>集群的存储须</w:t>
      </w:r>
      <w:r>
        <w:rPr>
          <w:rFonts w:hint="eastAsia"/>
          <w:bCs/>
          <w:sz w:val="24"/>
        </w:rPr>
        <w:t>支持块存储、文件存储、对象存储等存储协议。本次购买的一体机需满足学校部署网络教育平台等业务时对共享存储的使用需要，并具备将智算应用过程中产生的半结构化存储文件，安全、高效地共享给学校其他人工智能平台使用的能力，确保数据的流畅流转与高效利用。本次购买的</w:t>
      </w:r>
      <w:r>
        <w:rPr>
          <w:rFonts w:ascii="宋体" w:hAnsi="宋体" w:cs="宋体"/>
          <w:sz w:val="24"/>
        </w:rPr>
        <w:t>超融合</w:t>
      </w:r>
      <w:r>
        <w:rPr>
          <w:rFonts w:hint="eastAsia" w:ascii="宋体" w:hAnsi="宋体" w:cs="宋体"/>
          <w:sz w:val="24"/>
        </w:rPr>
        <w:t>一体机支持资产定期盘查、认领</w:t>
      </w:r>
      <w:r>
        <w:rPr>
          <w:rFonts w:ascii="宋体" w:hAnsi="宋体" w:cs="宋体"/>
          <w:sz w:val="24"/>
        </w:rPr>
        <w:t>，并对接教育部</w:t>
      </w:r>
      <w:r>
        <w:rPr>
          <w:rFonts w:hint="eastAsia" w:ascii="宋体" w:hAnsi="宋体" w:cs="宋体"/>
          <w:sz w:val="24"/>
        </w:rPr>
        <w:t>教育网络安全平台</w:t>
      </w:r>
      <w:r>
        <w:rPr>
          <w:rFonts w:ascii="宋体" w:hAnsi="宋体" w:cs="宋体"/>
          <w:sz w:val="24"/>
        </w:rPr>
        <w:t>，随时监控超融合</w:t>
      </w:r>
      <w:r>
        <w:rPr>
          <w:rFonts w:hint="eastAsia" w:ascii="宋体" w:hAnsi="宋体" w:cs="宋体"/>
          <w:sz w:val="24"/>
        </w:rPr>
        <w:t>一体机</w:t>
      </w:r>
      <w:r>
        <w:rPr>
          <w:rFonts w:ascii="宋体" w:hAnsi="宋体" w:cs="宋体"/>
          <w:sz w:val="24"/>
        </w:rPr>
        <w:t>的安全状态，保障数据安全。</w:t>
      </w:r>
    </w:p>
    <w:p w14:paraId="48950A61">
      <w:pPr>
        <w:spacing w:line="360" w:lineRule="auto"/>
        <w:ind w:firstLine="482"/>
        <w:contextualSpacing/>
        <w:rPr>
          <w:rFonts w:hint="eastAsia"/>
          <w:bCs/>
          <w:sz w:val="24"/>
        </w:rPr>
      </w:pPr>
      <w:r>
        <w:rPr>
          <w:rFonts w:hint="eastAsia"/>
          <w:bCs/>
          <w:sz w:val="24"/>
          <w:lang w:val="en-US" w:eastAsia="zh-CN"/>
        </w:rPr>
        <w:t>2）</w:t>
      </w:r>
      <w:r>
        <w:rPr>
          <w:rFonts w:hint="eastAsia"/>
          <w:bCs/>
          <w:sz w:val="24"/>
        </w:rPr>
        <w:t>购置</w:t>
      </w:r>
      <w:r>
        <w:rPr>
          <w:rFonts w:hint="eastAsia"/>
          <w:bCs/>
          <w:sz w:val="24"/>
          <w:lang w:eastAsia="zh"/>
        </w:rPr>
        <w:t>4</w:t>
      </w:r>
      <w:r>
        <w:rPr>
          <w:rFonts w:hint="eastAsia"/>
          <w:bCs/>
          <w:sz w:val="24"/>
        </w:rPr>
        <w:t>台X86架构服务器，替换20</w:t>
      </w:r>
      <w:r>
        <w:rPr>
          <w:rFonts w:hint="eastAsia"/>
          <w:bCs/>
          <w:sz w:val="24"/>
          <w:lang w:eastAsia="zh"/>
        </w:rPr>
        <w:t>15</w:t>
      </w:r>
      <w:r>
        <w:rPr>
          <w:rFonts w:hint="eastAsia"/>
          <w:bCs/>
          <w:sz w:val="24"/>
        </w:rPr>
        <w:t>年购置的</w:t>
      </w:r>
      <w:r>
        <w:rPr>
          <w:rFonts w:hint="eastAsia"/>
          <w:bCs/>
          <w:sz w:val="24"/>
          <w:lang w:eastAsia="zh"/>
        </w:rPr>
        <w:t>4台</w:t>
      </w:r>
      <w:r>
        <w:rPr>
          <w:rFonts w:hint="eastAsia"/>
          <w:bCs/>
          <w:sz w:val="24"/>
        </w:rPr>
        <w:t>数据库服务器。</w:t>
      </w:r>
    </w:p>
    <w:p w14:paraId="62C82EEC">
      <w:pPr>
        <w:spacing w:line="360" w:lineRule="auto"/>
        <w:ind w:firstLine="482"/>
        <w:contextualSpacing/>
        <w:rPr>
          <w:bCs/>
          <w:sz w:val="24"/>
        </w:rPr>
      </w:pPr>
      <w:r>
        <w:rPr>
          <w:rFonts w:hint="eastAsia"/>
          <w:bCs/>
          <w:sz w:val="24"/>
          <w:lang w:val="en-US" w:eastAsia="zh-CN"/>
        </w:rPr>
        <w:t>3）</w:t>
      </w:r>
      <w:r>
        <w:rPr>
          <w:rFonts w:hint="eastAsia"/>
          <w:bCs/>
          <w:sz w:val="24"/>
        </w:rPr>
        <w:t>购置1台备份一体机，</w:t>
      </w:r>
      <w:r>
        <w:rPr>
          <w:rFonts w:hint="eastAsia"/>
          <w:bCs/>
          <w:sz w:val="24"/>
          <w:lang w:eastAsia="zh"/>
        </w:rPr>
        <w:t>实现对当前在用的所有虚拟机备份的需求，确保异常发生时业务系统的快速恢复。</w:t>
      </w:r>
    </w:p>
    <w:p w14:paraId="532506C5">
      <w:pPr>
        <w:pStyle w:val="5"/>
        <w:numPr>
          <w:ilvl w:val="0"/>
          <w:numId w:val="0"/>
        </w:numPr>
        <w:tabs>
          <w:tab w:val="left" w:pos="4941"/>
        </w:tabs>
        <w:spacing w:line="360" w:lineRule="auto"/>
        <w:ind w:left="0" w:firstLineChars="0"/>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14:paraId="74902F54">
      <w:pPr>
        <w:numPr>
          <w:ilvl w:val="0"/>
          <w:numId w:val="1"/>
        </w:numPr>
        <w:spacing w:line="360" w:lineRule="auto"/>
        <w:contextualSpacing/>
        <w:rPr>
          <w:sz w:val="24"/>
        </w:rPr>
      </w:pPr>
      <w:r>
        <w:rPr>
          <w:sz w:val="24"/>
        </w:rPr>
        <w:t>交付（实施）的时间（期限）和地点（范围）</w:t>
      </w:r>
    </w:p>
    <w:p w14:paraId="655AFB00">
      <w:pPr>
        <w:numPr>
          <w:ilvl w:val="1"/>
          <w:numId w:val="1"/>
        </w:numPr>
        <w:spacing w:line="360" w:lineRule="auto"/>
        <w:contextualSpacing/>
        <w:rPr>
          <w:rFonts w:hint="eastAsia"/>
          <w:iCs/>
          <w:sz w:val="24"/>
        </w:rPr>
      </w:pPr>
      <w:r>
        <w:rPr>
          <w:rFonts w:hint="eastAsia"/>
          <w:iCs/>
          <w:sz w:val="24"/>
        </w:rPr>
        <w:t>交货时间：签订合同后15个工作日内，</w:t>
      </w:r>
      <w:bookmarkStart w:id="0" w:name="OLE_LINK1"/>
      <w:r>
        <w:rPr>
          <w:rFonts w:hint="eastAsia"/>
          <w:iCs/>
          <w:sz w:val="24"/>
        </w:rPr>
        <w:t>中标</w:t>
      </w:r>
      <w:bookmarkEnd w:id="0"/>
      <w:r>
        <w:rPr>
          <w:rFonts w:hint="eastAsia"/>
          <w:iCs/>
          <w:sz w:val="24"/>
        </w:rPr>
        <w:t>人完成交货；</w:t>
      </w:r>
    </w:p>
    <w:p w14:paraId="3E798FC1">
      <w:pPr>
        <w:numPr>
          <w:ilvl w:val="1"/>
          <w:numId w:val="1"/>
        </w:numPr>
        <w:spacing w:line="360" w:lineRule="auto"/>
        <w:contextualSpacing/>
        <w:rPr>
          <w:rFonts w:hint="eastAsia"/>
          <w:iCs/>
          <w:sz w:val="24"/>
        </w:rPr>
      </w:pPr>
      <w:r>
        <w:rPr>
          <w:rFonts w:hint="eastAsia"/>
          <w:iCs/>
          <w:sz w:val="24"/>
        </w:rPr>
        <w:t>中标人须在交货后15个</w:t>
      </w:r>
      <w:r>
        <w:rPr>
          <w:rFonts w:hint="eastAsia"/>
          <w:iCs/>
          <w:sz w:val="24"/>
          <w:lang w:val="en-US" w:eastAsia="zh-CN"/>
        </w:rPr>
        <w:t>工作日</w:t>
      </w:r>
      <w:r>
        <w:rPr>
          <w:rFonts w:hint="eastAsia"/>
          <w:iCs/>
          <w:sz w:val="24"/>
        </w:rPr>
        <w:t>内完成设备安装、调试，1个月内完成产品使用培训工作。产品自调试完成并无故障运行1个月后，中标人可向采购人提出验收申请;</w:t>
      </w:r>
    </w:p>
    <w:p w14:paraId="22D15BD2">
      <w:pPr>
        <w:numPr>
          <w:ilvl w:val="1"/>
          <w:numId w:val="1"/>
        </w:numPr>
        <w:spacing w:line="360" w:lineRule="auto"/>
        <w:contextualSpacing/>
        <w:rPr>
          <w:rFonts w:hint="eastAsia"/>
          <w:iCs/>
          <w:sz w:val="24"/>
        </w:rPr>
      </w:pPr>
      <w:r>
        <w:rPr>
          <w:rFonts w:hint="eastAsia"/>
          <w:iCs/>
          <w:sz w:val="24"/>
        </w:rPr>
        <w:t>采购人在接到中标人提交验收的申请15个工作日内，组织验收并出具验收报告；</w:t>
      </w:r>
    </w:p>
    <w:p w14:paraId="70EC112C">
      <w:pPr>
        <w:numPr>
          <w:ilvl w:val="1"/>
          <w:numId w:val="1"/>
        </w:numPr>
        <w:spacing w:line="360" w:lineRule="auto"/>
        <w:contextualSpacing/>
        <w:rPr>
          <w:iCs/>
          <w:sz w:val="24"/>
        </w:rPr>
      </w:pPr>
      <w:r>
        <w:rPr>
          <w:rFonts w:hint="eastAsia"/>
          <w:iCs/>
          <w:sz w:val="24"/>
        </w:rPr>
        <w:t>交货地点：</w:t>
      </w:r>
      <w:r>
        <w:rPr>
          <w:rFonts w:hint="eastAsia"/>
          <w:iCs/>
          <w:sz w:val="24"/>
          <w:lang w:val="en-US" w:eastAsia="zh-CN"/>
        </w:rPr>
        <w:t xml:space="preserve">                 </w:t>
      </w:r>
      <w:r>
        <w:rPr>
          <w:rFonts w:hint="eastAsia"/>
          <w:iCs/>
          <w:sz w:val="24"/>
        </w:rPr>
        <w:t>采购人指定的位置。</w:t>
      </w:r>
    </w:p>
    <w:p w14:paraId="34AA4419">
      <w:pPr>
        <w:numPr>
          <w:ilvl w:val="0"/>
          <w:numId w:val="1"/>
        </w:numPr>
        <w:spacing w:line="360" w:lineRule="auto"/>
        <w:contextualSpacing/>
        <w:rPr>
          <w:sz w:val="24"/>
        </w:rPr>
      </w:pPr>
      <w:r>
        <w:rPr>
          <w:sz w:val="24"/>
        </w:rPr>
        <w:t>付款条件（进度和方式）</w:t>
      </w:r>
    </w:p>
    <w:p w14:paraId="1FD9F377">
      <w:pPr>
        <w:numPr>
          <w:ilvl w:val="1"/>
          <w:numId w:val="1"/>
        </w:numPr>
        <w:spacing w:line="360" w:lineRule="auto"/>
        <w:contextualSpacing/>
        <w:rPr>
          <w:rFonts w:hint="eastAsia"/>
          <w:bCs/>
          <w:sz w:val="24"/>
        </w:rPr>
      </w:pPr>
      <w:r>
        <w:rPr>
          <w:rFonts w:hint="eastAsia"/>
          <w:bCs/>
          <w:sz w:val="24"/>
        </w:rPr>
        <w:t>签订合同后7天内，卖方（中标人）向买方（采购人）提交履约保证金           元（大写</w:t>
      </w:r>
      <w:r>
        <w:rPr>
          <w:rFonts w:hint="eastAsia"/>
          <w:bCs/>
          <w:sz w:val="24"/>
          <w:u w:val="single"/>
        </w:rPr>
        <w:t xml:space="preserve">：             </w:t>
      </w:r>
      <w:r>
        <w:rPr>
          <w:rFonts w:hint="eastAsia"/>
          <w:bCs/>
          <w:sz w:val="24"/>
        </w:rPr>
        <w:t>元整），即合同总价5%；提交履约保证金后，采购人向中标人支付第一笔款</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元整），即合同总价60%；</w:t>
      </w:r>
    </w:p>
    <w:p w14:paraId="396B2BEA">
      <w:pPr>
        <w:numPr>
          <w:ilvl w:val="1"/>
          <w:numId w:val="1"/>
        </w:numPr>
        <w:spacing w:line="360" w:lineRule="auto"/>
        <w:contextualSpacing/>
        <w:rPr>
          <w:rFonts w:hint="eastAsia"/>
          <w:bCs/>
          <w:sz w:val="24"/>
        </w:rPr>
      </w:pPr>
      <w:r>
        <w:rPr>
          <w:rFonts w:hint="eastAsia"/>
          <w:bCs/>
          <w:sz w:val="24"/>
        </w:rPr>
        <w:t xml:space="preserve">全部货物到货后，项目负责人向资产处提交到货清单，采购人向中标人支付第二笔款 </w:t>
      </w:r>
      <w:r>
        <w:rPr>
          <w:rFonts w:hint="eastAsia"/>
          <w:bCs/>
          <w:sz w:val="24"/>
          <w:u w:val="single"/>
        </w:rPr>
        <w:t xml:space="preserve">         </w:t>
      </w:r>
      <w:r>
        <w:rPr>
          <w:rFonts w:hint="eastAsia"/>
          <w:bCs/>
          <w:sz w:val="24"/>
        </w:rPr>
        <w:t xml:space="preserve"> 元（大写：</w:t>
      </w:r>
      <w:r>
        <w:rPr>
          <w:rFonts w:hint="eastAsia"/>
          <w:bCs/>
          <w:sz w:val="24"/>
          <w:u w:val="single"/>
        </w:rPr>
        <w:t xml:space="preserve">                   </w:t>
      </w:r>
      <w:r>
        <w:rPr>
          <w:rFonts w:hint="eastAsia"/>
          <w:bCs/>
          <w:sz w:val="24"/>
        </w:rPr>
        <w:t>元整），即合同总价30%；</w:t>
      </w:r>
    </w:p>
    <w:p w14:paraId="2A06F39C">
      <w:pPr>
        <w:numPr>
          <w:ilvl w:val="1"/>
          <w:numId w:val="1"/>
        </w:numPr>
        <w:spacing w:line="360" w:lineRule="auto"/>
        <w:contextualSpacing/>
        <w:rPr>
          <w:bCs/>
          <w:sz w:val="24"/>
        </w:rPr>
      </w:pPr>
      <w:r>
        <w:rPr>
          <w:rFonts w:hint="eastAsia"/>
          <w:bCs/>
          <w:sz w:val="24"/>
        </w:rPr>
        <w:t xml:space="preserve">设备安装调试并验收合格后，采购人向中标人支付第三笔款 </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元整），即合同总价10%；</w:t>
      </w:r>
    </w:p>
    <w:p w14:paraId="34D8C747">
      <w:pPr>
        <w:numPr>
          <w:ilvl w:val="1"/>
          <w:numId w:val="1"/>
        </w:numPr>
        <w:spacing w:line="360" w:lineRule="auto"/>
        <w:contextualSpacing/>
        <w:rPr>
          <w:bCs/>
          <w:sz w:val="24"/>
        </w:rPr>
      </w:pPr>
      <w:r>
        <w:rPr>
          <w:rFonts w:hint="eastAsia"/>
          <w:bCs/>
          <w:sz w:val="24"/>
        </w:rPr>
        <w:t>项目验收合格后，采购人将履约保证金无息返还中标人（中标人须出具履约保证金收据）。</w:t>
      </w:r>
    </w:p>
    <w:p w14:paraId="010006EF">
      <w:pPr>
        <w:spacing w:line="360" w:lineRule="auto"/>
        <w:contextualSpacing/>
        <w:rPr>
          <w:sz w:val="24"/>
        </w:rPr>
      </w:pPr>
      <w:r>
        <w:rPr>
          <w:sz w:val="24"/>
        </w:rPr>
        <w:t>3. 包装和运输</w:t>
      </w:r>
    </w:p>
    <w:p w14:paraId="1A1AF654">
      <w:pPr>
        <w:spacing w:line="360" w:lineRule="auto"/>
        <w:ind w:firstLine="480" w:firstLineChars="200"/>
        <w:contextualSpacing/>
        <w:rPr>
          <w:rFonts w:hint="eastAsia"/>
          <w:sz w:val="24"/>
        </w:rPr>
      </w:pPr>
      <w:r>
        <w:rPr>
          <w:rFonts w:hint="eastAsia"/>
          <w:bCs/>
          <w:sz w:val="24"/>
        </w:rPr>
        <w:t>中标人</w:t>
      </w:r>
      <w:r>
        <w:rPr>
          <w:rFonts w:hint="eastAsia"/>
          <w:sz w:val="24"/>
        </w:rPr>
        <w:t>交付的所有合同货物应具有适于运输的坚固包装，并且</w:t>
      </w:r>
      <w:r>
        <w:rPr>
          <w:rFonts w:hint="eastAsia"/>
          <w:bCs/>
          <w:sz w:val="24"/>
        </w:rPr>
        <w:t>中标人</w:t>
      </w:r>
      <w:r>
        <w:rPr>
          <w:rFonts w:hint="eastAsia"/>
          <w:sz w:val="24"/>
        </w:rPr>
        <w:t>应根据合同货物的不同特性和要求采取防潮、防雨、防锈、防震、防腐等保护措施，</w:t>
      </w:r>
      <w:bookmarkStart w:id="1" w:name="OLE_LINK6"/>
      <w:r>
        <w:rPr>
          <w:rFonts w:hint="eastAsia"/>
          <w:sz w:val="24"/>
        </w:rPr>
        <w:t>须满足《</w:t>
      </w:r>
      <w:bookmarkStart w:id="2" w:name="OLE_LINK5"/>
      <w:r>
        <w:rPr>
          <w:rFonts w:hint="eastAsia"/>
          <w:sz w:val="24"/>
        </w:rPr>
        <w:t>关于印发《商品包装</w:t>
      </w:r>
      <w:bookmarkEnd w:id="2"/>
      <w:r>
        <w:rPr>
          <w:rFonts w:hint="eastAsia"/>
          <w:sz w:val="24"/>
        </w:rPr>
        <w:t>政府采购需求标准（试行）》、《快递包装政府采购需求标准（试行）》的通知》（财办库﹝2020﹞123号））</w:t>
      </w:r>
      <w:bookmarkEnd w:id="1"/>
      <w:r>
        <w:rPr>
          <w:rFonts w:hint="eastAsia"/>
          <w:sz w:val="24"/>
        </w:rPr>
        <w:t>，以确保合同货物安全无损地送达交货地点。</w:t>
      </w:r>
    </w:p>
    <w:p w14:paraId="71C64336">
      <w:pPr>
        <w:spacing w:line="360" w:lineRule="auto"/>
        <w:ind w:firstLine="480" w:firstLineChars="200"/>
        <w:contextualSpacing/>
        <w:rPr>
          <w:rFonts w:hint="eastAsia"/>
          <w:sz w:val="24"/>
        </w:rPr>
      </w:pPr>
      <w:r>
        <w:rPr>
          <w:rFonts w:hint="eastAsia"/>
          <w:sz w:val="24"/>
        </w:rPr>
        <w:t>下列资料包装在合同货物的包装箱中：</w:t>
      </w:r>
    </w:p>
    <w:p w14:paraId="4D613E56">
      <w:pPr>
        <w:numPr>
          <w:ilvl w:val="1"/>
          <w:numId w:val="2"/>
        </w:numPr>
        <w:spacing w:line="360" w:lineRule="auto"/>
        <w:contextualSpacing/>
        <w:rPr>
          <w:rFonts w:hint="eastAsia"/>
          <w:sz w:val="24"/>
        </w:rPr>
      </w:pPr>
      <w:r>
        <w:rPr>
          <w:rFonts w:hint="eastAsia"/>
          <w:sz w:val="24"/>
        </w:rPr>
        <w:t>装箱单</w:t>
      </w:r>
    </w:p>
    <w:p w14:paraId="7AB4F366">
      <w:pPr>
        <w:numPr>
          <w:ilvl w:val="1"/>
          <w:numId w:val="2"/>
        </w:numPr>
        <w:spacing w:line="360" w:lineRule="auto"/>
        <w:contextualSpacing/>
        <w:rPr>
          <w:rFonts w:hint="eastAsia"/>
          <w:sz w:val="24"/>
        </w:rPr>
      </w:pPr>
      <w:r>
        <w:rPr>
          <w:rFonts w:hint="eastAsia"/>
          <w:sz w:val="24"/>
        </w:rPr>
        <w:t>合同货物数量和质量合格证书、保修证书</w:t>
      </w:r>
    </w:p>
    <w:p w14:paraId="45354ED3">
      <w:pPr>
        <w:numPr>
          <w:ilvl w:val="1"/>
          <w:numId w:val="2"/>
        </w:numPr>
        <w:spacing w:line="360" w:lineRule="auto"/>
        <w:contextualSpacing/>
        <w:rPr>
          <w:rFonts w:hint="eastAsia"/>
          <w:sz w:val="24"/>
        </w:rPr>
      </w:pPr>
      <w:r>
        <w:rPr>
          <w:rFonts w:hint="eastAsia"/>
          <w:sz w:val="24"/>
        </w:rPr>
        <w:t>产品使用说明书及其它必要的技术资料</w:t>
      </w:r>
    </w:p>
    <w:p w14:paraId="7DFD0AE0">
      <w:pPr>
        <w:spacing w:line="360" w:lineRule="auto"/>
        <w:ind w:firstLine="480" w:firstLineChars="200"/>
        <w:contextualSpacing/>
        <w:rPr>
          <w:rFonts w:hint="eastAsia"/>
          <w:sz w:val="24"/>
        </w:rPr>
      </w:pPr>
      <w:r>
        <w:rPr>
          <w:rFonts w:hint="eastAsia"/>
          <w:sz w:val="24"/>
        </w:rPr>
        <w:t>凡由于</w:t>
      </w:r>
      <w:r>
        <w:rPr>
          <w:rFonts w:hint="eastAsia"/>
          <w:bCs/>
          <w:sz w:val="24"/>
        </w:rPr>
        <w:t>中标人</w:t>
      </w:r>
      <w:r>
        <w:rPr>
          <w:rFonts w:hint="eastAsia"/>
          <w:sz w:val="24"/>
        </w:rPr>
        <w:t>对合同货物包装不善、标记不明、防护措施不当或在合同货物装箱前保管不良，致使合同货物遭到损坏或丢失，</w:t>
      </w:r>
      <w:r>
        <w:rPr>
          <w:rFonts w:hint="eastAsia"/>
          <w:bCs/>
          <w:sz w:val="24"/>
        </w:rPr>
        <w:t>中标人</w:t>
      </w:r>
      <w:r>
        <w:rPr>
          <w:rFonts w:hint="eastAsia"/>
          <w:sz w:val="24"/>
        </w:rPr>
        <w:t>应负责免费修理或更换，并承担由此给</w:t>
      </w:r>
      <w:r>
        <w:rPr>
          <w:rFonts w:hint="eastAsia"/>
          <w:bCs/>
          <w:sz w:val="24"/>
        </w:rPr>
        <w:t>采购人</w:t>
      </w:r>
      <w:r>
        <w:rPr>
          <w:rFonts w:hint="eastAsia"/>
          <w:sz w:val="24"/>
        </w:rPr>
        <w:t>造成的一切损失。</w:t>
      </w:r>
    </w:p>
    <w:p w14:paraId="183ACBA7">
      <w:pPr>
        <w:spacing w:line="360" w:lineRule="auto"/>
        <w:contextualSpacing/>
        <w:rPr>
          <w:sz w:val="24"/>
        </w:rPr>
      </w:pPr>
      <w:r>
        <w:rPr>
          <w:sz w:val="24"/>
        </w:rPr>
        <w:t>4. 售后服务（质保期）</w:t>
      </w:r>
    </w:p>
    <w:p w14:paraId="7334990D">
      <w:pPr>
        <w:numPr>
          <w:ilvl w:val="1"/>
          <w:numId w:val="3"/>
        </w:numPr>
        <w:spacing w:line="360" w:lineRule="auto"/>
        <w:contextualSpacing/>
        <w:rPr>
          <w:rFonts w:hint="eastAsia"/>
          <w:sz w:val="24"/>
        </w:rPr>
      </w:pPr>
      <w:r>
        <w:rPr>
          <w:rFonts w:hint="eastAsia"/>
          <w:sz w:val="24"/>
        </w:rPr>
        <w:t>本次项目涉及的产品原厂质保期：5年。</w:t>
      </w:r>
    </w:p>
    <w:p w14:paraId="7E639E68">
      <w:pPr>
        <w:numPr>
          <w:ilvl w:val="1"/>
          <w:numId w:val="3"/>
        </w:numPr>
        <w:spacing w:line="360" w:lineRule="auto"/>
        <w:contextualSpacing/>
        <w:rPr>
          <w:rFonts w:hint="eastAsia"/>
          <w:sz w:val="24"/>
        </w:rPr>
      </w:pPr>
      <w:r>
        <w:rPr>
          <w:rFonts w:hint="eastAsia"/>
          <w:sz w:val="24"/>
        </w:rPr>
        <w:t>实施团队要求：实施人员不少于4人，其中项目经理1人。中标人如中途更换人员需提前申请，并经采购人审核同意后更换合格的项目组成员。</w:t>
      </w:r>
    </w:p>
    <w:p w14:paraId="5DE068C0">
      <w:pPr>
        <w:numPr>
          <w:ilvl w:val="1"/>
          <w:numId w:val="3"/>
        </w:numPr>
        <w:spacing w:line="360" w:lineRule="auto"/>
        <w:contextualSpacing/>
        <w:rPr>
          <w:sz w:val="24"/>
        </w:rPr>
      </w:pPr>
      <w:r>
        <w:rPr>
          <w:rFonts w:hint="eastAsia"/>
          <w:sz w:val="24"/>
        </w:rPr>
        <w:t>售后服务要求：投标人质量保修期为验收合格之日起5年，提供每周7×24 小时的技术支持服务，明确自己的责任和义务，在充分了解</w:t>
      </w:r>
      <w:bookmarkStart w:id="3" w:name="OLE_LINK3"/>
      <w:r>
        <w:rPr>
          <w:rFonts w:hint="eastAsia"/>
          <w:sz w:val="24"/>
        </w:rPr>
        <w:t>采购人</w:t>
      </w:r>
      <w:bookmarkEnd w:id="3"/>
      <w:r>
        <w:rPr>
          <w:rFonts w:hint="eastAsia"/>
          <w:sz w:val="24"/>
        </w:rPr>
        <w:t>现有信息化设备环境的基础上，提供包括产品维修、备件替换等在内的产品维保服务，提供远程支持，到场支持等多种维保方式。提供一线、二线等多级别的技术人员支持服务。及时响应采购人在系统使用中遇到问题，严格按照约定的服务方式和标准，提供规范化、高质量的服务。提供设备原厂售后服务承诺函。</w:t>
      </w:r>
    </w:p>
    <w:p w14:paraId="3AEA9BF1">
      <w:pPr>
        <w:numPr>
          <w:ilvl w:val="1"/>
          <w:numId w:val="3"/>
        </w:numPr>
        <w:spacing w:line="360" w:lineRule="auto"/>
        <w:contextualSpacing/>
        <w:rPr>
          <w:sz w:val="24"/>
        </w:rPr>
      </w:pPr>
      <w:r>
        <w:rPr>
          <w:rFonts w:hint="eastAsia"/>
          <w:sz w:val="24"/>
        </w:rPr>
        <w:t>服务响应时间要求：投标人提供5 年每周7×24 小时的专业技术支持，服务的响应速度为接到通知后1小时内。在设备出现故障而通过电话又不能解决时，中标人须派遣现场工程师在4小时内到达现场协助用户解决问题。一般故障6小时内排除、重大故障24小时内排除。提供设备原厂售后服务承诺函。</w:t>
      </w:r>
    </w:p>
    <w:p w14:paraId="38604616">
      <w:pPr>
        <w:numPr>
          <w:ilvl w:val="1"/>
          <w:numId w:val="3"/>
        </w:numPr>
        <w:spacing w:line="360" w:lineRule="auto"/>
        <w:contextualSpacing/>
        <w:rPr>
          <w:sz w:val="24"/>
        </w:rPr>
      </w:pPr>
      <w:r>
        <w:rPr>
          <w:rFonts w:hint="eastAsia"/>
          <w:sz w:val="24"/>
        </w:rPr>
        <w:t>软硬件升级与漏洞修复服务：</w:t>
      </w:r>
      <w:bookmarkStart w:id="4" w:name="OLE_LINK2"/>
      <w:r>
        <w:rPr>
          <w:rFonts w:hint="eastAsia"/>
          <w:sz w:val="24"/>
        </w:rPr>
        <w:t>中标人</w:t>
      </w:r>
      <w:bookmarkEnd w:id="4"/>
      <w:r>
        <w:rPr>
          <w:rFonts w:hint="eastAsia"/>
          <w:sz w:val="24"/>
        </w:rPr>
        <w:t>需确保提供的软件系统在质保期内免费进行软硬件升级，保证系统的最新性、稳定性与兼容性。若软件在正常使用中出现重大漏洞，导致系统崩溃、数据丢失或安全隐患等问题，在质保期内中标人应在接到通知后立即响应，并提供修复服务。</w:t>
      </w:r>
    </w:p>
    <w:p w14:paraId="3C84117A">
      <w:pPr>
        <w:numPr>
          <w:ilvl w:val="1"/>
          <w:numId w:val="3"/>
        </w:numPr>
        <w:spacing w:line="360" w:lineRule="auto"/>
        <w:contextualSpacing/>
        <w:rPr>
          <w:sz w:val="24"/>
        </w:rPr>
      </w:pPr>
      <w:r>
        <w:rPr>
          <w:rFonts w:hint="eastAsia"/>
          <w:sz w:val="24"/>
        </w:rPr>
        <w:t>维修配件服务：中标人应确保在维修过程中使用原厂配件，保证维修质量，延长设备使用寿命。</w:t>
      </w:r>
    </w:p>
    <w:p w14:paraId="6D2A3600">
      <w:pPr>
        <w:numPr>
          <w:ilvl w:val="1"/>
          <w:numId w:val="3"/>
        </w:numPr>
        <w:spacing w:line="360" w:lineRule="auto"/>
        <w:contextualSpacing/>
        <w:rPr>
          <w:rFonts w:hint="eastAsia"/>
          <w:b/>
          <w:i/>
          <w:sz w:val="24"/>
        </w:rPr>
      </w:pPr>
      <w:r>
        <w:rPr>
          <w:rFonts w:hint="eastAsia"/>
          <w:sz w:val="24"/>
        </w:rPr>
        <w:t>培训服务要求：提供主要设备安装配置维护等实操培训课程，场地、交通、资料等与培训相关的费用均由中标人承担。</w:t>
      </w:r>
    </w:p>
    <w:p w14:paraId="6E46A161">
      <w:pPr>
        <w:spacing w:line="360" w:lineRule="auto"/>
        <w:contextualSpacing/>
        <w:rPr>
          <w:b/>
          <w:i/>
          <w:sz w:val="24"/>
        </w:rPr>
      </w:pPr>
    </w:p>
    <w:p w14:paraId="647DEED0">
      <w:pPr>
        <w:pStyle w:val="5"/>
        <w:numPr>
          <w:ilvl w:val="0"/>
          <w:numId w:val="0"/>
        </w:numPr>
        <w:tabs>
          <w:tab w:val="left" w:pos="4941"/>
        </w:tabs>
        <w:spacing w:line="360" w:lineRule="auto"/>
        <w:ind w:left="0" w:firstLineChars="0"/>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14:paraId="4D0F40E1">
      <w:pPr>
        <w:spacing w:line="360" w:lineRule="auto"/>
        <w:contextualSpacing/>
        <w:rPr>
          <w:sz w:val="24"/>
        </w:rPr>
      </w:pPr>
      <w:r>
        <w:rPr>
          <w:sz w:val="24"/>
        </w:rPr>
        <w:t>1. 基本要求</w:t>
      </w:r>
    </w:p>
    <w:p w14:paraId="32EDDAD2">
      <w:pPr>
        <w:spacing w:line="360" w:lineRule="auto"/>
        <w:ind w:firstLine="480" w:firstLineChars="200"/>
        <w:contextualSpacing/>
        <w:rPr>
          <w:sz w:val="24"/>
        </w:rPr>
      </w:pPr>
      <w:r>
        <w:rPr>
          <w:sz w:val="24"/>
        </w:rPr>
        <w:t>1.1 采购标的需实现的功能或者目标</w:t>
      </w:r>
    </w:p>
    <w:p w14:paraId="39E8ABD3">
      <w:pPr>
        <w:spacing w:line="360" w:lineRule="auto"/>
        <w:ind w:firstLine="480" w:firstLineChars="200"/>
        <w:contextualSpacing/>
        <w:rPr>
          <w:rFonts w:hint="eastAsia"/>
          <w:sz w:val="24"/>
        </w:rPr>
      </w:pPr>
      <w:r>
        <w:rPr>
          <w:rFonts w:hint="eastAsia"/>
          <w:sz w:val="24"/>
          <w:lang w:eastAsia="zh"/>
        </w:rPr>
        <w:t>1）超融合一体机</w:t>
      </w:r>
      <w:r>
        <w:rPr>
          <w:rFonts w:hint="eastAsia"/>
          <w:sz w:val="24"/>
        </w:rPr>
        <w:t>需实现计算虚拟化、存储虚拟化、安全虚拟化为一体的虚拟化功能。实现统一软件交付、统一平台管理，大屏展示、一键巡检等功能减少运维负担。且产品需完全替换学校现有设备，保证旧设备上的业务数据迁移到新设备，防止造成数据的丢失且难以恢复。</w:t>
      </w:r>
    </w:p>
    <w:p w14:paraId="16DB2F9A">
      <w:pPr>
        <w:spacing w:line="360" w:lineRule="auto"/>
        <w:ind w:firstLine="480" w:firstLineChars="200"/>
        <w:contextualSpacing/>
        <w:rPr>
          <w:rFonts w:hint="eastAsia"/>
          <w:sz w:val="24"/>
          <w:lang w:eastAsia="zh"/>
        </w:rPr>
      </w:pPr>
      <w:r>
        <w:rPr>
          <w:rFonts w:hint="eastAsia"/>
          <w:sz w:val="24"/>
          <w:lang w:eastAsia="zh"/>
        </w:rPr>
        <w:t>2）数据库服务器需满足当前数据库安装及运行需要，</w:t>
      </w:r>
      <w:r>
        <w:rPr>
          <w:rFonts w:hint="eastAsia"/>
          <w:sz w:val="24"/>
        </w:rPr>
        <w:t>确保可以</w:t>
      </w:r>
      <w:r>
        <w:rPr>
          <w:rFonts w:hint="eastAsia"/>
          <w:sz w:val="24"/>
          <w:lang w:eastAsia="zh"/>
        </w:rPr>
        <w:t>接入</w:t>
      </w:r>
      <w:r>
        <w:rPr>
          <w:rFonts w:hint="eastAsia"/>
          <w:sz w:val="24"/>
        </w:rPr>
        <w:t>现有</w:t>
      </w:r>
      <w:r>
        <w:rPr>
          <w:rFonts w:hint="eastAsia"/>
          <w:sz w:val="24"/>
          <w:lang w:eastAsia="zh"/>
        </w:rPr>
        <w:t>存储设备</w:t>
      </w:r>
      <w:r>
        <w:rPr>
          <w:rFonts w:hint="eastAsia"/>
          <w:sz w:val="24"/>
        </w:rPr>
        <w:t>并在迁移时能保障</w:t>
      </w:r>
      <w:r>
        <w:rPr>
          <w:rFonts w:hint="eastAsia"/>
          <w:sz w:val="24"/>
          <w:lang w:eastAsia="zh"/>
        </w:rPr>
        <w:t>业务系统正常使用。</w:t>
      </w:r>
    </w:p>
    <w:p w14:paraId="4356B050">
      <w:pPr>
        <w:spacing w:line="360" w:lineRule="auto"/>
        <w:ind w:firstLine="480" w:firstLineChars="200"/>
        <w:contextualSpacing/>
        <w:rPr>
          <w:rFonts w:hint="eastAsia"/>
          <w:sz w:val="24"/>
          <w:lang w:eastAsia="zh"/>
        </w:rPr>
      </w:pPr>
      <w:r>
        <w:rPr>
          <w:rFonts w:hint="eastAsia"/>
          <w:sz w:val="24"/>
          <w:lang w:eastAsia="zh"/>
        </w:rPr>
        <w:t>3）备份一体机需实现对当前在用的所有虚拟机备份的需求，确保异常发生时业务系统的快速恢复。</w:t>
      </w:r>
    </w:p>
    <w:p w14:paraId="1DEA9821">
      <w:pPr>
        <w:spacing w:line="360" w:lineRule="auto"/>
        <w:ind w:firstLine="480" w:firstLineChars="200"/>
        <w:contextualSpacing/>
        <w:rPr>
          <w:sz w:val="24"/>
        </w:rPr>
      </w:pPr>
      <w:r>
        <w:rPr>
          <w:sz w:val="24"/>
        </w:rPr>
        <w:t>1.2 需执行的国家相关标准、行业标准、地方标准或者其他标准、规范</w:t>
      </w:r>
    </w:p>
    <w:p w14:paraId="6A4FAE2A">
      <w:pPr>
        <w:spacing w:line="360" w:lineRule="auto"/>
        <w:ind w:firstLine="480" w:firstLineChars="200"/>
        <w:contextualSpacing/>
        <w:rPr>
          <w:sz w:val="24"/>
        </w:rPr>
      </w:pPr>
      <w:r>
        <w:rPr>
          <w:rFonts w:hint="eastAsia"/>
          <w:sz w:val="24"/>
        </w:rPr>
        <w:t>项目建设主要依据北京《北京市高等学校智慧校园建设规范》 《北京十四五信息化规划》等文件要求，建设此项目。</w:t>
      </w:r>
    </w:p>
    <w:p w14:paraId="60DF2270">
      <w:pPr>
        <w:spacing w:line="360" w:lineRule="auto"/>
        <w:contextualSpacing/>
        <w:rPr>
          <w:sz w:val="24"/>
        </w:rPr>
      </w:pPr>
      <w:r>
        <w:rPr>
          <w:sz w:val="24"/>
        </w:rPr>
        <w:t>2. 服务内容及要求/货物技术要求</w:t>
      </w:r>
    </w:p>
    <w:p w14:paraId="0E711F58">
      <w:pPr>
        <w:widowControl/>
        <w:spacing w:line="360" w:lineRule="auto"/>
        <w:ind w:firstLine="480" w:firstLineChars="200"/>
        <w:contextualSpacing/>
        <w:rPr>
          <w:sz w:val="24"/>
        </w:rPr>
      </w:pPr>
      <w:r>
        <w:rPr>
          <w:sz w:val="24"/>
        </w:rPr>
        <w:t>2.1采购标的需满足的性能、材料、结构、外观、质量、安全、技术规格、物理特性等要求</w:t>
      </w:r>
    </w:p>
    <w:p w14:paraId="363DEF73">
      <w:pPr>
        <w:widowControl/>
        <w:spacing w:line="360" w:lineRule="auto"/>
        <w:ind w:firstLine="480" w:firstLineChars="200"/>
        <w:contextualSpacing/>
        <w:rPr>
          <w:rFonts w:hint="eastAsia"/>
          <w:sz w:val="24"/>
        </w:rPr>
      </w:pPr>
      <w:r>
        <w:rPr>
          <w:rFonts w:hint="eastAsia"/>
          <w:sz w:val="24"/>
        </w:rPr>
        <w:t>指标按重要性分为“★”、“#”和“△”。★代表实质性指标，不满足该指标项将导致投标被拒绝，#代表重要指标，△则表示一般指标项。</w:t>
      </w:r>
    </w:p>
    <w:p w14:paraId="55B482D8">
      <w:pPr>
        <w:widowControl/>
        <w:spacing w:line="360" w:lineRule="auto"/>
        <w:ind w:firstLine="480" w:firstLineChars="200"/>
        <w:contextualSpacing/>
      </w:pPr>
      <w:r>
        <w:rPr>
          <w:rFonts w:hint="eastAsia"/>
          <w:sz w:val="24"/>
        </w:rPr>
        <w:t>“证明材料要求”项可填“是”和“否”。填“是”的，投标人须提供包含相关指标项的证明材料，超融合一体机证明材料可以使用生产厂家官方网站截图或系统真实界面截图或产品白皮书或第三方机构检验报告。</w:t>
      </w:r>
    </w:p>
    <w:p w14:paraId="5C58BEF2">
      <w:pPr>
        <w:widowControl/>
        <w:spacing w:line="360" w:lineRule="auto"/>
        <w:ind w:firstLine="480" w:firstLineChars="200"/>
        <w:contextualSpacing/>
        <w:rPr>
          <w:rFonts w:hint="eastAsia"/>
          <w:sz w:val="24"/>
        </w:rPr>
      </w:pPr>
      <w:r>
        <w:rPr>
          <w:rFonts w:hint="eastAsia"/>
          <w:sz w:val="24"/>
        </w:rPr>
        <w:t>服务器证明材料可以使用生产厂家官方网站截图或系统真实界面截图证明</w:t>
      </w:r>
    </w:p>
    <w:p w14:paraId="3AB290B8">
      <w:pPr>
        <w:widowControl/>
        <w:spacing w:line="360" w:lineRule="auto"/>
        <w:ind w:firstLine="480" w:firstLineChars="200"/>
        <w:contextualSpacing/>
        <w:rPr>
          <w:rFonts w:hint="eastAsia"/>
          <w:sz w:val="24"/>
        </w:rPr>
      </w:pPr>
      <w:r>
        <w:rPr>
          <w:rFonts w:hint="eastAsia"/>
          <w:sz w:val="24"/>
        </w:rPr>
        <w:t>其他相关证明材料，未提供有效证明材料或证明材料中内容与所填报指标不一致的，该指标按不满足处理。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027"/>
        <w:gridCol w:w="4246"/>
        <w:gridCol w:w="864"/>
        <w:gridCol w:w="974"/>
      </w:tblGrid>
      <w:tr w14:paraId="70A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026" w:type="dxa"/>
            <w:noWrap w:val="0"/>
            <w:vAlign w:val="top"/>
          </w:tcPr>
          <w:p w14:paraId="383B624D">
            <w:pPr>
              <w:jc w:val="left"/>
            </w:pPr>
            <w:r>
              <w:rPr>
                <w:b/>
                <w:bCs/>
              </w:rPr>
              <w:t>序号</w:t>
            </w:r>
          </w:p>
        </w:tc>
        <w:tc>
          <w:tcPr>
            <w:tcW w:w="2027" w:type="dxa"/>
            <w:noWrap w:val="0"/>
            <w:vAlign w:val="top"/>
          </w:tcPr>
          <w:p w14:paraId="1F8B419C">
            <w:pPr>
              <w:jc w:val="left"/>
            </w:pPr>
            <w:r>
              <w:rPr>
                <w:b/>
                <w:bCs/>
              </w:rPr>
              <w:t>标的名称</w:t>
            </w:r>
          </w:p>
        </w:tc>
        <w:tc>
          <w:tcPr>
            <w:tcW w:w="4246" w:type="dxa"/>
            <w:noWrap w:val="0"/>
            <w:vAlign w:val="top"/>
          </w:tcPr>
          <w:p w14:paraId="64C05F79">
            <w:pPr>
              <w:jc w:val="left"/>
            </w:pPr>
            <w:r>
              <w:rPr>
                <w:rFonts w:hint="eastAsia"/>
                <w:b/>
                <w:bCs/>
              </w:rPr>
              <w:t>招标参数</w:t>
            </w:r>
          </w:p>
        </w:tc>
        <w:tc>
          <w:tcPr>
            <w:tcW w:w="864" w:type="dxa"/>
            <w:noWrap w:val="0"/>
            <w:vAlign w:val="top"/>
          </w:tcPr>
          <w:p w14:paraId="0F724A97">
            <w:pPr>
              <w:jc w:val="left"/>
              <w:rPr>
                <w:rFonts w:hint="eastAsia"/>
              </w:rPr>
            </w:pPr>
            <w:r>
              <w:rPr>
                <w:rFonts w:hint="eastAsia"/>
                <w:b/>
                <w:bCs/>
              </w:rPr>
              <w:t>数量</w:t>
            </w:r>
          </w:p>
        </w:tc>
        <w:tc>
          <w:tcPr>
            <w:tcW w:w="974" w:type="dxa"/>
            <w:noWrap w:val="0"/>
            <w:vAlign w:val="top"/>
          </w:tcPr>
          <w:p w14:paraId="61AB2056">
            <w:pPr>
              <w:jc w:val="left"/>
              <w:rPr>
                <w:rFonts w:hint="eastAsia"/>
              </w:rPr>
            </w:pPr>
            <w:r>
              <w:rPr>
                <w:rFonts w:hint="eastAsia"/>
                <w:b/>
                <w:bCs/>
              </w:rPr>
              <w:t>单位</w:t>
            </w:r>
          </w:p>
        </w:tc>
      </w:tr>
      <w:tr w14:paraId="643F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026" w:type="dxa"/>
            <w:noWrap w:val="0"/>
            <w:vAlign w:val="top"/>
          </w:tcPr>
          <w:p w14:paraId="6450CF72">
            <w:pPr>
              <w:rPr>
                <w:rFonts w:hint="eastAsia"/>
              </w:rPr>
            </w:pPr>
            <w:r>
              <w:rPr>
                <w:rFonts w:hint="eastAsia"/>
              </w:rPr>
              <w:t>1</w:t>
            </w:r>
          </w:p>
        </w:tc>
        <w:tc>
          <w:tcPr>
            <w:tcW w:w="2027" w:type="dxa"/>
            <w:noWrap w:val="0"/>
            <w:vAlign w:val="top"/>
          </w:tcPr>
          <w:p w14:paraId="62F2D11A">
            <w:pPr>
              <w:widowControl/>
              <w:jc w:val="left"/>
            </w:pPr>
            <w:r>
              <w:rPr>
                <w:rFonts w:hint="eastAsia"/>
              </w:rPr>
              <w:t>超融合一体机</w:t>
            </w:r>
          </w:p>
        </w:tc>
        <w:tc>
          <w:tcPr>
            <w:tcW w:w="4246" w:type="dxa"/>
            <w:noWrap w:val="0"/>
            <w:vAlign w:val="top"/>
          </w:tcPr>
          <w:p w14:paraId="16A39D05">
            <w:pPr>
              <w:widowControl/>
              <w:jc w:val="left"/>
              <w:rPr>
                <w:rFonts w:hint="eastAsia"/>
              </w:rPr>
            </w:pPr>
            <w:r>
              <w:rPr>
                <w:rFonts w:hint="eastAsia"/>
              </w:rPr>
              <w:t>（一）硬件参数</w:t>
            </w:r>
          </w:p>
          <w:p w14:paraId="599BB734">
            <w:pPr>
              <w:widowControl/>
              <w:jc w:val="left"/>
            </w:pPr>
            <w:r>
              <w:t>★单台</w:t>
            </w:r>
            <w:r>
              <w:rPr>
                <w:rFonts w:hint="eastAsia"/>
              </w:rPr>
              <w:t>超融合一体机</w:t>
            </w:r>
            <w:r>
              <w:t>配置≥2颗CPU，CPU支持AVX-512指令集，单CPU主频≥2.</w:t>
            </w:r>
            <w:r>
              <w:rPr>
                <w:rFonts w:hint="eastAsia"/>
              </w:rPr>
              <w:t>0</w:t>
            </w:r>
            <w:r>
              <w:t>GHz，单CPU核数≥24核；实配</w:t>
            </w:r>
            <w:r>
              <w:rPr>
                <w:rFonts w:hint="eastAsia"/>
              </w:rPr>
              <w:t>≥</w:t>
            </w:r>
            <w:r>
              <w:t>64G DDR4 RDIMM或LRDIMM内存条，内存条数量≥32，6T SATA HDD≥12， 960G NVME SSD≥2，480G SATA SSD≥2；实配raid卡，缓存≥4G；实配万兆光口≥4，千兆电口≥4，万兆多模光模块≥4；实配≥1300W电源≥2；</w:t>
            </w:r>
          </w:p>
          <w:p w14:paraId="722E0E1C">
            <w:pPr>
              <w:widowControl/>
              <w:jc w:val="left"/>
              <w:rPr>
                <w:rFonts w:hint="eastAsia"/>
              </w:rPr>
            </w:pPr>
            <w:r>
              <w:rPr>
                <w:rFonts w:hint="eastAsia"/>
              </w:rPr>
              <w:t>（二）软件</w:t>
            </w:r>
          </w:p>
          <w:p w14:paraId="63B0C785">
            <w:pPr>
              <w:widowControl/>
              <w:jc w:val="left"/>
              <w:rPr>
                <w:rFonts w:hint="eastAsia"/>
              </w:rPr>
            </w:pPr>
            <w:r>
              <w:t>★</w:t>
            </w:r>
            <w:r>
              <w:rPr>
                <w:rFonts w:hint="eastAsia"/>
              </w:rPr>
              <w:t>1.</w:t>
            </w:r>
            <w:r>
              <w:t>设备预装超融合软件，单台</w:t>
            </w:r>
            <w:r>
              <w:rPr>
                <w:rFonts w:hint="eastAsia"/>
              </w:rPr>
              <w:t>超融合一体机需实现计算</w:t>
            </w:r>
            <w:r>
              <w:t>虚拟化</w:t>
            </w:r>
            <w:r>
              <w:rPr>
                <w:rFonts w:hint="eastAsia"/>
              </w:rPr>
              <w:t>功能</w:t>
            </w:r>
            <w:r>
              <w:t>、超融合管理</w:t>
            </w:r>
            <w:r>
              <w:rPr>
                <w:rFonts w:hint="eastAsia"/>
              </w:rPr>
              <w:t>功能</w:t>
            </w:r>
            <w:r>
              <w:t>、存储虚拟化</w:t>
            </w:r>
            <w:r>
              <w:rPr>
                <w:rFonts w:hint="eastAsia"/>
              </w:rPr>
              <w:t>功能（要求支持块、文件、对象三种存储类型）</w:t>
            </w:r>
            <w:r>
              <w:t>、安全</w:t>
            </w:r>
            <w:r>
              <w:rPr>
                <w:rFonts w:hint="eastAsia"/>
              </w:rPr>
              <w:t>虚拟化功能</w:t>
            </w:r>
          </w:p>
          <w:p w14:paraId="333828AB">
            <w:pPr>
              <w:widowControl/>
              <w:jc w:val="left"/>
              <w:rPr>
                <w:rFonts w:hint="eastAsia"/>
              </w:rPr>
            </w:pPr>
            <w:r>
              <w:t>#</w:t>
            </w:r>
            <w:r>
              <w:rPr>
                <w:rFonts w:hint="eastAsia"/>
              </w:rPr>
              <w:t>2.</w:t>
            </w:r>
            <w:r>
              <w:t>支持一键切换展示大屏功能，直观展示虚拟化资源池的健康度、告警、资源使用情况等，同时展示内容支持用户自定义，可定制的指标包括但不限于主机性能、虚拟机性能、系统总体健康度、主机健康度、CPU分配比、内存分配比、存储分配比等内容</w:t>
            </w:r>
            <w:r>
              <w:rPr>
                <w:rFonts w:hint="eastAsia"/>
              </w:rPr>
              <w:t>，提供证明材料证明</w:t>
            </w:r>
          </w:p>
          <w:p w14:paraId="73FF8DFB">
            <w:pPr>
              <w:widowControl/>
              <w:jc w:val="left"/>
            </w:pPr>
            <w:r>
              <w:rPr>
                <w:rFonts w:hint="eastAsia"/>
              </w:rPr>
              <w:t>#3.支持超融合系统的健康巡检功能，用于快速查看超融合系统健康情况。包括：总体健康状况、主机集群健康状况、存储健康状况、网络健康状况、告警信息状况和其它配置信息，提供证明材料证明</w:t>
            </w:r>
          </w:p>
          <w:p w14:paraId="202CF404">
            <w:pPr>
              <w:widowControl/>
              <w:jc w:val="left"/>
              <w:rPr>
                <w:rFonts w:hint="eastAsia"/>
              </w:rPr>
            </w:pPr>
            <w:r>
              <w:rPr>
                <w:rFonts w:hint="eastAsia"/>
              </w:rPr>
              <w:t>#4.</w:t>
            </w:r>
            <w:r>
              <w:t>支持</w:t>
            </w:r>
            <w:r>
              <w:rPr>
                <w:rFonts w:hint="eastAsia"/>
              </w:rPr>
              <w:t>超融合系统</w:t>
            </w:r>
            <w:r>
              <w:t>健康度评价，能够根据性能监控指标及告警等信息，对虚拟化系统及主机进行健康评测，并呈现系统及主机健康程度</w:t>
            </w:r>
            <w:r>
              <w:rPr>
                <w:rFonts w:hint="eastAsia"/>
              </w:rPr>
              <w:t>，提供证明材料证明</w:t>
            </w:r>
          </w:p>
          <w:p w14:paraId="75D337E0">
            <w:pPr>
              <w:widowControl/>
              <w:jc w:val="left"/>
            </w:pPr>
            <w:r>
              <w:rPr>
                <w:rFonts w:hint="eastAsia"/>
              </w:rPr>
              <w:t>#5.</w:t>
            </w:r>
            <w:r>
              <w:t>支持一键分析</w:t>
            </w:r>
            <w:r>
              <w:rPr>
                <w:rFonts w:hint="eastAsia"/>
              </w:rPr>
              <w:t>功能，展示</w:t>
            </w:r>
            <w:r>
              <w:t>虚拟机、主机历史资源使用情况，</w:t>
            </w:r>
            <w:r>
              <w:rPr>
                <w:rFonts w:hint="eastAsia"/>
              </w:rPr>
              <w:t>支持报表导出，提供证明材料证明</w:t>
            </w:r>
          </w:p>
          <w:p w14:paraId="62564A7A">
            <w:pPr>
              <w:widowControl/>
              <w:jc w:val="left"/>
              <w:rPr>
                <w:rFonts w:hint="eastAsia"/>
              </w:rPr>
            </w:pPr>
            <w:r>
              <w:rPr>
                <w:rFonts w:hint="eastAsia"/>
              </w:rPr>
              <w:t>#6.</w:t>
            </w:r>
            <w:r>
              <w:t>为降低人为误操作带来的损失。</w:t>
            </w:r>
            <w:r>
              <w:rPr>
                <w:rFonts w:hint="eastAsia"/>
              </w:rPr>
              <w:t>要求支持</w:t>
            </w:r>
            <w:r>
              <w:t>防止误删操作，支持虚拟机还原到指定还原状态</w:t>
            </w:r>
            <w:r>
              <w:rPr>
                <w:rFonts w:hint="eastAsia"/>
              </w:rPr>
              <w:t>，提供证明材料证明</w:t>
            </w:r>
          </w:p>
          <w:p w14:paraId="2E9CFE27">
            <w:pPr>
              <w:widowControl/>
              <w:jc w:val="left"/>
              <w:rPr>
                <w:rFonts w:hint="eastAsia"/>
              </w:rPr>
            </w:pPr>
            <w:r>
              <w:rPr>
                <w:rFonts w:hint="eastAsia"/>
              </w:rPr>
              <w:t>#7.要求具备迁移工具，满足业界主流物理机、虚拟机的迁移功能，降低运维工作量。</w:t>
            </w:r>
          </w:p>
          <w:p w14:paraId="1EFBF442">
            <w:pPr>
              <w:widowControl/>
              <w:jc w:val="left"/>
              <w:rPr>
                <w:rFonts w:hint="eastAsia"/>
              </w:rPr>
            </w:pPr>
            <w:r>
              <w:t>#</w:t>
            </w:r>
            <w:r>
              <w:rPr>
                <w:rFonts w:hint="eastAsia"/>
              </w:rPr>
              <w:t>8.要求</w:t>
            </w:r>
            <w:r>
              <w:t>支持对超融合硬件进行实时监控、分层展示，</w:t>
            </w:r>
            <w:r>
              <w:rPr>
                <w:rFonts w:hint="eastAsia"/>
              </w:rPr>
              <w:t>便于</w:t>
            </w:r>
            <w:r>
              <w:t>运维人员直观查看集群的整体运行情况</w:t>
            </w:r>
            <w:r>
              <w:rPr>
                <w:rFonts w:hint="eastAsia"/>
              </w:rPr>
              <w:t>，</w:t>
            </w:r>
            <w:r>
              <w:t>快速</w:t>
            </w:r>
            <w:r>
              <w:rPr>
                <w:rFonts w:hint="eastAsia"/>
              </w:rPr>
              <w:t>判</w:t>
            </w:r>
            <w:r>
              <w:t>断集群的健康状态</w:t>
            </w:r>
            <w:r>
              <w:rPr>
                <w:rFonts w:hint="eastAsia"/>
              </w:rPr>
              <w:t>，提供证明材料证明</w:t>
            </w:r>
          </w:p>
          <w:p w14:paraId="318E464E">
            <w:pPr>
              <w:widowControl/>
              <w:jc w:val="left"/>
            </w:pPr>
            <w:r>
              <w:t>#</w:t>
            </w:r>
            <w:r>
              <w:rPr>
                <w:rFonts w:hint="eastAsia"/>
              </w:rPr>
              <w:t>9.</w:t>
            </w:r>
            <w:r>
              <w:t>支持</w:t>
            </w:r>
            <w:r>
              <w:rPr>
                <w:rFonts w:hint="eastAsia"/>
              </w:rPr>
              <w:t>硬件、虚拟机</w:t>
            </w:r>
            <w:r>
              <w:t>资源容量预测服务，服务支持呈现实时的CPU、内存和存储容量资源使用数据信息展示，并给出预警时间点的提示</w:t>
            </w:r>
            <w:r>
              <w:rPr>
                <w:rFonts w:hint="eastAsia"/>
              </w:rPr>
              <w:t>，提供证明材料证明</w:t>
            </w:r>
          </w:p>
          <w:p w14:paraId="77EA0A9D">
            <w:pPr>
              <w:widowControl/>
              <w:jc w:val="left"/>
              <w:rPr>
                <w:rFonts w:hint="eastAsia"/>
              </w:rPr>
            </w:pPr>
            <w:r>
              <w:t>#</w:t>
            </w:r>
            <w:r>
              <w:rPr>
                <w:rFonts w:hint="eastAsia"/>
              </w:rPr>
              <w:t>10.支持按自定义分类个性化展示虚拟机，可查看虚拟机属性信息、虚拟机历史负责人、操作、变更记录、检索相关虚拟机信息，提供证明材料证明。</w:t>
            </w:r>
          </w:p>
          <w:p w14:paraId="282615FE">
            <w:pPr>
              <w:widowControl/>
              <w:jc w:val="left"/>
              <w:rPr>
                <w:rFonts w:hint="eastAsia"/>
              </w:rPr>
            </w:pPr>
            <w:r>
              <w:t>#</w:t>
            </w:r>
            <w:r>
              <w:rPr>
                <w:rFonts w:hint="eastAsia"/>
              </w:rPr>
              <w:t>11.</w:t>
            </w:r>
            <w:r>
              <w:t>支持便捷查看、启动、删除、批量启动和批量删除虚拟机，并进行资源利用率统计</w:t>
            </w:r>
            <w:r>
              <w:rPr>
                <w:rFonts w:hint="eastAsia"/>
              </w:rPr>
              <w:t>，提供证明材料证明</w:t>
            </w:r>
          </w:p>
          <w:p w14:paraId="24D9258E">
            <w:pPr>
              <w:widowControl/>
              <w:jc w:val="left"/>
            </w:pPr>
            <w:r>
              <w:t>#</w:t>
            </w:r>
            <w:r>
              <w:rPr>
                <w:rFonts w:hint="eastAsia"/>
              </w:rPr>
              <w:t>12.可实现对虚拟机归口管理，包括无主资产的认领，归口管理部门分配等多种方式。支持查看认领记录。提供证明材料证明</w:t>
            </w:r>
          </w:p>
          <w:p w14:paraId="427EC8ED">
            <w:pPr>
              <w:widowControl/>
              <w:jc w:val="left"/>
              <w:rPr>
                <w:rFonts w:hint="eastAsia"/>
              </w:rPr>
            </w:pPr>
            <w:r>
              <w:t>#</w:t>
            </w:r>
            <w:r>
              <w:rPr>
                <w:rFonts w:hint="eastAsia"/>
              </w:rPr>
              <w:t>13.支持超融合软件平台对接教育部教育网络安全平台，支持通过接口或数据库对接的形式获取教育部教育网络安全平台漏洞数据，并在处置完成后，实现将处置相关情况推送回相应教育部教育网络安全平台完成闭环管理，提供证明材料证明</w:t>
            </w:r>
          </w:p>
          <w:p w14:paraId="0258DC88">
            <w:pPr>
              <w:widowControl/>
              <w:jc w:val="left"/>
            </w:pPr>
            <w:r>
              <w:t>#</w:t>
            </w:r>
            <w:r>
              <w:rPr>
                <w:rFonts w:hint="eastAsia"/>
              </w:rPr>
              <w:t>14.</w:t>
            </w:r>
            <w:r>
              <w:t>支持集群动态资源调度功能，可基于超融合</w:t>
            </w:r>
            <w:r>
              <w:rPr>
                <w:rFonts w:hint="eastAsia"/>
              </w:rPr>
              <w:t>一体机硬件</w:t>
            </w:r>
            <w:r>
              <w:t>的CPU、内存、存储等资源对虚拟机进行动态资源调度</w:t>
            </w:r>
            <w:r>
              <w:rPr>
                <w:rFonts w:hint="eastAsia"/>
              </w:rPr>
              <w:t>，提供证明材料证明</w:t>
            </w:r>
          </w:p>
          <w:p w14:paraId="29F34A92">
            <w:pPr>
              <w:widowControl/>
              <w:jc w:val="left"/>
              <w:rPr>
                <w:rFonts w:hint="eastAsia"/>
              </w:rPr>
            </w:pPr>
            <w:r>
              <w:t>#</w:t>
            </w:r>
            <w:r>
              <w:rPr>
                <w:rFonts w:hint="eastAsia"/>
              </w:rPr>
              <w:t>15.</w:t>
            </w:r>
            <w:r>
              <w:t>支持创建资产盘查任务，可选择需要盘查的资产，可查看进行中、已结束的盘查任务，可对资产库中全量资产进行盘查。并支持通过资产盘查补全资产信息：不限于资产状态、是否可以正常访问、是否报错，支持盘查内容的自定义设置</w:t>
            </w:r>
            <w:r>
              <w:rPr>
                <w:rFonts w:hint="eastAsia"/>
              </w:rPr>
              <w:t>，便于资产维护，提供证明材料证明</w:t>
            </w:r>
          </w:p>
          <w:p w14:paraId="3595D303">
            <w:pPr>
              <w:widowControl/>
              <w:jc w:val="left"/>
            </w:pPr>
            <w:r>
              <w:rPr>
                <w:rFonts w:hint="eastAsia"/>
              </w:rPr>
              <w:t>△16对象存储要求</w:t>
            </w:r>
            <w:r>
              <w:t>兼容S3和swift等接口，支持通过http或CLI进行管理</w:t>
            </w:r>
          </w:p>
          <w:p w14:paraId="07487CCC">
            <w:pPr>
              <w:widowControl/>
              <w:jc w:val="left"/>
              <w:rPr>
                <w:rFonts w:hint="eastAsia"/>
              </w:rPr>
            </w:pPr>
            <w:r>
              <w:rPr>
                <w:rFonts w:hint="eastAsia"/>
              </w:rPr>
              <w:t>△17.文件存储支持协议包括：FTP、CIFS、NFS、HTTP；提供多种NAS增值服务功能，包括：权限管理、快照管理、共享目录管理等</w:t>
            </w:r>
          </w:p>
          <w:p w14:paraId="431642A6">
            <w:pPr>
              <w:widowControl/>
              <w:jc w:val="left"/>
              <w:rPr>
                <w:rFonts w:hint="eastAsia"/>
              </w:rPr>
            </w:pPr>
            <w:r>
              <w:rPr>
                <w:rFonts w:hint="eastAsia"/>
              </w:rPr>
              <w:t>△18.支持多种块存储协议，包括iscsi，RBD块存储协议</w:t>
            </w:r>
          </w:p>
          <w:p w14:paraId="03280F5A">
            <w:pPr>
              <w:widowControl/>
              <w:jc w:val="left"/>
              <w:rPr>
                <w:rFonts w:hint="eastAsia"/>
              </w:rPr>
            </w:pPr>
            <w:r>
              <w:t>#</w:t>
            </w:r>
            <w:r>
              <w:rPr>
                <w:rFonts w:hint="eastAsia"/>
              </w:rPr>
              <w:t>19.支持</w:t>
            </w:r>
            <w:r>
              <w:t>对存储空间的检测功能并能提供清理存储空间的能力</w:t>
            </w:r>
            <w:r>
              <w:rPr>
                <w:rFonts w:hint="eastAsia"/>
              </w:rPr>
              <w:t>，提供证明材料证明</w:t>
            </w:r>
          </w:p>
          <w:p w14:paraId="3CCDA6C9">
            <w:pPr>
              <w:widowControl/>
              <w:jc w:val="left"/>
            </w:pPr>
            <w:r>
              <w:t>#</w:t>
            </w:r>
            <w:r>
              <w:rPr>
                <w:rFonts w:hint="eastAsia"/>
              </w:rPr>
              <w:t>20.</w:t>
            </w:r>
            <w:r>
              <w:t>支持对系统中的盘磨损度进行检测</w:t>
            </w:r>
            <w:r>
              <w:rPr>
                <w:rFonts w:hint="eastAsia"/>
              </w:rPr>
              <w:t>，提供证明材料证明</w:t>
            </w:r>
          </w:p>
          <w:p w14:paraId="6D77989D">
            <w:pPr>
              <w:widowControl/>
              <w:jc w:val="left"/>
            </w:pPr>
            <w:r>
              <w:rPr>
                <w:rFonts w:hint="eastAsia"/>
              </w:rPr>
              <w:t>△21.支持对象的多版本管理，当发生误删除或人为篡改时，可通过历史版本恢复数据；</w:t>
            </w:r>
          </w:p>
          <w:p w14:paraId="70D9306D">
            <w:pPr>
              <w:widowControl/>
              <w:jc w:val="left"/>
              <w:rPr>
                <w:rFonts w:hint="eastAsia"/>
              </w:rPr>
            </w:pPr>
            <w:r>
              <w:rPr>
                <w:rFonts w:hint="eastAsia"/>
              </w:rPr>
              <w:t>#22.支持创建分布式虚拟防火墙，提供微分段防护能力，应当至少支持基于虚拟机、IP地址、服务等设置安全策略，提供证明材料证明</w:t>
            </w:r>
          </w:p>
          <w:p w14:paraId="49D85C02">
            <w:pPr>
              <w:widowControl/>
              <w:jc w:val="left"/>
              <w:rPr>
                <w:rFonts w:hint="eastAsia"/>
              </w:rPr>
            </w:pPr>
            <w:r>
              <w:rPr>
                <w:rFonts w:hint="eastAsia"/>
              </w:rPr>
              <w:t>△23.块存储支持快照功能，可支持创建可写快照；</w:t>
            </w:r>
          </w:p>
          <w:p w14:paraId="2B222687">
            <w:pPr>
              <w:pStyle w:val="2"/>
              <w:outlineLvl w:val="1"/>
            </w:pPr>
          </w:p>
          <w:p w14:paraId="044DE2EE">
            <w:pPr>
              <w:widowControl/>
              <w:jc w:val="left"/>
            </w:pPr>
          </w:p>
        </w:tc>
        <w:tc>
          <w:tcPr>
            <w:tcW w:w="864" w:type="dxa"/>
            <w:noWrap w:val="0"/>
            <w:vAlign w:val="top"/>
          </w:tcPr>
          <w:p w14:paraId="4F5E70E0">
            <w:pPr>
              <w:rPr>
                <w:rFonts w:hint="eastAsia"/>
              </w:rPr>
            </w:pPr>
            <w:r>
              <w:rPr>
                <w:rFonts w:hint="eastAsia"/>
              </w:rPr>
              <w:t>6</w:t>
            </w:r>
          </w:p>
        </w:tc>
        <w:tc>
          <w:tcPr>
            <w:tcW w:w="974" w:type="dxa"/>
            <w:noWrap w:val="0"/>
            <w:vAlign w:val="top"/>
          </w:tcPr>
          <w:p w14:paraId="0F8E9B37">
            <w:pPr>
              <w:rPr>
                <w:rFonts w:hint="eastAsia"/>
              </w:rPr>
            </w:pPr>
            <w:r>
              <w:rPr>
                <w:rFonts w:hint="eastAsia"/>
              </w:rPr>
              <w:t>台</w:t>
            </w:r>
          </w:p>
        </w:tc>
      </w:tr>
    </w:tbl>
    <w:p w14:paraId="6E6BFBB9">
      <w:pPr>
        <w:widowControl/>
        <w:numPr>
          <w:ilvl w:val="0"/>
          <w:numId w:val="4"/>
        </w:numPr>
        <w:spacing w:line="360" w:lineRule="auto"/>
        <w:contextualSpacing/>
        <w:rPr>
          <w:rFonts w:hint="eastAsia"/>
          <w:sz w:val="24"/>
        </w:rPr>
      </w:pPr>
      <w:r>
        <w:rPr>
          <w:rFonts w:hint="eastAsia"/>
          <w:sz w:val="24"/>
        </w:rPr>
        <w:t>服务器</w:t>
      </w:r>
    </w:p>
    <w:p w14:paraId="0BEF5C87">
      <w:pPr>
        <w:kinsoku w:val="0"/>
        <w:snapToGrid w:val="0"/>
        <w:spacing w:before="59" w:line="223" w:lineRule="auto"/>
        <w:textAlignment w:val="baseline"/>
        <w:rPr>
          <w:rFonts w:ascii="宋体" w:hAnsi="宋体" w:cs="黑体"/>
          <w:b/>
          <w:bCs/>
          <w:snapToGrid w:val="0"/>
          <w:color w:val="000000"/>
          <w:spacing w:val="-2"/>
          <w:szCs w:val="21"/>
        </w:rPr>
      </w:pPr>
      <w:r>
        <w:rPr>
          <w:rFonts w:ascii="宋体" w:hAnsi="宋体" w:cs="黑体"/>
          <w:b/>
          <w:bCs/>
          <w:snapToGrid w:val="0"/>
          <w:color w:val="000000"/>
          <w:spacing w:val="-2"/>
          <w:szCs w:val="21"/>
        </w:rPr>
        <w:t>指标要求中如有“供应商给出......”等表述要求的，请投标人明确提供响应具体内容。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12"/>
        <w:gridCol w:w="1049"/>
        <w:gridCol w:w="1832"/>
        <w:gridCol w:w="4068"/>
        <w:gridCol w:w="1525"/>
      </w:tblGrid>
      <w:tr w14:paraId="756F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51" w:type="dxa"/>
            <w:noWrap w:val="0"/>
            <w:vAlign w:val="center"/>
          </w:tcPr>
          <w:p w14:paraId="68B70BB7">
            <w:pPr>
              <w:kinsoku w:val="0"/>
              <w:adjustRightInd w:val="0"/>
              <w:snapToGrid w:val="0"/>
              <w:spacing w:before="58" w:line="223" w:lineRule="auto"/>
              <w:textAlignment w:val="baseline"/>
              <w:rPr>
                <w:rFonts w:ascii="宋体" w:hAnsi="宋体" w:cs="黑体"/>
                <w:snapToGrid w:val="0"/>
                <w:color w:val="000000"/>
                <w:szCs w:val="21"/>
              </w:rPr>
            </w:pPr>
            <w:r>
              <w:rPr>
                <w:rFonts w:ascii="宋体" w:hAnsi="宋体" w:cs="黑体"/>
                <w:b/>
                <w:bCs/>
                <w:snapToGrid w:val="0"/>
                <w:color w:val="000000"/>
                <w:spacing w:val="-6"/>
                <w:szCs w:val="21"/>
              </w:rPr>
              <w:t>序号</w:t>
            </w:r>
          </w:p>
        </w:tc>
        <w:tc>
          <w:tcPr>
            <w:tcW w:w="1012" w:type="dxa"/>
            <w:noWrap w:val="0"/>
            <w:vAlign w:val="center"/>
          </w:tcPr>
          <w:p w14:paraId="76C75B33">
            <w:pPr>
              <w:kinsoku w:val="0"/>
              <w:adjustRightInd w:val="0"/>
              <w:snapToGrid w:val="0"/>
              <w:spacing w:before="58" w:line="221" w:lineRule="auto"/>
              <w:textAlignment w:val="baseline"/>
              <w:rPr>
                <w:rFonts w:ascii="宋体" w:hAnsi="宋体" w:cs="黑体"/>
                <w:snapToGrid w:val="0"/>
                <w:color w:val="000000"/>
                <w:szCs w:val="21"/>
              </w:rPr>
            </w:pPr>
            <w:r>
              <w:rPr>
                <w:rFonts w:ascii="宋体" w:hAnsi="宋体" w:cs="黑体"/>
                <w:b/>
                <w:bCs/>
                <w:snapToGrid w:val="0"/>
                <w:color w:val="000000"/>
                <w:spacing w:val="-4"/>
                <w:szCs w:val="21"/>
              </w:rPr>
              <w:t>指标分类</w:t>
            </w:r>
          </w:p>
        </w:tc>
        <w:tc>
          <w:tcPr>
            <w:tcW w:w="1049" w:type="dxa"/>
            <w:noWrap w:val="0"/>
            <w:vAlign w:val="center"/>
          </w:tcPr>
          <w:p w14:paraId="606A0CD7">
            <w:pPr>
              <w:kinsoku w:val="0"/>
              <w:adjustRightInd w:val="0"/>
              <w:snapToGrid w:val="0"/>
              <w:spacing w:before="243"/>
              <w:ind w:right="137"/>
              <w:textAlignment w:val="baseline"/>
              <w:rPr>
                <w:rFonts w:ascii="宋体" w:hAnsi="宋体" w:cs="黑体"/>
                <w:snapToGrid w:val="0"/>
                <w:color w:val="000000"/>
                <w:szCs w:val="21"/>
              </w:rPr>
            </w:pPr>
            <w:r>
              <w:rPr>
                <w:rFonts w:ascii="宋体" w:hAnsi="宋体" w:cs="黑体"/>
                <w:b/>
                <w:bCs/>
                <w:snapToGrid w:val="0"/>
                <w:color w:val="000000"/>
                <w:spacing w:val="-7"/>
                <w:szCs w:val="21"/>
              </w:rPr>
              <w:t>一级</w:t>
            </w:r>
            <w:r>
              <w:rPr>
                <w:rFonts w:ascii="宋体" w:hAnsi="宋体" w:cs="黑体"/>
                <w:b/>
                <w:bCs/>
                <w:snapToGrid w:val="0"/>
                <w:color w:val="000000"/>
                <w:spacing w:val="-3"/>
                <w:szCs w:val="21"/>
              </w:rPr>
              <w:t>指标</w:t>
            </w:r>
          </w:p>
        </w:tc>
        <w:tc>
          <w:tcPr>
            <w:tcW w:w="1832" w:type="dxa"/>
            <w:noWrap w:val="0"/>
            <w:vAlign w:val="center"/>
          </w:tcPr>
          <w:p w14:paraId="3319919A">
            <w:pPr>
              <w:kinsoku w:val="0"/>
              <w:adjustRightInd w:val="0"/>
              <w:snapToGrid w:val="0"/>
              <w:spacing w:before="58" w:line="221" w:lineRule="auto"/>
              <w:ind w:left="151"/>
              <w:textAlignment w:val="baseline"/>
              <w:rPr>
                <w:rFonts w:ascii="宋体" w:hAnsi="宋体" w:cs="黑体"/>
                <w:snapToGrid w:val="0"/>
                <w:color w:val="000000"/>
                <w:szCs w:val="21"/>
              </w:rPr>
            </w:pPr>
            <w:r>
              <w:rPr>
                <w:rFonts w:ascii="宋体" w:hAnsi="宋体" w:cs="黑体"/>
                <w:b/>
                <w:bCs/>
                <w:snapToGrid w:val="0"/>
                <w:color w:val="000000"/>
                <w:spacing w:val="-4"/>
                <w:szCs w:val="21"/>
              </w:rPr>
              <w:t>二级指标</w:t>
            </w:r>
          </w:p>
        </w:tc>
        <w:tc>
          <w:tcPr>
            <w:tcW w:w="4068" w:type="dxa"/>
            <w:noWrap w:val="0"/>
            <w:vAlign w:val="center"/>
          </w:tcPr>
          <w:p w14:paraId="70D54E91">
            <w:pPr>
              <w:kinsoku w:val="0"/>
              <w:adjustRightInd w:val="0"/>
              <w:snapToGrid w:val="0"/>
              <w:spacing w:before="59" w:line="222" w:lineRule="auto"/>
              <w:ind w:left="1135"/>
              <w:textAlignment w:val="baseline"/>
              <w:rPr>
                <w:rFonts w:ascii="宋体" w:hAnsi="宋体" w:cs="黑体"/>
                <w:snapToGrid w:val="0"/>
                <w:color w:val="000000"/>
                <w:szCs w:val="21"/>
              </w:rPr>
            </w:pPr>
            <w:r>
              <w:rPr>
                <w:rFonts w:ascii="宋体" w:hAnsi="宋体" w:cs="黑体"/>
                <w:b/>
                <w:bCs/>
                <w:snapToGrid w:val="0"/>
                <w:color w:val="000000"/>
                <w:spacing w:val="-3"/>
                <w:szCs w:val="21"/>
              </w:rPr>
              <w:t>指标要求</w:t>
            </w:r>
          </w:p>
        </w:tc>
        <w:tc>
          <w:tcPr>
            <w:tcW w:w="1525" w:type="dxa"/>
            <w:noWrap w:val="0"/>
            <w:vAlign w:val="center"/>
          </w:tcPr>
          <w:p w14:paraId="318AEC24">
            <w:pPr>
              <w:kinsoku w:val="0"/>
              <w:adjustRightInd w:val="0"/>
              <w:snapToGrid w:val="0"/>
              <w:spacing w:before="59" w:line="222" w:lineRule="auto"/>
              <w:jc w:val="center"/>
              <w:textAlignment w:val="baseline"/>
              <w:rPr>
                <w:rFonts w:ascii="宋体" w:hAnsi="宋体" w:cs="黑体"/>
                <w:b/>
                <w:bCs/>
                <w:snapToGrid w:val="0"/>
                <w:color w:val="000000"/>
                <w:spacing w:val="-3"/>
                <w:szCs w:val="21"/>
              </w:rPr>
            </w:pPr>
            <w:r>
              <w:rPr>
                <w:rFonts w:hint="eastAsia" w:ascii="宋体" w:hAnsi="宋体" w:cs="黑体"/>
                <w:b/>
                <w:bCs/>
                <w:snapToGrid w:val="0"/>
                <w:color w:val="000000"/>
                <w:spacing w:val="-3"/>
                <w:szCs w:val="21"/>
              </w:rPr>
              <w:t>证明材料要求</w:t>
            </w:r>
          </w:p>
        </w:tc>
      </w:tr>
      <w:tr w14:paraId="6EC3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1" w:type="dxa"/>
            <w:noWrap w:val="0"/>
            <w:vAlign w:val="center"/>
          </w:tcPr>
          <w:p w14:paraId="328F0557">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091E0B67">
            <w:pPr>
              <w:kinsoku w:val="0"/>
              <w:adjustRightInd w:val="0"/>
              <w:snapToGrid w:val="0"/>
              <w:spacing w:before="59"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noWrap w:val="0"/>
            <w:vAlign w:val="center"/>
          </w:tcPr>
          <w:p w14:paraId="0CB7B142">
            <w:pPr>
              <w:kinsoku w:val="0"/>
              <w:adjustRightInd w:val="0"/>
              <w:snapToGrid w:val="0"/>
              <w:spacing w:before="59" w:line="248" w:lineRule="auto"/>
              <w:ind w:right="160"/>
              <w:textAlignment w:val="baseline"/>
              <w:rPr>
                <w:rFonts w:ascii="宋体" w:hAnsi="宋体" w:cs="黑体"/>
                <w:snapToGrid w:val="0"/>
                <w:color w:val="000000"/>
                <w:szCs w:val="21"/>
              </w:rPr>
            </w:pPr>
            <w:r>
              <w:rPr>
                <w:rFonts w:ascii="宋体" w:hAnsi="宋体" w:cs="黑体"/>
                <w:snapToGrid w:val="0"/>
                <w:color w:val="000000"/>
                <w:spacing w:val="-2"/>
                <w:szCs w:val="21"/>
              </w:rPr>
              <w:t>CPU</w:t>
            </w:r>
            <w:r>
              <w:rPr>
                <w:rFonts w:ascii="宋体" w:hAnsi="宋体" w:cs="黑体"/>
                <w:snapToGrid w:val="0"/>
                <w:color w:val="000000"/>
                <w:spacing w:val="-3"/>
                <w:szCs w:val="21"/>
              </w:rPr>
              <w:t>规格</w:t>
            </w:r>
          </w:p>
        </w:tc>
        <w:tc>
          <w:tcPr>
            <w:tcW w:w="1832" w:type="dxa"/>
            <w:noWrap w:val="0"/>
            <w:vAlign w:val="center"/>
          </w:tcPr>
          <w:p w14:paraId="55779057">
            <w:pPr>
              <w:kinsoku w:val="0"/>
              <w:adjustRightInd w:val="0"/>
              <w:snapToGrid w:val="0"/>
              <w:spacing w:before="59" w:line="223" w:lineRule="auto"/>
              <w:textAlignment w:val="baseline"/>
              <w:rPr>
                <w:rFonts w:ascii="宋体" w:hAnsi="宋体" w:cs="黑体"/>
                <w:snapToGrid w:val="0"/>
                <w:color w:val="000000"/>
                <w:szCs w:val="21"/>
              </w:rPr>
            </w:pPr>
            <w:r>
              <w:rPr>
                <w:rFonts w:ascii="宋体" w:hAnsi="宋体"/>
                <w:b/>
                <w:szCs w:val="21"/>
              </w:rPr>
              <w:t>★</w:t>
            </w:r>
            <w:r>
              <w:rPr>
                <w:rFonts w:ascii="宋体" w:hAnsi="宋体" w:cs="黑体"/>
                <w:snapToGrid w:val="0"/>
                <w:color w:val="000000"/>
                <w:spacing w:val="-2"/>
                <w:szCs w:val="21"/>
              </w:rPr>
              <w:t>CPU</w:t>
            </w:r>
            <w:r>
              <w:rPr>
                <w:rFonts w:ascii="宋体" w:hAnsi="宋体" w:cs="黑体"/>
                <w:snapToGrid w:val="0"/>
                <w:color w:val="000000"/>
                <w:spacing w:val="-37"/>
                <w:szCs w:val="21"/>
              </w:rPr>
              <w:t xml:space="preserve"> </w:t>
            </w:r>
            <w:r>
              <w:rPr>
                <w:rFonts w:ascii="宋体" w:hAnsi="宋体" w:cs="黑体"/>
                <w:snapToGrid w:val="0"/>
                <w:color w:val="000000"/>
                <w:spacing w:val="-2"/>
                <w:szCs w:val="21"/>
              </w:rPr>
              <w:t>信息</w:t>
            </w:r>
          </w:p>
        </w:tc>
        <w:tc>
          <w:tcPr>
            <w:tcW w:w="4068" w:type="dxa"/>
            <w:noWrap w:val="0"/>
            <w:vAlign w:val="center"/>
          </w:tcPr>
          <w:p w14:paraId="3B47F6A7">
            <w:pPr>
              <w:kinsoku w:val="0"/>
              <w:adjustRightInd w:val="0"/>
              <w:snapToGrid w:val="0"/>
              <w:spacing w:before="37" w:line="235" w:lineRule="auto"/>
              <w:ind w:right="172"/>
              <w:textAlignment w:val="baseline"/>
              <w:rPr>
                <w:rFonts w:ascii="宋体" w:hAnsi="宋体" w:cs="黑体"/>
                <w:snapToGrid w:val="0"/>
                <w:color w:val="000000"/>
                <w:szCs w:val="21"/>
              </w:rPr>
            </w:pPr>
            <w:r>
              <w:rPr>
                <w:rFonts w:hint="eastAsia" w:ascii="宋体" w:hAnsi="宋体" w:cs="黑体"/>
                <w:b/>
                <w:bCs/>
                <w:snapToGrid w:val="0"/>
                <w:color w:val="000000"/>
                <w:szCs w:val="21"/>
              </w:rPr>
              <w:t>供应商给出CPU信息，包含CPU型号、物理核心数、主频、末级缓存容量、线程数、热设计功耗及支持内存的最高速率、通道数和位宽</w:t>
            </w:r>
          </w:p>
        </w:tc>
        <w:tc>
          <w:tcPr>
            <w:tcW w:w="1525" w:type="dxa"/>
            <w:noWrap w:val="0"/>
            <w:vAlign w:val="center"/>
          </w:tcPr>
          <w:p w14:paraId="238FAB54">
            <w:pPr>
              <w:kinsoku w:val="0"/>
              <w:adjustRightInd w:val="0"/>
              <w:snapToGrid w:val="0"/>
              <w:spacing w:before="37" w:line="235" w:lineRule="auto"/>
              <w:ind w:right="172"/>
              <w:jc w:val="center"/>
              <w:textAlignment w:val="baseline"/>
              <w:rPr>
                <w:rFonts w:ascii="宋体" w:hAnsi="宋体" w:cs="黑体"/>
                <w:snapToGrid w:val="0"/>
                <w:color w:val="000000"/>
                <w:szCs w:val="21"/>
              </w:rPr>
            </w:pPr>
            <w:r>
              <w:rPr>
                <w:rFonts w:hint="eastAsia" w:ascii="宋体" w:hAnsi="宋体" w:cs="黑体"/>
                <w:snapToGrid w:val="0"/>
                <w:color w:val="000000"/>
                <w:szCs w:val="21"/>
              </w:rPr>
              <w:t>是</w:t>
            </w:r>
          </w:p>
        </w:tc>
      </w:tr>
      <w:tr w14:paraId="447D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37DE1477">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42DC415E">
            <w:pPr>
              <w:kinsoku w:val="0"/>
              <w:adjustRightInd w:val="0"/>
              <w:snapToGrid w:val="0"/>
              <w:spacing w:before="279"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restart"/>
            <w:noWrap w:val="0"/>
            <w:vAlign w:val="center"/>
          </w:tcPr>
          <w:p w14:paraId="7AA16AF9">
            <w:pPr>
              <w:kinsoku w:val="0"/>
              <w:adjustRightInd w:val="0"/>
              <w:snapToGrid w:val="0"/>
              <w:spacing w:before="59" w:line="235" w:lineRule="auto"/>
              <w:ind w:right="117"/>
              <w:textAlignment w:val="baseline"/>
              <w:rPr>
                <w:rFonts w:ascii="宋体" w:hAnsi="宋体" w:cs="黑体"/>
                <w:snapToGrid w:val="0"/>
                <w:color w:val="000000"/>
                <w:szCs w:val="21"/>
              </w:rPr>
            </w:pPr>
            <w:r>
              <w:rPr>
                <w:rFonts w:ascii="宋体" w:hAnsi="宋体" w:cs="黑体"/>
                <w:snapToGrid w:val="0"/>
                <w:color w:val="000000"/>
                <w:spacing w:val="-2"/>
                <w:szCs w:val="21"/>
              </w:rPr>
              <w:t>主板</w:t>
            </w:r>
            <w:r>
              <w:rPr>
                <w:rFonts w:ascii="宋体" w:hAnsi="宋体" w:cs="黑体"/>
                <w:snapToGrid w:val="0"/>
                <w:color w:val="000000"/>
                <w:spacing w:val="-3"/>
                <w:szCs w:val="21"/>
              </w:rPr>
              <w:t>规格</w:t>
            </w:r>
          </w:p>
        </w:tc>
        <w:tc>
          <w:tcPr>
            <w:tcW w:w="1832" w:type="dxa"/>
            <w:noWrap w:val="0"/>
            <w:vAlign w:val="center"/>
          </w:tcPr>
          <w:p w14:paraId="2426805D">
            <w:pPr>
              <w:kinsoku w:val="0"/>
              <w:adjustRightInd w:val="0"/>
              <w:snapToGrid w:val="0"/>
              <w:spacing w:before="39" w:line="231" w:lineRule="auto"/>
              <w:ind w:right="106"/>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主板支持</w:t>
            </w:r>
            <w:r>
              <w:rPr>
                <w:rFonts w:ascii="宋体" w:hAnsi="宋体" w:cs="黑体"/>
                <w:snapToGrid w:val="0"/>
                <w:color w:val="000000"/>
                <w:spacing w:val="-4"/>
                <w:szCs w:val="21"/>
              </w:rPr>
              <w:t>的</w:t>
            </w:r>
            <w:r>
              <w:rPr>
                <w:rFonts w:ascii="宋体" w:hAnsi="宋体" w:cs="黑体"/>
                <w:snapToGrid w:val="0"/>
                <w:color w:val="000000"/>
                <w:spacing w:val="-45"/>
                <w:szCs w:val="21"/>
              </w:rPr>
              <w:t xml:space="preserve"> </w:t>
            </w:r>
            <w:r>
              <w:rPr>
                <w:rFonts w:ascii="宋体" w:hAnsi="宋体" w:cs="黑体"/>
                <w:snapToGrid w:val="0"/>
                <w:color w:val="000000"/>
                <w:spacing w:val="-4"/>
                <w:szCs w:val="21"/>
              </w:rPr>
              <w:t>CPU</w:t>
            </w:r>
            <w:r>
              <w:rPr>
                <w:rFonts w:ascii="宋体" w:hAnsi="宋体" w:cs="黑体"/>
                <w:snapToGrid w:val="0"/>
                <w:color w:val="000000"/>
                <w:spacing w:val="-45"/>
                <w:szCs w:val="21"/>
              </w:rPr>
              <w:t xml:space="preserve"> </w:t>
            </w:r>
            <w:r>
              <w:rPr>
                <w:rFonts w:ascii="宋体" w:hAnsi="宋体" w:cs="黑体"/>
                <w:snapToGrid w:val="0"/>
                <w:color w:val="000000"/>
                <w:spacing w:val="-4"/>
                <w:szCs w:val="21"/>
              </w:rPr>
              <w:t>和内</w:t>
            </w:r>
            <w:r>
              <w:rPr>
                <w:rFonts w:ascii="宋体" w:hAnsi="宋体" w:cs="黑体"/>
                <w:snapToGrid w:val="0"/>
                <w:color w:val="000000"/>
                <w:spacing w:val="-3"/>
                <w:szCs w:val="21"/>
              </w:rPr>
              <w:t>存情况</w:t>
            </w:r>
          </w:p>
        </w:tc>
        <w:tc>
          <w:tcPr>
            <w:tcW w:w="4068" w:type="dxa"/>
            <w:noWrap w:val="0"/>
            <w:vAlign w:val="center"/>
          </w:tcPr>
          <w:p w14:paraId="4DC0066B">
            <w:pPr>
              <w:kinsoku w:val="0"/>
              <w:adjustRightInd w:val="0"/>
              <w:snapToGrid w:val="0"/>
              <w:spacing w:before="37" w:line="235" w:lineRule="auto"/>
              <w:ind w:right="172"/>
              <w:textAlignment w:val="baseline"/>
              <w:rPr>
                <w:rFonts w:ascii="宋体" w:hAnsi="宋体" w:cs="黑体"/>
                <w:snapToGrid w:val="0"/>
                <w:color w:val="000000"/>
                <w:szCs w:val="21"/>
              </w:rPr>
            </w:pPr>
            <w:r>
              <w:rPr>
                <w:rFonts w:hint="eastAsia" w:ascii="宋体" w:hAnsi="宋体" w:cs="黑体"/>
                <w:b/>
                <w:bCs/>
                <w:snapToGrid w:val="0"/>
                <w:color w:val="000000"/>
                <w:szCs w:val="21"/>
              </w:rPr>
              <w:t>供应商给出主板支持的CPU和内存的型号数量</w:t>
            </w:r>
          </w:p>
        </w:tc>
        <w:tc>
          <w:tcPr>
            <w:tcW w:w="1525" w:type="dxa"/>
            <w:noWrap w:val="0"/>
            <w:vAlign w:val="center"/>
          </w:tcPr>
          <w:p w14:paraId="6C03ED2F">
            <w:pPr>
              <w:kinsoku w:val="0"/>
              <w:adjustRightInd w:val="0"/>
              <w:snapToGrid w:val="0"/>
              <w:spacing w:before="37" w:line="235" w:lineRule="auto"/>
              <w:ind w:right="172"/>
              <w:jc w:val="center"/>
              <w:textAlignment w:val="baseline"/>
              <w:rPr>
                <w:rFonts w:hint="eastAsia" w:ascii="宋体" w:hAnsi="宋体" w:cs="黑体"/>
                <w:snapToGrid w:val="0"/>
                <w:color w:val="000000"/>
                <w:szCs w:val="21"/>
              </w:rPr>
            </w:pPr>
            <w:r>
              <w:rPr>
                <w:rFonts w:hint="eastAsia" w:ascii="宋体" w:hAnsi="宋体" w:cs="黑体"/>
                <w:snapToGrid w:val="0"/>
                <w:color w:val="000000"/>
                <w:szCs w:val="21"/>
              </w:rPr>
              <w:t>是</w:t>
            </w:r>
          </w:p>
        </w:tc>
      </w:tr>
      <w:tr w14:paraId="10E0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257912C4">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3D2CFF4C">
            <w:pPr>
              <w:kinsoku w:val="0"/>
              <w:adjustRightInd w:val="0"/>
              <w:snapToGrid w:val="0"/>
              <w:spacing w:before="281"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6B062D64">
            <w:pPr>
              <w:rPr>
                <w:rFonts w:ascii="宋体" w:hAnsi="宋体"/>
                <w:color w:val="000000"/>
                <w:szCs w:val="21"/>
              </w:rPr>
            </w:pPr>
          </w:p>
        </w:tc>
        <w:tc>
          <w:tcPr>
            <w:tcW w:w="1832" w:type="dxa"/>
            <w:noWrap w:val="0"/>
            <w:vAlign w:val="center"/>
          </w:tcPr>
          <w:p w14:paraId="5B57FC5D">
            <w:pPr>
              <w:kinsoku w:val="0"/>
              <w:adjustRightInd w:val="0"/>
              <w:snapToGrid w:val="0"/>
              <w:spacing w:before="161" w:line="234" w:lineRule="auto"/>
              <w:ind w:right="180"/>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主板内存</w:t>
            </w:r>
            <w:r>
              <w:rPr>
                <w:rFonts w:ascii="宋体" w:hAnsi="宋体" w:cs="黑体"/>
                <w:snapToGrid w:val="0"/>
                <w:color w:val="000000"/>
                <w:spacing w:val="-2"/>
                <w:szCs w:val="21"/>
              </w:rPr>
              <w:t>槽数量</w:t>
            </w:r>
          </w:p>
        </w:tc>
        <w:tc>
          <w:tcPr>
            <w:tcW w:w="4068" w:type="dxa"/>
            <w:noWrap w:val="0"/>
            <w:vAlign w:val="center"/>
          </w:tcPr>
          <w:p w14:paraId="42072AF2">
            <w:pPr>
              <w:kinsoku w:val="0"/>
              <w:adjustRightInd w:val="0"/>
              <w:snapToGrid w:val="0"/>
              <w:spacing w:before="160" w:line="235" w:lineRule="auto"/>
              <w:ind w:right="172"/>
              <w:textAlignment w:val="baseline"/>
              <w:rPr>
                <w:rFonts w:ascii="宋体" w:hAnsi="宋体" w:cs="黑体"/>
                <w:snapToGrid w:val="0"/>
                <w:color w:val="000000"/>
                <w:szCs w:val="21"/>
              </w:rPr>
            </w:pPr>
            <w:r>
              <w:rPr>
                <w:rFonts w:hint="eastAsia" w:ascii="宋体" w:hAnsi="宋体" w:cs="宋体"/>
                <w:snapToGrid w:val="0"/>
                <w:color w:val="000000"/>
                <w:szCs w:val="21"/>
              </w:rPr>
              <w:t>支持≥</w:t>
            </w:r>
            <w:r>
              <w:rPr>
                <w:rFonts w:ascii="宋体" w:hAnsi="宋体" w:cs="宋体"/>
                <w:snapToGrid w:val="0"/>
                <w:color w:val="000000"/>
                <w:szCs w:val="21"/>
              </w:rPr>
              <w:t>32</w:t>
            </w:r>
            <w:r>
              <w:rPr>
                <w:rFonts w:hint="eastAsia" w:ascii="宋体" w:hAnsi="宋体" w:cs="宋体"/>
                <w:snapToGrid w:val="0"/>
                <w:color w:val="000000"/>
                <w:szCs w:val="21"/>
              </w:rPr>
              <w:t>个DDR4内存插槽</w:t>
            </w:r>
          </w:p>
        </w:tc>
        <w:tc>
          <w:tcPr>
            <w:tcW w:w="1525" w:type="dxa"/>
            <w:noWrap w:val="0"/>
            <w:vAlign w:val="center"/>
          </w:tcPr>
          <w:p w14:paraId="0DB7C670">
            <w:pPr>
              <w:kinsoku w:val="0"/>
              <w:adjustRightInd w:val="0"/>
              <w:snapToGrid w:val="0"/>
              <w:spacing w:before="160" w:line="235" w:lineRule="auto"/>
              <w:ind w:right="172"/>
              <w:jc w:val="center"/>
              <w:textAlignment w:val="baseline"/>
              <w:rPr>
                <w:rFonts w:ascii="宋体" w:hAnsi="宋体" w:cs="宋体"/>
                <w:snapToGrid w:val="0"/>
                <w:color w:val="000000"/>
                <w:szCs w:val="21"/>
              </w:rPr>
            </w:pPr>
            <w:r>
              <w:rPr>
                <w:rFonts w:hint="eastAsia" w:ascii="宋体" w:hAnsi="宋体" w:cs="宋体"/>
                <w:snapToGrid w:val="0"/>
                <w:color w:val="000000"/>
                <w:szCs w:val="21"/>
              </w:rPr>
              <w:t>是</w:t>
            </w:r>
          </w:p>
        </w:tc>
      </w:tr>
      <w:tr w14:paraId="604F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14:paraId="58DFD0CF">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76BD824D">
            <w:pPr>
              <w:kinsoku w:val="0"/>
              <w:adjustRightInd w:val="0"/>
              <w:snapToGrid w:val="0"/>
              <w:spacing w:before="280"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689A5489">
            <w:pPr>
              <w:rPr>
                <w:rFonts w:ascii="宋体" w:hAnsi="宋体"/>
                <w:color w:val="000000"/>
                <w:szCs w:val="21"/>
              </w:rPr>
            </w:pPr>
          </w:p>
        </w:tc>
        <w:tc>
          <w:tcPr>
            <w:tcW w:w="1832" w:type="dxa"/>
            <w:noWrap w:val="0"/>
            <w:vAlign w:val="center"/>
          </w:tcPr>
          <w:p w14:paraId="3409DB78">
            <w:pPr>
              <w:kinsoku w:val="0"/>
              <w:adjustRightInd w:val="0"/>
              <w:snapToGrid w:val="0"/>
              <w:spacing w:before="161" w:line="234" w:lineRule="auto"/>
              <w:ind w:right="180"/>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主板存储</w:t>
            </w:r>
            <w:r>
              <w:rPr>
                <w:rFonts w:ascii="宋体" w:hAnsi="宋体" w:cs="黑体"/>
                <w:snapToGrid w:val="0"/>
                <w:color w:val="000000"/>
                <w:spacing w:val="-4"/>
                <w:szCs w:val="21"/>
              </w:rPr>
              <w:t>接口</w:t>
            </w:r>
          </w:p>
        </w:tc>
        <w:tc>
          <w:tcPr>
            <w:tcW w:w="4068" w:type="dxa"/>
            <w:noWrap w:val="0"/>
            <w:vAlign w:val="center"/>
          </w:tcPr>
          <w:p w14:paraId="1BADBD69">
            <w:pPr>
              <w:kinsoku w:val="0"/>
              <w:adjustRightInd w:val="0"/>
              <w:snapToGrid w:val="0"/>
              <w:spacing w:before="159" w:line="234" w:lineRule="auto"/>
              <w:ind w:right="172"/>
              <w:textAlignment w:val="baseline"/>
              <w:rPr>
                <w:rFonts w:ascii="宋体" w:hAnsi="宋体" w:cs="黑体"/>
                <w:snapToGrid w:val="0"/>
                <w:color w:val="000000"/>
                <w:szCs w:val="21"/>
              </w:rPr>
            </w:pPr>
            <w:r>
              <w:rPr>
                <w:rFonts w:hint="eastAsia" w:ascii="宋体" w:hAnsi="宋体" w:cs="宋体"/>
                <w:snapToGrid w:val="0"/>
                <w:color w:val="000000"/>
                <w:szCs w:val="21"/>
              </w:rPr>
              <w:t>至少支持 SATA、SAS、M.2、U.2 等存储接口中的 1 种</w:t>
            </w:r>
          </w:p>
        </w:tc>
        <w:tc>
          <w:tcPr>
            <w:tcW w:w="1525" w:type="dxa"/>
            <w:noWrap w:val="0"/>
            <w:vAlign w:val="center"/>
          </w:tcPr>
          <w:p w14:paraId="54E779FF">
            <w:pPr>
              <w:kinsoku w:val="0"/>
              <w:adjustRightInd w:val="0"/>
              <w:snapToGrid w:val="0"/>
              <w:spacing w:before="159" w:line="234" w:lineRule="auto"/>
              <w:ind w:right="172"/>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72A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51" w:type="dxa"/>
            <w:noWrap w:val="0"/>
            <w:vAlign w:val="center"/>
          </w:tcPr>
          <w:p w14:paraId="6B263133">
            <w:pPr>
              <w:pStyle w:val="5"/>
              <w:numPr>
                <w:ilvl w:val="0"/>
                <w:numId w:val="5"/>
              </w:numPr>
              <w:kinsoku w:val="0"/>
              <w:adjustRightInd w:val="0"/>
              <w:snapToGrid w:val="0"/>
              <w:spacing w:before="59" w:line="182" w:lineRule="auto"/>
              <w:ind w:firstLineChars="0"/>
              <w:textAlignment w:val="baseline"/>
              <w:rPr>
                <w:rFonts w:ascii="宋体" w:hAnsi="宋体" w:cs="黑体"/>
                <w:snapToGrid w:val="0"/>
                <w:color w:val="000000"/>
                <w:szCs w:val="21"/>
              </w:rPr>
            </w:pPr>
          </w:p>
        </w:tc>
        <w:tc>
          <w:tcPr>
            <w:tcW w:w="1012" w:type="dxa"/>
            <w:noWrap w:val="0"/>
            <w:vAlign w:val="center"/>
          </w:tcPr>
          <w:p w14:paraId="2A1011BE">
            <w:pPr>
              <w:kinsoku w:val="0"/>
              <w:adjustRightInd w:val="0"/>
              <w:snapToGrid w:val="0"/>
              <w:spacing w:before="59"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08F7818D">
            <w:pPr>
              <w:rPr>
                <w:rFonts w:ascii="宋体" w:hAnsi="宋体"/>
                <w:color w:val="000000"/>
                <w:szCs w:val="21"/>
              </w:rPr>
            </w:pPr>
          </w:p>
        </w:tc>
        <w:tc>
          <w:tcPr>
            <w:tcW w:w="1832" w:type="dxa"/>
            <w:noWrap w:val="0"/>
            <w:vAlign w:val="center"/>
          </w:tcPr>
          <w:p w14:paraId="6B9BF936">
            <w:pPr>
              <w:kinsoku w:val="0"/>
              <w:adjustRightInd w:val="0"/>
              <w:snapToGrid w:val="0"/>
              <w:spacing w:before="280" w:line="234" w:lineRule="auto"/>
              <w:ind w:right="137"/>
              <w:textAlignment w:val="baseline"/>
              <w:rPr>
                <w:rFonts w:ascii="宋体" w:hAnsi="宋体" w:cs="黑体"/>
                <w:snapToGrid w:val="0"/>
                <w:color w:val="000000"/>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PCIe</w:t>
            </w:r>
            <w:r>
              <w:rPr>
                <w:rFonts w:ascii="宋体" w:hAnsi="宋体" w:cs="黑体"/>
                <w:snapToGrid w:val="0"/>
                <w:color w:val="000000"/>
                <w:spacing w:val="-37"/>
                <w:szCs w:val="21"/>
              </w:rPr>
              <w:t xml:space="preserve"> </w:t>
            </w:r>
            <w:r>
              <w:rPr>
                <w:rFonts w:ascii="宋体" w:hAnsi="宋体" w:cs="黑体"/>
                <w:snapToGrid w:val="0"/>
                <w:color w:val="000000"/>
                <w:spacing w:val="-2"/>
                <w:szCs w:val="21"/>
              </w:rPr>
              <w:t>插槽</w:t>
            </w:r>
            <w:r>
              <w:rPr>
                <w:rFonts w:ascii="宋体" w:hAnsi="宋体" w:cs="黑体"/>
                <w:snapToGrid w:val="0"/>
                <w:color w:val="000000"/>
                <w:spacing w:val="-4"/>
                <w:szCs w:val="21"/>
              </w:rPr>
              <w:t>接口</w:t>
            </w:r>
          </w:p>
        </w:tc>
        <w:tc>
          <w:tcPr>
            <w:tcW w:w="4068" w:type="dxa"/>
            <w:noWrap w:val="0"/>
            <w:vAlign w:val="center"/>
          </w:tcPr>
          <w:p w14:paraId="74E02E3A">
            <w:pPr>
              <w:kinsoku w:val="0"/>
              <w:adjustRightInd w:val="0"/>
              <w:snapToGrid w:val="0"/>
              <w:spacing w:before="159" w:line="238" w:lineRule="auto"/>
              <w:ind w:right="126"/>
              <w:textAlignment w:val="baseline"/>
              <w:rPr>
                <w:rFonts w:ascii="宋体" w:hAnsi="宋体" w:cs="黑体"/>
                <w:snapToGrid w:val="0"/>
                <w:color w:val="000000"/>
                <w:szCs w:val="21"/>
              </w:rPr>
            </w:pPr>
            <w:r>
              <w:rPr>
                <w:rFonts w:ascii="宋体" w:hAnsi="宋体" w:cs="黑体"/>
                <w:snapToGrid w:val="0"/>
                <w:color w:val="000000"/>
                <w:spacing w:val="-2"/>
                <w:szCs w:val="21"/>
              </w:rPr>
              <w:t>符合</w:t>
            </w:r>
            <w:r>
              <w:rPr>
                <w:rFonts w:ascii="宋体" w:hAnsi="宋体" w:cs="黑体"/>
                <w:snapToGrid w:val="0"/>
                <w:color w:val="000000"/>
                <w:spacing w:val="-29"/>
                <w:szCs w:val="21"/>
              </w:rPr>
              <w:t xml:space="preserve"> </w:t>
            </w:r>
            <w:r>
              <w:rPr>
                <w:rFonts w:ascii="宋体" w:hAnsi="宋体" w:cs="黑体"/>
                <w:snapToGrid w:val="0"/>
                <w:color w:val="000000"/>
                <w:spacing w:val="-2"/>
                <w:szCs w:val="21"/>
              </w:rPr>
              <w:t>PCIe</w:t>
            </w:r>
            <w:r>
              <w:rPr>
                <w:rFonts w:hint="eastAsia" w:ascii="宋体" w:hAnsi="宋体" w:cs="黑体"/>
                <w:snapToGrid w:val="0"/>
                <w:color w:val="000000"/>
                <w:spacing w:val="-2"/>
                <w:szCs w:val="21"/>
              </w:rPr>
              <w:t>4</w:t>
            </w:r>
            <w:r>
              <w:rPr>
                <w:rFonts w:ascii="宋体" w:hAnsi="宋体" w:cs="黑体"/>
                <w:snapToGrid w:val="0"/>
                <w:color w:val="000000"/>
                <w:spacing w:val="-2"/>
                <w:szCs w:val="21"/>
              </w:rPr>
              <w:t>.0</w:t>
            </w:r>
            <w:r>
              <w:rPr>
                <w:rFonts w:ascii="宋体" w:hAnsi="宋体" w:cs="黑体"/>
                <w:snapToGrid w:val="0"/>
                <w:color w:val="000000"/>
                <w:spacing w:val="-33"/>
                <w:szCs w:val="21"/>
              </w:rPr>
              <w:t xml:space="preserve"> </w:t>
            </w:r>
            <w:r>
              <w:rPr>
                <w:rFonts w:ascii="宋体" w:hAnsi="宋体" w:cs="黑体"/>
                <w:snapToGrid w:val="0"/>
                <w:color w:val="000000"/>
                <w:spacing w:val="-2"/>
                <w:szCs w:val="21"/>
              </w:rPr>
              <w:t>或以上的高速串行计算机扩展总线标准，PCIe</w:t>
            </w:r>
            <w:r>
              <w:rPr>
                <w:rFonts w:ascii="宋体" w:hAnsi="宋体" w:cs="黑体"/>
                <w:snapToGrid w:val="0"/>
                <w:color w:val="000000"/>
                <w:spacing w:val="-19"/>
                <w:szCs w:val="21"/>
              </w:rPr>
              <w:t xml:space="preserve"> </w:t>
            </w:r>
            <w:r>
              <w:rPr>
                <w:rFonts w:ascii="宋体" w:hAnsi="宋体" w:cs="黑体"/>
                <w:snapToGrid w:val="0"/>
                <w:color w:val="000000"/>
                <w:spacing w:val="-2"/>
                <w:szCs w:val="21"/>
              </w:rPr>
              <w:t>的接口速</w:t>
            </w:r>
            <w:r>
              <w:rPr>
                <w:rFonts w:ascii="宋体" w:hAnsi="宋体" w:cs="黑体"/>
                <w:snapToGrid w:val="0"/>
                <w:color w:val="000000"/>
                <w:spacing w:val="-1"/>
                <w:szCs w:val="21"/>
              </w:rPr>
              <w:t>率与位宽需保证向下兼容</w:t>
            </w:r>
          </w:p>
        </w:tc>
        <w:tc>
          <w:tcPr>
            <w:tcW w:w="1525" w:type="dxa"/>
            <w:noWrap w:val="0"/>
            <w:vAlign w:val="center"/>
          </w:tcPr>
          <w:p w14:paraId="32C392A0">
            <w:pPr>
              <w:kinsoku w:val="0"/>
              <w:adjustRightInd w:val="0"/>
              <w:snapToGrid w:val="0"/>
              <w:spacing w:before="159" w:line="238" w:lineRule="auto"/>
              <w:ind w:right="126"/>
              <w:jc w:val="center"/>
              <w:textAlignment w:val="baseline"/>
              <w:rPr>
                <w:rFonts w:hint="eastAsia" w:ascii="宋体" w:hAnsi="宋体" w:eastAsia="宋体" w:cs="黑体"/>
                <w:snapToGrid w:val="0"/>
                <w:color w:val="000000"/>
                <w:spacing w:val="-2"/>
                <w:szCs w:val="21"/>
                <w:lang w:eastAsia="zh-CN"/>
              </w:rPr>
            </w:pPr>
            <w:r>
              <w:rPr>
                <w:rFonts w:hint="eastAsia" w:ascii="宋体" w:hAnsi="宋体" w:cs="宋体"/>
                <w:snapToGrid w:val="0"/>
                <w:color w:val="000000"/>
                <w:szCs w:val="21"/>
                <w:lang w:eastAsia="zh-CN"/>
              </w:rPr>
              <w:t>须提供承诺函（须加盖投标人公章）</w:t>
            </w:r>
          </w:p>
        </w:tc>
      </w:tr>
      <w:tr w14:paraId="2A6C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1" w:type="dxa"/>
            <w:noWrap w:val="0"/>
            <w:vAlign w:val="center"/>
          </w:tcPr>
          <w:p w14:paraId="65C78D88">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1321103B">
            <w:pPr>
              <w:kinsoku w:val="0"/>
              <w:adjustRightInd w:val="0"/>
              <w:snapToGrid w:val="0"/>
              <w:spacing w:before="59" w:line="223" w:lineRule="auto"/>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0D876407">
            <w:pPr>
              <w:rPr>
                <w:rFonts w:ascii="宋体" w:hAnsi="宋体"/>
                <w:color w:val="000000"/>
                <w:szCs w:val="21"/>
              </w:rPr>
            </w:pPr>
          </w:p>
        </w:tc>
        <w:tc>
          <w:tcPr>
            <w:tcW w:w="1832" w:type="dxa"/>
            <w:noWrap w:val="0"/>
            <w:vAlign w:val="center"/>
          </w:tcPr>
          <w:p w14:paraId="35D19874">
            <w:pPr>
              <w:kinsoku w:val="0"/>
              <w:adjustRightInd w:val="0"/>
              <w:snapToGrid w:val="0"/>
              <w:spacing w:before="59" w:line="238" w:lineRule="auto"/>
              <w:ind w:right="136"/>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hint="eastAsia" w:ascii="宋体" w:hAnsi="宋体" w:cs="黑体"/>
                <w:snapToGrid w:val="0"/>
                <w:color w:val="000000"/>
                <w:spacing w:val="-2"/>
                <w:szCs w:val="21"/>
              </w:rPr>
              <w:t>主板PCIe插槽数量及规格</w:t>
            </w:r>
          </w:p>
        </w:tc>
        <w:tc>
          <w:tcPr>
            <w:tcW w:w="4068" w:type="dxa"/>
            <w:noWrap w:val="0"/>
            <w:vAlign w:val="center"/>
          </w:tcPr>
          <w:p w14:paraId="69BC50B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双路服务器PCIe 插槽或接口应不少于1</w:t>
            </w:r>
            <w:r>
              <w:rPr>
                <w:rFonts w:hint="eastAsia" w:ascii="宋体" w:hAnsi="宋体" w:cs="黑体"/>
                <w:snapToGrid w:val="0"/>
                <w:color w:val="000000"/>
                <w:spacing w:val="-2"/>
                <w:szCs w:val="21"/>
                <w:lang w:val="en-US" w:eastAsia="zh-CN"/>
              </w:rPr>
              <w:t>0</w:t>
            </w:r>
            <w:r>
              <w:rPr>
                <w:rFonts w:hint="eastAsia" w:ascii="宋体" w:hAnsi="宋体" w:cs="黑体"/>
                <w:snapToGrid w:val="0"/>
                <w:color w:val="000000"/>
                <w:spacing w:val="-2"/>
                <w:szCs w:val="21"/>
              </w:rPr>
              <w:t>个；</w:t>
            </w:r>
          </w:p>
        </w:tc>
        <w:tc>
          <w:tcPr>
            <w:tcW w:w="1525" w:type="dxa"/>
            <w:noWrap w:val="0"/>
            <w:vAlign w:val="center"/>
          </w:tcPr>
          <w:p w14:paraId="1E48674E">
            <w:pPr>
              <w:jc w:val="center"/>
              <w:rPr>
                <w:rFonts w:ascii="宋体" w:hAnsi="宋体" w:cs="黑体"/>
                <w:snapToGrid w:val="0"/>
                <w:color w:val="000000"/>
                <w:spacing w:val="-3"/>
                <w:szCs w:val="21"/>
              </w:rPr>
            </w:pPr>
            <w:r>
              <w:rPr>
                <w:rFonts w:hint="eastAsia" w:ascii="宋体" w:hAnsi="宋体" w:cs="宋体"/>
                <w:snapToGrid w:val="0"/>
                <w:color w:val="000000"/>
                <w:szCs w:val="21"/>
              </w:rPr>
              <w:t>是</w:t>
            </w:r>
          </w:p>
        </w:tc>
      </w:tr>
      <w:tr w14:paraId="01B4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14:paraId="5FA89F40">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0EC5126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0ED41A63">
            <w:pPr>
              <w:rPr>
                <w:rFonts w:ascii="宋体" w:hAnsi="宋体"/>
                <w:color w:val="000000"/>
                <w:szCs w:val="21"/>
              </w:rPr>
            </w:pPr>
          </w:p>
        </w:tc>
        <w:tc>
          <w:tcPr>
            <w:tcW w:w="1832" w:type="dxa"/>
            <w:noWrap w:val="0"/>
            <w:vAlign w:val="center"/>
          </w:tcPr>
          <w:p w14:paraId="40A1ED92">
            <w:pPr>
              <w:kinsoku w:val="0"/>
              <w:adjustRightInd w:val="0"/>
              <w:snapToGrid w:val="0"/>
              <w:spacing w:before="284" w:line="234" w:lineRule="auto"/>
              <w:ind w:right="106"/>
              <w:textAlignment w:val="baseline"/>
              <w:rPr>
                <w:rFonts w:ascii="宋体" w:hAnsi="宋体" w:cs="黑体"/>
                <w:snapToGrid w:val="0"/>
                <w:color w:val="000000"/>
                <w:szCs w:val="21"/>
              </w:rPr>
            </w:pPr>
            <w:r>
              <w:rPr>
                <w:rFonts w:ascii="宋体" w:hAnsi="宋体" w:cs="黑体"/>
                <w:snapToGrid w:val="0"/>
                <w:color w:val="000000"/>
                <w:spacing w:val="-4"/>
                <w:szCs w:val="21"/>
              </w:rPr>
              <w:t>主板OCP</w:t>
            </w:r>
            <w:r>
              <w:rPr>
                <w:rFonts w:ascii="宋体" w:hAnsi="宋体" w:cs="黑体"/>
                <w:snapToGrid w:val="0"/>
                <w:color w:val="000000"/>
                <w:spacing w:val="-47"/>
                <w:szCs w:val="21"/>
              </w:rPr>
              <w:t xml:space="preserve"> </w:t>
            </w:r>
            <w:r>
              <w:rPr>
                <w:rFonts w:ascii="宋体" w:hAnsi="宋体" w:cs="黑体"/>
                <w:snapToGrid w:val="0"/>
                <w:color w:val="000000"/>
                <w:spacing w:val="-4"/>
                <w:szCs w:val="21"/>
              </w:rPr>
              <w:t>插</w:t>
            </w:r>
            <w:r>
              <w:rPr>
                <w:rFonts w:ascii="宋体" w:hAnsi="宋体" w:cs="黑体"/>
                <w:snapToGrid w:val="0"/>
                <w:color w:val="000000"/>
                <w:spacing w:val="-2"/>
                <w:szCs w:val="21"/>
              </w:rPr>
              <w:t>槽数量</w:t>
            </w:r>
          </w:p>
        </w:tc>
        <w:tc>
          <w:tcPr>
            <w:tcW w:w="4068" w:type="dxa"/>
            <w:noWrap w:val="0"/>
            <w:vAlign w:val="center"/>
          </w:tcPr>
          <w:p w14:paraId="7DDB444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 OCP3.0插槽的数量不少于 1 个</w:t>
            </w:r>
          </w:p>
        </w:tc>
        <w:tc>
          <w:tcPr>
            <w:tcW w:w="1525" w:type="dxa"/>
            <w:noWrap w:val="0"/>
            <w:vAlign w:val="center"/>
          </w:tcPr>
          <w:p w14:paraId="51F2E50A">
            <w:pPr>
              <w:kinsoku w:val="0"/>
              <w:adjustRightInd w:val="0"/>
              <w:snapToGrid w:val="0"/>
              <w:spacing w:before="283" w:line="235" w:lineRule="auto"/>
              <w:ind w:right="102"/>
              <w:jc w:val="center"/>
              <w:textAlignment w:val="baseline"/>
              <w:rPr>
                <w:rFonts w:hint="eastAsia" w:ascii="宋体" w:hAnsi="宋体" w:eastAsia="宋体" w:cs="黑体"/>
                <w:snapToGrid w:val="0"/>
                <w:color w:val="000000"/>
                <w:spacing w:val="-2"/>
                <w:szCs w:val="21"/>
                <w:lang w:eastAsia="zh-CN"/>
              </w:rPr>
            </w:pPr>
            <w:r>
              <w:rPr>
                <w:rFonts w:hint="eastAsia" w:ascii="宋体" w:hAnsi="宋体" w:cs="宋体"/>
                <w:snapToGrid w:val="0"/>
                <w:color w:val="000000"/>
                <w:szCs w:val="21"/>
                <w:lang w:eastAsia="zh-CN"/>
              </w:rPr>
              <w:t>须提供承诺函（须加盖投标人公章）</w:t>
            </w:r>
          </w:p>
        </w:tc>
      </w:tr>
      <w:tr w14:paraId="2F27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51" w:type="dxa"/>
            <w:noWrap w:val="0"/>
            <w:vAlign w:val="center"/>
          </w:tcPr>
          <w:p w14:paraId="05B8EFA7">
            <w:pPr>
              <w:pStyle w:val="5"/>
              <w:numPr>
                <w:ilvl w:val="0"/>
                <w:numId w:val="5"/>
              </w:numPr>
              <w:kinsoku w:val="0"/>
              <w:adjustRightInd w:val="0"/>
              <w:snapToGrid w:val="0"/>
              <w:spacing w:before="58" w:line="181" w:lineRule="auto"/>
              <w:ind w:firstLineChars="0"/>
              <w:textAlignment w:val="baseline"/>
              <w:rPr>
                <w:rFonts w:ascii="宋体" w:hAnsi="宋体" w:cs="黑体"/>
                <w:snapToGrid w:val="0"/>
                <w:color w:val="000000"/>
                <w:szCs w:val="21"/>
              </w:rPr>
            </w:pPr>
          </w:p>
        </w:tc>
        <w:tc>
          <w:tcPr>
            <w:tcW w:w="1012" w:type="dxa"/>
            <w:noWrap w:val="0"/>
            <w:vAlign w:val="center"/>
          </w:tcPr>
          <w:p w14:paraId="6E30628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restart"/>
            <w:noWrap w:val="0"/>
            <w:vAlign w:val="center"/>
          </w:tcPr>
          <w:p w14:paraId="4CDB2D5D">
            <w:pPr>
              <w:kinsoku w:val="0"/>
              <w:adjustRightInd w:val="0"/>
              <w:snapToGrid w:val="0"/>
              <w:spacing w:before="58" w:line="235"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内存</w:t>
            </w:r>
            <w:r>
              <w:rPr>
                <w:rFonts w:ascii="宋体" w:hAnsi="宋体" w:cs="黑体"/>
                <w:snapToGrid w:val="0"/>
                <w:color w:val="000000"/>
                <w:spacing w:val="-3"/>
                <w:szCs w:val="21"/>
              </w:rPr>
              <w:t>规格</w:t>
            </w:r>
          </w:p>
        </w:tc>
        <w:tc>
          <w:tcPr>
            <w:tcW w:w="1832" w:type="dxa"/>
            <w:noWrap w:val="0"/>
            <w:vAlign w:val="center"/>
          </w:tcPr>
          <w:p w14:paraId="57A0E46B">
            <w:pPr>
              <w:kinsoku w:val="0"/>
              <w:adjustRightInd w:val="0"/>
              <w:snapToGrid w:val="0"/>
              <w:spacing w:before="39" w:line="201" w:lineRule="auto"/>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内存数量</w:t>
            </w:r>
          </w:p>
        </w:tc>
        <w:tc>
          <w:tcPr>
            <w:tcW w:w="4068" w:type="dxa"/>
            <w:noWrap w:val="0"/>
            <w:vAlign w:val="center"/>
          </w:tcPr>
          <w:p w14:paraId="1CC4A1D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w:t>
            </w:r>
            <w:r>
              <w:rPr>
                <w:rFonts w:hint="eastAsia" w:ascii="宋体" w:hAnsi="宋体" w:cs="黑体"/>
                <w:snapToGrid w:val="0"/>
                <w:color w:val="000000"/>
                <w:spacing w:val="-2"/>
                <w:szCs w:val="21"/>
              </w:rPr>
              <w:t>32</w:t>
            </w:r>
          </w:p>
        </w:tc>
        <w:tc>
          <w:tcPr>
            <w:tcW w:w="1525" w:type="dxa"/>
            <w:noWrap w:val="0"/>
            <w:vAlign w:val="center"/>
          </w:tcPr>
          <w:p w14:paraId="72EDC63A">
            <w:pPr>
              <w:kinsoku w:val="0"/>
              <w:adjustRightInd w:val="0"/>
              <w:snapToGrid w:val="0"/>
              <w:spacing w:before="39" w:line="201" w:lineRule="auto"/>
              <w:jc w:val="center"/>
              <w:textAlignment w:val="baseline"/>
              <w:rPr>
                <w:rFonts w:hint="eastAsia" w:ascii="宋体" w:hAnsi="宋体" w:eastAsia="宋体" w:cs="黑体"/>
                <w:snapToGrid w:val="0"/>
                <w:color w:val="000000"/>
                <w:spacing w:val="-13"/>
                <w:szCs w:val="21"/>
                <w:lang w:eastAsia="zh-CN"/>
              </w:rPr>
            </w:pPr>
            <w:r>
              <w:rPr>
                <w:rFonts w:hint="eastAsia" w:ascii="宋体" w:hAnsi="宋体" w:cs="宋体"/>
                <w:snapToGrid w:val="0"/>
                <w:color w:val="000000"/>
                <w:szCs w:val="21"/>
                <w:lang w:eastAsia="zh-CN"/>
              </w:rPr>
              <w:t>须提供承诺函（须加盖投标人公章）</w:t>
            </w:r>
          </w:p>
        </w:tc>
      </w:tr>
      <w:tr w14:paraId="6907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51" w:type="dxa"/>
            <w:noWrap w:val="0"/>
            <w:vAlign w:val="center"/>
          </w:tcPr>
          <w:p w14:paraId="025EAAA9">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1A6DAF21">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7E299625">
            <w:pPr>
              <w:rPr>
                <w:rFonts w:ascii="宋体" w:hAnsi="宋体"/>
                <w:color w:val="000000"/>
                <w:szCs w:val="21"/>
              </w:rPr>
            </w:pPr>
          </w:p>
        </w:tc>
        <w:tc>
          <w:tcPr>
            <w:tcW w:w="1832" w:type="dxa"/>
            <w:noWrap w:val="0"/>
            <w:vAlign w:val="center"/>
          </w:tcPr>
          <w:p w14:paraId="596DC51B">
            <w:pPr>
              <w:kinsoku w:val="0"/>
              <w:adjustRightInd w:val="0"/>
              <w:snapToGrid w:val="0"/>
              <w:spacing w:before="58" w:line="222" w:lineRule="auto"/>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内存规格</w:t>
            </w:r>
          </w:p>
        </w:tc>
        <w:tc>
          <w:tcPr>
            <w:tcW w:w="4068" w:type="dxa"/>
            <w:noWrap w:val="0"/>
            <w:vAlign w:val="center"/>
          </w:tcPr>
          <w:p w14:paraId="08C82838">
            <w:pPr>
              <w:kinsoku w:val="0"/>
              <w:adjustRightInd w:val="0"/>
              <w:snapToGrid w:val="0"/>
              <w:spacing w:before="159" w:line="238" w:lineRule="auto"/>
              <w:ind w:right="126"/>
              <w:textAlignment w:val="baseline"/>
              <w:rPr>
                <w:rFonts w:hint="eastAsia" w:ascii="宋体" w:hAnsi="宋体" w:cs="黑体"/>
                <w:snapToGrid w:val="0"/>
                <w:color w:val="000000"/>
                <w:spacing w:val="-2"/>
                <w:szCs w:val="21"/>
              </w:rPr>
            </w:pPr>
            <w:r>
              <w:rPr>
                <w:rFonts w:ascii="宋体" w:hAnsi="宋体" w:cs="黑体"/>
                <w:snapToGrid w:val="0"/>
                <w:color w:val="000000"/>
                <w:spacing w:val="-2"/>
                <w:szCs w:val="21"/>
              </w:rPr>
              <w:t>≥DDR</w:t>
            </w:r>
            <w:r>
              <w:rPr>
                <w:rFonts w:hint="eastAsia" w:ascii="宋体" w:hAnsi="宋体" w:cs="黑体"/>
                <w:snapToGrid w:val="0"/>
                <w:color w:val="000000"/>
                <w:spacing w:val="-2"/>
                <w:szCs w:val="21"/>
              </w:rPr>
              <w:t>4</w:t>
            </w:r>
          </w:p>
        </w:tc>
        <w:tc>
          <w:tcPr>
            <w:tcW w:w="1525" w:type="dxa"/>
            <w:noWrap w:val="0"/>
            <w:vAlign w:val="center"/>
          </w:tcPr>
          <w:p w14:paraId="344328D6">
            <w:pPr>
              <w:kinsoku w:val="0"/>
              <w:adjustRightInd w:val="0"/>
              <w:snapToGrid w:val="0"/>
              <w:spacing w:before="58"/>
              <w:jc w:val="center"/>
              <w:textAlignment w:val="baseline"/>
              <w:rPr>
                <w:rFonts w:hint="eastAsia" w:ascii="宋体" w:hAnsi="宋体" w:eastAsia="宋体" w:cs="黑体"/>
                <w:snapToGrid w:val="0"/>
                <w:color w:val="000000"/>
                <w:spacing w:val="-6"/>
                <w:szCs w:val="21"/>
                <w:lang w:eastAsia="zh-CN"/>
              </w:rPr>
            </w:pPr>
            <w:r>
              <w:rPr>
                <w:rFonts w:hint="eastAsia" w:ascii="宋体" w:hAnsi="宋体" w:cs="宋体"/>
                <w:snapToGrid w:val="0"/>
                <w:color w:val="000000"/>
                <w:szCs w:val="21"/>
                <w:lang w:eastAsia="zh-CN"/>
              </w:rPr>
              <w:t>须提供承诺函（须加盖投标人公章）</w:t>
            </w:r>
          </w:p>
        </w:tc>
      </w:tr>
      <w:tr w14:paraId="2D98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51" w:type="dxa"/>
            <w:noWrap w:val="0"/>
            <w:vAlign w:val="center"/>
          </w:tcPr>
          <w:p w14:paraId="4303BFD1">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085749E1">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4ACC8BBF">
            <w:pPr>
              <w:rPr>
                <w:rFonts w:ascii="宋体" w:hAnsi="宋体"/>
                <w:color w:val="000000"/>
                <w:szCs w:val="21"/>
              </w:rPr>
            </w:pPr>
          </w:p>
        </w:tc>
        <w:tc>
          <w:tcPr>
            <w:tcW w:w="1832" w:type="dxa"/>
            <w:noWrap w:val="0"/>
            <w:vAlign w:val="center"/>
          </w:tcPr>
          <w:p w14:paraId="67599319">
            <w:pPr>
              <w:kinsoku w:val="0"/>
              <w:adjustRightInd w:val="0"/>
              <w:snapToGrid w:val="0"/>
              <w:spacing w:before="58" w:line="222" w:lineRule="auto"/>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内存通道</w:t>
            </w:r>
          </w:p>
        </w:tc>
        <w:tc>
          <w:tcPr>
            <w:tcW w:w="4068" w:type="dxa"/>
            <w:noWrap w:val="0"/>
            <w:vAlign w:val="center"/>
          </w:tcPr>
          <w:p w14:paraId="7689B25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每个CPU内存通道≥8，最大支持</w:t>
            </w:r>
            <w:r>
              <w:rPr>
                <w:rFonts w:ascii="宋体" w:hAnsi="宋体" w:cs="黑体"/>
                <w:snapToGrid w:val="0"/>
                <w:color w:val="000000"/>
                <w:spacing w:val="-2"/>
                <w:szCs w:val="21"/>
              </w:rPr>
              <w:t>32</w:t>
            </w:r>
            <w:r>
              <w:rPr>
                <w:rFonts w:hint="eastAsia" w:ascii="宋体" w:hAnsi="宋体" w:cs="黑体"/>
                <w:snapToGrid w:val="0"/>
                <w:color w:val="000000"/>
                <w:spacing w:val="-2"/>
                <w:szCs w:val="21"/>
              </w:rPr>
              <w:t>个DDR4内存插槽</w:t>
            </w:r>
          </w:p>
        </w:tc>
        <w:tc>
          <w:tcPr>
            <w:tcW w:w="1525" w:type="dxa"/>
            <w:noWrap w:val="0"/>
            <w:vAlign w:val="center"/>
          </w:tcPr>
          <w:p w14:paraId="1D4FDF47">
            <w:pPr>
              <w:kinsoku w:val="0"/>
              <w:adjustRightInd w:val="0"/>
              <w:snapToGrid w:val="0"/>
              <w:spacing w:before="38" w:line="237" w:lineRule="auto"/>
              <w:ind w:right="168"/>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44E5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1" w:type="dxa"/>
            <w:noWrap w:val="0"/>
            <w:vAlign w:val="center"/>
          </w:tcPr>
          <w:p w14:paraId="04A6A4F3">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19300B68">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restart"/>
            <w:noWrap w:val="0"/>
            <w:vAlign w:val="center"/>
          </w:tcPr>
          <w:p w14:paraId="18CA1804">
            <w:pPr>
              <w:rPr>
                <w:rFonts w:ascii="宋体" w:hAnsi="宋体"/>
                <w:color w:val="000000"/>
                <w:szCs w:val="21"/>
              </w:rPr>
            </w:pPr>
            <w:r>
              <w:rPr>
                <w:rFonts w:hint="eastAsia" w:ascii="宋体" w:hAnsi="宋体" w:cs="黑体"/>
                <w:snapToGrid w:val="0"/>
                <w:color w:val="000000"/>
                <w:szCs w:val="21"/>
              </w:rPr>
              <w:t>存储规格</w:t>
            </w:r>
          </w:p>
        </w:tc>
        <w:tc>
          <w:tcPr>
            <w:tcW w:w="1832" w:type="dxa"/>
            <w:noWrap w:val="0"/>
            <w:vAlign w:val="center"/>
          </w:tcPr>
          <w:p w14:paraId="43296FA5">
            <w:pPr>
              <w:kinsoku w:val="0"/>
              <w:adjustRightInd w:val="0"/>
              <w:snapToGrid w:val="0"/>
              <w:spacing w:before="59" w:line="234" w:lineRule="auto"/>
              <w:ind w:right="123"/>
              <w:textAlignment w:val="baseline"/>
              <w:rPr>
                <w:rFonts w:ascii="宋体" w:hAnsi="宋体" w:cs="黑体"/>
                <w:snapToGrid w:val="0"/>
                <w:color w:val="000000"/>
                <w:szCs w:val="21"/>
              </w:rPr>
            </w:pPr>
            <w:r>
              <w:rPr>
                <w:rFonts w:hint="eastAsia" w:ascii="黑体" w:hAnsi="Calibri" w:eastAsia="黑体" w:cs="黑体"/>
                <w:color w:val="000000"/>
                <w:kern w:val="0"/>
                <w:sz w:val="18"/>
                <w:szCs w:val="18"/>
              </w:rPr>
              <w:t>★</w:t>
            </w:r>
            <w:r>
              <w:rPr>
                <w:rFonts w:ascii="宋体" w:hAnsi="宋体" w:cs="黑体"/>
                <w:snapToGrid w:val="0"/>
                <w:color w:val="000000"/>
                <w:spacing w:val="-1"/>
                <w:szCs w:val="21"/>
              </w:rPr>
              <w:t>硬磁盘实</w:t>
            </w:r>
            <w:r>
              <w:rPr>
                <w:rFonts w:ascii="宋体" w:hAnsi="宋体" w:cs="黑体"/>
                <w:snapToGrid w:val="0"/>
                <w:color w:val="000000"/>
                <w:spacing w:val="-3"/>
                <w:szCs w:val="21"/>
              </w:rPr>
              <w:t>配容量</w:t>
            </w:r>
          </w:p>
        </w:tc>
        <w:tc>
          <w:tcPr>
            <w:tcW w:w="4068" w:type="dxa"/>
            <w:noWrap w:val="0"/>
            <w:vAlign w:val="center"/>
          </w:tcPr>
          <w:p w14:paraId="21B7162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要求单台服务器需配置≥2*480 GB/SATA 6Gb SSD；≥3*960GB/NVME SSD；</w:t>
            </w:r>
          </w:p>
        </w:tc>
        <w:tc>
          <w:tcPr>
            <w:tcW w:w="1525" w:type="dxa"/>
            <w:noWrap w:val="0"/>
            <w:vAlign w:val="center"/>
          </w:tcPr>
          <w:p w14:paraId="2EC95454">
            <w:pPr>
              <w:kinsoku w:val="0"/>
              <w:adjustRightInd w:val="0"/>
              <w:snapToGrid w:val="0"/>
              <w:spacing w:before="23" w:line="237" w:lineRule="auto"/>
              <w:ind w:right="168"/>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39E7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51" w:type="dxa"/>
            <w:noWrap w:val="0"/>
            <w:vAlign w:val="center"/>
          </w:tcPr>
          <w:p w14:paraId="2367CC53">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49EC603D">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4E315D26">
            <w:pPr>
              <w:rPr>
                <w:rFonts w:ascii="宋体" w:hAnsi="宋体"/>
                <w:color w:val="000000"/>
                <w:szCs w:val="21"/>
              </w:rPr>
            </w:pPr>
          </w:p>
        </w:tc>
        <w:tc>
          <w:tcPr>
            <w:tcW w:w="1832" w:type="dxa"/>
            <w:noWrap w:val="0"/>
            <w:vAlign w:val="center"/>
          </w:tcPr>
          <w:p w14:paraId="3ABCB707">
            <w:pPr>
              <w:kinsoku w:val="0"/>
              <w:adjustRightInd w:val="0"/>
              <w:snapToGrid w:val="0"/>
              <w:spacing w:before="59" w:line="234" w:lineRule="auto"/>
              <w:ind w:right="123"/>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硬盘实配</w:t>
            </w:r>
            <w:r>
              <w:rPr>
                <w:rFonts w:ascii="宋体" w:hAnsi="宋体" w:cs="黑体"/>
                <w:snapToGrid w:val="0"/>
                <w:color w:val="000000"/>
                <w:spacing w:val="-4"/>
                <w:szCs w:val="21"/>
              </w:rPr>
              <w:t>数量</w:t>
            </w:r>
          </w:p>
        </w:tc>
        <w:tc>
          <w:tcPr>
            <w:tcW w:w="4068" w:type="dxa"/>
            <w:noWrap w:val="0"/>
            <w:vAlign w:val="center"/>
          </w:tcPr>
          <w:p w14:paraId="2A8769D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要求单台服务器实配硬盘数量≥5块</w:t>
            </w:r>
          </w:p>
        </w:tc>
        <w:tc>
          <w:tcPr>
            <w:tcW w:w="1525" w:type="dxa"/>
            <w:noWrap w:val="0"/>
            <w:vAlign w:val="center"/>
          </w:tcPr>
          <w:p w14:paraId="4A488BA9">
            <w:pPr>
              <w:kinsoku w:val="0"/>
              <w:adjustRightInd w:val="0"/>
              <w:snapToGrid w:val="0"/>
              <w:spacing w:before="31" w:line="222" w:lineRule="auto"/>
              <w:ind w:right="168"/>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69E3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center"/>
          </w:tcPr>
          <w:p w14:paraId="5657C436">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653E6A46">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12EEB6A8">
            <w:pPr>
              <w:rPr>
                <w:rFonts w:ascii="宋体" w:hAnsi="宋体"/>
                <w:color w:val="000000"/>
                <w:szCs w:val="21"/>
              </w:rPr>
            </w:pPr>
          </w:p>
        </w:tc>
        <w:tc>
          <w:tcPr>
            <w:tcW w:w="1832" w:type="dxa"/>
            <w:noWrap w:val="0"/>
            <w:vAlign w:val="center"/>
          </w:tcPr>
          <w:p w14:paraId="7262740F">
            <w:pPr>
              <w:kinsoku w:val="0"/>
              <w:adjustRightInd w:val="0"/>
              <w:snapToGrid w:val="0"/>
              <w:spacing w:before="59" w:line="238" w:lineRule="auto"/>
              <w:ind w:right="123"/>
              <w:textAlignment w:val="baseline"/>
              <w:rPr>
                <w:rFonts w:ascii="宋体" w:hAnsi="宋体" w:cs="宋体"/>
                <w:snapToGrid w:val="0"/>
                <w:color w:val="000000"/>
                <w:szCs w:val="21"/>
              </w:rPr>
            </w:pPr>
            <w:r>
              <w:rPr>
                <w:rFonts w:hint="eastAsia" w:ascii="宋体" w:hAnsi="宋体" w:cs="宋体"/>
                <w:snapToGrid w:val="0"/>
                <w:color w:val="000000"/>
                <w:szCs w:val="21"/>
              </w:rPr>
              <w:t>★</w:t>
            </w:r>
            <w:r>
              <w:rPr>
                <w:rFonts w:ascii="宋体" w:hAnsi="宋体" w:cs="宋体"/>
                <w:snapToGrid w:val="0"/>
                <w:color w:val="000000"/>
                <w:szCs w:val="21"/>
              </w:rPr>
              <w:t>硬盘插槽数量及规格</w:t>
            </w:r>
          </w:p>
        </w:tc>
        <w:tc>
          <w:tcPr>
            <w:tcW w:w="4068" w:type="dxa"/>
            <w:noWrap w:val="0"/>
            <w:vAlign w:val="center"/>
          </w:tcPr>
          <w:p w14:paraId="3EACE17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 xml:space="preserve">a) </w:t>
            </w:r>
            <w:r>
              <w:rPr>
                <w:rFonts w:hint="eastAsia" w:ascii="宋体" w:hAnsi="宋体" w:cs="黑体"/>
                <w:b/>
                <w:bCs/>
                <w:snapToGrid w:val="0"/>
                <w:color w:val="000000"/>
                <w:spacing w:val="-2"/>
                <w:szCs w:val="21"/>
              </w:rPr>
              <w:t>供应商应给出配置的硬盘尺寸，如2.5 英寸、3.5 英寸硬磁盘；</w:t>
            </w:r>
          </w:p>
          <w:p w14:paraId="54FAE2D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b) 机箱可支持的3</w:t>
            </w:r>
            <w:r>
              <w:rPr>
                <w:rFonts w:ascii="宋体" w:hAnsi="宋体" w:cs="黑体"/>
                <w:snapToGrid w:val="0"/>
                <w:color w:val="000000"/>
                <w:spacing w:val="-2"/>
                <w:szCs w:val="21"/>
              </w:rPr>
              <w:t>.5</w:t>
            </w:r>
            <w:r>
              <w:rPr>
                <w:rFonts w:hint="eastAsia" w:ascii="宋体" w:hAnsi="宋体" w:cs="黑体"/>
                <w:snapToGrid w:val="0"/>
                <w:color w:val="000000"/>
                <w:spacing w:val="-2"/>
                <w:szCs w:val="21"/>
              </w:rPr>
              <w:t>寸硬盘数量≥</w:t>
            </w:r>
            <w:r>
              <w:rPr>
                <w:rFonts w:ascii="宋体" w:hAnsi="宋体" w:cs="黑体"/>
                <w:snapToGrid w:val="0"/>
                <w:color w:val="000000"/>
                <w:spacing w:val="-2"/>
                <w:szCs w:val="21"/>
              </w:rPr>
              <w:t>12</w:t>
            </w:r>
            <w:r>
              <w:rPr>
                <w:rFonts w:hint="eastAsia" w:ascii="宋体" w:hAnsi="宋体" w:cs="黑体"/>
                <w:snapToGrid w:val="0"/>
                <w:color w:val="000000"/>
                <w:spacing w:val="-2"/>
                <w:szCs w:val="21"/>
              </w:rPr>
              <w:t>，NVME</w:t>
            </w:r>
            <w:r>
              <w:rPr>
                <w:rFonts w:ascii="宋体" w:hAnsi="宋体" w:cs="黑体"/>
                <w:snapToGrid w:val="0"/>
                <w:color w:val="000000"/>
                <w:spacing w:val="-2"/>
                <w:szCs w:val="21"/>
              </w:rPr>
              <w:t xml:space="preserve"> </w:t>
            </w:r>
            <w:r>
              <w:rPr>
                <w:rFonts w:hint="eastAsia" w:ascii="宋体" w:hAnsi="宋体" w:cs="黑体"/>
                <w:snapToGrid w:val="0"/>
                <w:color w:val="000000"/>
                <w:spacing w:val="-2"/>
                <w:szCs w:val="21"/>
              </w:rPr>
              <w:t>SSD硬盘数量≥</w:t>
            </w:r>
            <w:r>
              <w:rPr>
                <w:rFonts w:ascii="宋体" w:hAnsi="宋体" w:cs="黑体"/>
                <w:snapToGrid w:val="0"/>
                <w:color w:val="000000"/>
                <w:spacing w:val="-2"/>
                <w:szCs w:val="21"/>
              </w:rPr>
              <w:t>8</w:t>
            </w:r>
          </w:p>
        </w:tc>
        <w:tc>
          <w:tcPr>
            <w:tcW w:w="1525" w:type="dxa"/>
            <w:noWrap w:val="0"/>
            <w:vAlign w:val="center"/>
          </w:tcPr>
          <w:p w14:paraId="4B96078C">
            <w:pPr>
              <w:kinsoku w:val="0"/>
              <w:adjustRightInd w:val="0"/>
              <w:snapToGrid w:val="0"/>
              <w:spacing w:before="24" w:line="221" w:lineRule="auto"/>
              <w:ind w:right="216"/>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0B4E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1" w:type="dxa"/>
            <w:noWrap w:val="0"/>
            <w:vAlign w:val="center"/>
          </w:tcPr>
          <w:p w14:paraId="03E2265F">
            <w:pPr>
              <w:pStyle w:val="5"/>
              <w:numPr>
                <w:ilvl w:val="0"/>
                <w:numId w:val="5"/>
              </w:numPr>
              <w:kinsoku w:val="0"/>
              <w:adjustRightInd w:val="0"/>
              <w:snapToGrid w:val="0"/>
              <w:spacing w:before="58" w:line="185" w:lineRule="auto"/>
              <w:ind w:firstLineChars="0"/>
              <w:jc w:val="center"/>
              <w:textAlignment w:val="baseline"/>
              <w:rPr>
                <w:rFonts w:ascii="宋体" w:hAnsi="宋体" w:cs="黑体"/>
                <w:snapToGrid w:val="0"/>
                <w:color w:val="000000"/>
                <w:szCs w:val="21"/>
              </w:rPr>
            </w:pPr>
          </w:p>
        </w:tc>
        <w:tc>
          <w:tcPr>
            <w:tcW w:w="1012" w:type="dxa"/>
            <w:noWrap w:val="0"/>
            <w:vAlign w:val="center"/>
          </w:tcPr>
          <w:p w14:paraId="53EE727D">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noWrap w:val="0"/>
            <w:vAlign w:val="center"/>
          </w:tcPr>
          <w:p w14:paraId="393BF44C">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ascii="宋体" w:hAnsi="宋体" w:cs="黑体"/>
                <w:snapToGrid w:val="0"/>
                <w:color w:val="000000"/>
                <w:spacing w:val="-2"/>
                <w:szCs w:val="21"/>
              </w:rPr>
              <w:t>RAID</w:t>
            </w:r>
          </w:p>
          <w:p w14:paraId="607E30B3">
            <w:pPr>
              <w:kinsoku w:val="0"/>
              <w:adjustRightInd w:val="0"/>
              <w:snapToGrid w:val="0"/>
              <w:spacing w:before="59" w:line="223" w:lineRule="auto"/>
              <w:jc w:val="center"/>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卡规格</w:t>
            </w:r>
          </w:p>
        </w:tc>
        <w:tc>
          <w:tcPr>
            <w:tcW w:w="1832" w:type="dxa"/>
            <w:noWrap w:val="0"/>
            <w:vAlign w:val="center"/>
          </w:tcPr>
          <w:p w14:paraId="51FDF460">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ascii="宋体" w:hAnsi="宋体" w:cs="黑体"/>
                <w:snapToGrid w:val="0"/>
                <w:color w:val="000000"/>
                <w:spacing w:val="-2"/>
                <w:szCs w:val="21"/>
              </w:rPr>
              <w:t>RAID 卡支</w:t>
            </w:r>
          </w:p>
          <w:p w14:paraId="0D3D19F9">
            <w:pPr>
              <w:kinsoku w:val="0"/>
              <w:adjustRightInd w:val="0"/>
              <w:snapToGrid w:val="0"/>
              <w:spacing w:before="59" w:line="223" w:lineRule="auto"/>
              <w:jc w:val="center"/>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持的 SAS接口数</w:t>
            </w:r>
          </w:p>
        </w:tc>
        <w:tc>
          <w:tcPr>
            <w:tcW w:w="4068" w:type="dxa"/>
            <w:noWrap w:val="0"/>
            <w:vAlign w:val="center"/>
          </w:tcPr>
          <w:p w14:paraId="529F6FF2">
            <w:pPr>
              <w:kinsoku w:val="0"/>
              <w:adjustRightInd w:val="0"/>
              <w:snapToGrid w:val="0"/>
              <w:spacing w:before="59" w:line="223" w:lineRule="auto"/>
              <w:textAlignment w:val="baseline"/>
              <w:rPr>
                <w:rFonts w:hint="eastAsia" w:ascii="宋体" w:hAnsi="宋体" w:cs="黑体"/>
                <w:snapToGrid w:val="0"/>
                <w:color w:val="000000"/>
                <w:spacing w:val="-2"/>
                <w:szCs w:val="21"/>
              </w:rPr>
            </w:pPr>
            <w:r>
              <w:rPr>
                <w:rFonts w:ascii="宋体" w:hAnsi="宋体" w:cs="黑体"/>
                <w:snapToGrid w:val="0"/>
                <w:color w:val="000000"/>
                <w:spacing w:val="-2"/>
                <w:szCs w:val="21"/>
              </w:rPr>
              <w:t>≥8</w:t>
            </w:r>
          </w:p>
        </w:tc>
        <w:tc>
          <w:tcPr>
            <w:tcW w:w="1525" w:type="dxa"/>
            <w:noWrap w:val="0"/>
            <w:vAlign w:val="center"/>
          </w:tcPr>
          <w:p w14:paraId="01AF01E9">
            <w:pPr>
              <w:kinsoku w:val="0"/>
              <w:adjustRightInd w:val="0"/>
              <w:snapToGrid w:val="0"/>
              <w:spacing w:before="59" w:line="223" w:lineRule="auto"/>
              <w:jc w:val="center"/>
              <w:textAlignment w:val="baseline"/>
              <w:rPr>
                <w:rFonts w:hint="eastAsia" w:ascii="宋体" w:hAnsi="宋体" w:eastAsia="宋体" w:cs="黑体"/>
                <w:snapToGrid w:val="0"/>
                <w:color w:val="000000"/>
                <w:spacing w:val="-2"/>
                <w:szCs w:val="21"/>
                <w:lang w:eastAsia="zh-CN"/>
              </w:rPr>
            </w:pPr>
            <w:r>
              <w:rPr>
                <w:rFonts w:hint="eastAsia" w:ascii="宋体" w:hAnsi="宋体" w:cs="黑体"/>
                <w:snapToGrid w:val="0"/>
                <w:color w:val="000000"/>
                <w:spacing w:val="-2"/>
                <w:szCs w:val="21"/>
                <w:lang w:eastAsia="zh-CN"/>
              </w:rPr>
              <w:t>须提供承诺函（须加盖投标人公章）</w:t>
            </w:r>
          </w:p>
        </w:tc>
      </w:tr>
      <w:tr w14:paraId="5BA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1" w:type="dxa"/>
            <w:noWrap w:val="0"/>
            <w:vAlign w:val="center"/>
          </w:tcPr>
          <w:p w14:paraId="17063F07">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4BA303CE">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noWrap w:val="0"/>
            <w:vAlign w:val="center"/>
          </w:tcPr>
          <w:p w14:paraId="34CD1EE2">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HBA</w:t>
            </w:r>
          </w:p>
          <w:p w14:paraId="73313CB8">
            <w:pPr>
              <w:kinsoku w:val="0"/>
              <w:adjustRightInd w:val="0"/>
              <w:snapToGrid w:val="0"/>
              <w:spacing w:before="59" w:line="223"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2"/>
                <w:szCs w:val="21"/>
              </w:rPr>
              <w:t>卡规格</w:t>
            </w:r>
          </w:p>
        </w:tc>
        <w:tc>
          <w:tcPr>
            <w:tcW w:w="1832" w:type="dxa"/>
            <w:noWrap w:val="0"/>
            <w:vAlign w:val="center"/>
          </w:tcPr>
          <w:p w14:paraId="20A689FF">
            <w:pPr>
              <w:kinsoku w:val="0"/>
              <w:adjustRightInd w:val="0"/>
              <w:snapToGrid w:val="0"/>
              <w:spacing w:before="59" w:line="223" w:lineRule="auto"/>
              <w:jc w:val="center"/>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HBA</w:t>
            </w:r>
            <w:r>
              <w:rPr>
                <w:rFonts w:ascii="宋体" w:hAnsi="宋体" w:cs="黑体"/>
                <w:snapToGrid w:val="0"/>
                <w:color w:val="000000"/>
                <w:spacing w:val="-2"/>
                <w:szCs w:val="21"/>
              </w:rPr>
              <w:t>卡</w:t>
            </w:r>
            <w:r>
              <w:rPr>
                <w:rFonts w:hint="eastAsia" w:ascii="宋体" w:hAnsi="宋体" w:cs="黑体"/>
                <w:snapToGrid w:val="0"/>
                <w:color w:val="000000"/>
                <w:spacing w:val="-2"/>
                <w:szCs w:val="21"/>
              </w:rPr>
              <w:t>端口数量</w:t>
            </w:r>
          </w:p>
        </w:tc>
        <w:tc>
          <w:tcPr>
            <w:tcW w:w="4068" w:type="dxa"/>
            <w:noWrap w:val="0"/>
            <w:vAlign w:val="center"/>
          </w:tcPr>
          <w:p w14:paraId="6C46AA2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w:t>
            </w:r>
            <w:r>
              <w:rPr>
                <w:rFonts w:hint="eastAsia" w:ascii="宋体" w:hAnsi="宋体" w:cs="黑体"/>
                <w:snapToGrid w:val="0"/>
                <w:color w:val="000000"/>
                <w:spacing w:val="-2"/>
                <w:szCs w:val="21"/>
              </w:rPr>
              <w:t>2</w:t>
            </w:r>
          </w:p>
        </w:tc>
        <w:tc>
          <w:tcPr>
            <w:tcW w:w="1525" w:type="dxa"/>
            <w:noWrap w:val="0"/>
            <w:vAlign w:val="center"/>
          </w:tcPr>
          <w:p w14:paraId="4D32CF69">
            <w:pPr>
              <w:jc w:val="center"/>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5C9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1" w:type="dxa"/>
            <w:noWrap w:val="0"/>
            <w:vAlign w:val="center"/>
          </w:tcPr>
          <w:p w14:paraId="5C5C16D9">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4160E2D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noWrap w:val="0"/>
            <w:vAlign w:val="center"/>
          </w:tcPr>
          <w:p w14:paraId="4E841EF7">
            <w:pPr>
              <w:kinsoku w:val="0"/>
              <w:adjustRightInd w:val="0"/>
              <w:snapToGrid w:val="0"/>
              <w:spacing w:before="59" w:line="235" w:lineRule="auto"/>
              <w:ind w:left="186" w:right="141" w:hanging="47"/>
              <w:textAlignment w:val="baseline"/>
              <w:rPr>
                <w:rFonts w:ascii="宋体" w:hAnsi="宋体" w:cs="黑体"/>
                <w:snapToGrid w:val="0"/>
                <w:color w:val="000000"/>
                <w:szCs w:val="21"/>
              </w:rPr>
            </w:pPr>
            <w:r>
              <w:rPr>
                <w:rFonts w:ascii="宋体" w:hAnsi="宋体" w:cs="黑体"/>
                <w:snapToGrid w:val="0"/>
                <w:color w:val="000000"/>
                <w:spacing w:val="-1"/>
                <w:szCs w:val="21"/>
              </w:rPr>
              <w:t>网络</w:t>
            </w:r>
            <w:r>
              <w:rPr>
                <w:rFonts w:ascii="宋体" w:hAnsi="宋体" w:cs="黑体"/>
                <w:snapToGrid w:val="0"/>
                <w:color w:val="000000"/>
                <w:spacing w:val="-3"/>
                <w:szCs w:val="21"/>
              </w:rPr>
              <w:t>规格</w:t>
            </w:r>
          </w:p>
        </w:tc>
        <w:tc>
          <w:tcPr>
            <w:tcW w:w="1832" w:type="dxa"/>
            <w:noWrap w:val="0"/>
            <w:vAlign w:val="center"/>
          </w:tcPr>
          <w:p w14:paraId="228CF88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★网口速率和数量</w:t>
            </w:r>
          </w:p>
        </w:tc>
        <w:tc>
          <w:tcPr>
            <w:tcW w:w="4068" w:type="dxa"/>
            <w:noWrap w:val="0"/>
            <w:vAlign w:val="center"/>
          </w:tcPr>
          <w:p w14:paraId="27AE275C">
            <w:pPr>
              <w:kinsoku w:val="0"/>
              <w:adjustRightInd w:val="0"/>
              <w:snapToGrid w:val="0"/>
              <w:spacing w:before="159" w:line="238" w:lineRule="auto"/>
              <w:ind w:right="126"/>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配备网口数量不少于4个，且网口速率不少于1GE。</w:t>
            </w:r>
          </w:p>
          <w:p w14:paraId="015E73C7">
            <w:pPr>
              <w:kinsoku w:val="0"/>
              <w:snapToGrid w:val="0"/>
              <w:spacing w:before="159" w:line="238" w:lineRule="auto"/>
              <w:ind w:right="126"/>
              <w:textAlignment w:val="baseline"/>
            </w:pPr>
            <w:r>
              <w:rPr>
                <w:rFonts w:hint="eastAsia" w:ascii="宋体" w:hAnsi="宋体" w:cs="黑体"/>
                <w:snapToGrid w:val="0"/>
                <w:color w:val="000000"/>
                <w:spacing w:val="-2"/>
                <w:szCs w:val="21"/>
              </w:rPr>
              <w:t>实配网卡: ≥1*四口千兆RJ45接口，≥1*双口万兆网卡（带模块）</w:t>
            </w:r>
          </w:p>
        </w:tc>
        <w:tc>
          <w:tcPr>
            <w:tcW w:w="1525" w:type="dxa"/>
            <w:noWrap w:val="0"/>
            <w:vAlign w:val="center"/>
          </w:tcPr>
          <w:p w14:paraId="69A65560">
            <w:pPr>
              <w:jc w:val="center"/>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7A73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8C90B34">
            <w:pPr>
              <w:pStyle w:val="5"/>
              <w:numPr>
                <w:ilvl w:val="0"/>
                <w:numId w:val="5"/>
              </w:numPr>
              <w:kinsoku w:val="0"/>
              <w:adjustRightInd w:val="0"/>
              <w:snapToGrid w:val="0"/>
              <w:spacing w:before="184" w:line="185" w:lineRule="auto"/>
              <w:ind w:firstLineChars="0"/>
              <w:textAlignment w:val="baseline"/>
              <w:rPr>
                <w:rFonts w:ascii="宋体" w:hAnsi="宋体" w:cs="黑体"/>
                <w:snapToGrid w:val="0"/>
                <w:color w:val="000000"/>
                <w:szCs w:val="21"/>
              </w:rPr>
            </w:pPr>
          </w:p>
        </w:tc>
        <w:tc>
          <w:tcPr>
            <w:tcW w:w="1012" w:type="dxa"/>
            <w:noWrap w:val="0"/>
            <w:vAlign w:val="center"/>
          </w:tcPr>
          <w:p w14:paraId="6621247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restart"/>
            <w:noWrap w:val="0"/>
            <w:vAlign w:val="center"/>
          </w:tcPr>
          <w:p w14:paraId="3D0440EC">
            <w:pPr>
              <w:kinsoku w:val="0"/>
              <w:adjustRightInd w:val="0"/>
              <w:snapToGrid w:val="0"/>
              <w:spacing w:before="291" w:line="238" w:lineRule="auto"/>
              <w:ind w:left="186" w:right="141" w:hanging="47"/>
              <w:textAlignment w:val="baseline"/>
              <w:rPr>
                <w:rFonts w:ascii="宋体" w:hAnsi="宋体" w:cs="黑体"/>
                <w:snapToGrid w:val="0"/>
                <w:color w:val="000000"/>
                <w:szCs w:val="21"/>
              </w:rPr>
            </w:pPr>
            <w:r>
              <w:rPr>
                <w:rFonts w:ascii="宋体" w:hAnsi="宋体" w:cs="黑体"/>
                <w:snapToGrid w:val="0"/>
                <w:color w:val="000000"/>
                <w:spacing w:val="-1"/>
                <w:szCs w:val="21"/>
              </w:rPr>
              <w:t>外部</w:t>
            </w:r>
            <w:r>
              <w:rPr>
                <w:rFonts w:ascii="宋体" w:hAnsi="宋体" w:cs="黑体"/>
                <w:snapToGrid w:val="0"/>
                <w:color w:val="000000"/>
                <w:spacing w:val="-3"/>
                <w:szCs w:val="21"/>
              </w:rPr>
              <w:t>接口</w:t>
            </w:r>
            <w:r>
              <w:rPr>
                <w:rFonts w:ascii="宋体" w:hAnsi="宋体" w:cs="黑体"/>
                <w:snapToGrid w:val="0"/>
                <w:color w:val="000000"/>
                <w:szCs w:val="21"/>
              </w:rPr>
              <w:t xml:space="preserve"> </w:t>
            </w:r>
            <w:r>
              <w:rPr>
                <w:rFonts w:ascii="宋体" w:hAnsi="宋体" w:cs="黑体"/>
                <w:snapToGrid w:val="0"/>
                <w:color w:val="000000"/>
                <w:spacing w:val="-3"/>
                <w:szCs w:val="21"/>
              </w:rPr>
              <w:t>规格</w:t>
            </w:r>
          </w:p>
        </w:tc>
        <w:tc>
          <w:tcPr>
            <w:tcW w:w="1832" w:type="dxa"/>
            <w:noWrap w:val="0"/>
            <w:vAlign w:val="center"/>
          </w:tcPr>
          <w:p w14:paraId="398DCCD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显示接口</w:t>
            </w:r>
          </w:p>
        </w:tc>
        <w:tc>
          <w:tcPr>
            <w:tcW w:w="4068" w:type="dxa"/>
            <w:noWrap w:val="0"/>
            <w:vAlign w:val="center"/>
          </w:tcPr>
          <w:p w14:paraId="395BF0F6">
            <w:pPr>
              <w:kinsoku w:val="0"/>
              <w:adjustRightInd w:val="0"/>
              <w:snapToGrid w:val="0"/>
              <w:spacing w:before="159" w:line="238" w:lineRule="auto"/>
              <w:ind w:right="126"/>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显示接口类型应不少于 1 种，如：VGA、DP、HDMI 等</w:t>
            </w:r>
          </w:p>
          <w:p w14:paraId="5756CC5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要求支持≥1个V</w:t>
            </w:r>
            <w:r>
              <w:rPr>
                <w:rFonts w:ascii="宋体" w:hAnsi="宋体" w:cs="黑体"/>
                <w:snapToGrid w:val="0"/>
                <w:color w:val="000000"/>
                <w:spacing w:val="-2"/>
                <w:szCs w:val="21"/>
              </w:rPr>
              <w:t>GA</w:t>
            </w:r>
            <w:r>
              <w:rPr>
                <w:rFonts w:hint="eastAsia" w:ascii="宋体" w:hAnsi="宋体" w:cs="黑体"/>
                <w:snapToGrid w:val="0"/>
                <w:color w:val="000000"/>
                <w:spacing w:val="-2"/>
                <w:szCs w:val="21"/>
              </w:rPr>
              <w:t>显示接口</w:t>
            </w:r>
          </w:p>
        </w:tc>
        <w:tc>
          <w:tcPr>
            <w:tcW w:w="1525" w:type="dxa"/>
            <w:noWrap w:val="0"/>
            <w:vAlign w:val="center"/>
          </w:tcPr>
          <w:p w14:paraId="670E6189">
            <w:pPr>
              <w:kinsoku w:val="0"/>
              <w:adjustRightInd w:val="0"/>
              <w:snapToGrid w:val="0"/>
              <w:spacing w:before="45" w:line="220" w:lineRule="auto"/>
              <w:ind w:right="206"/>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688B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1" w:type="dxa"/>
            <w:noWrap w:val="0"/>
            <w:vAlign w:val="center"/>
          </w:tcPr>
          <w:p w14:paraId="05D30138">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3CEB2D3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2EC11F20">
            <w:pPr>
              <w:rPr>
                <w:rFonts w:ascii="宋体" w:hAnsi="宋体"/>
                <w:color w:val="000000"/>
                <w:szCs w:val="21"/>
              </w:rPr>
            </w:pPr>
          </w:p>
        </w:tc>
        <w:tc>
          <w:tcPr>
            <w:tcW w:w="1832" w:type="dxa"/>
            <w:noWrap w:val="0"/>
            <w:vAlign w:val="center"/>
          </w:tcPr>
          <w:p w14:paraId="45212DB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USB 接口</w:t>
            </w:r>
          </w:p>
        </w:tc>
        <w:tc>
          <w:tcPr>
            <w:tcW w:w="4068" w:type="dxa"/>
            <w:noWrap w:val="0"/>
            <w:vAlign w:val="center"/>
          </w:tcPr>
          <w:p w14:paraId="260210E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配备≥1个前置USB</w:t>
            </w:r>
            <w:r>
              <w:rPr>
                <w:rFonts w:ascii="宋体" w:hAnsi="宋体" w:cs="黑体"/>
                <w:snapToGrid w:val="0"/>
                <w:color w:val="000000"/>
                <w:spacing w:val="-2"/>
                <w:szCs w:val="21"/>
              </w:rPr>
              <w:t>3.0</w:t>
            </w:r>
            <w:r>
              <w:rPr>
                <w:rFonts w:hint="eastAsia" w:ascii="宋体" w:hAnsi="宋体" w:cs="黑体"/>
                <w:snapToGrid w:val="0"/>
                <w:color w:val="000000"/>
                <w:spacing w:val="-2"/>
                <w:szCs w:val="21"/>
              </w:rPr>
              <w:t>接口</w:t>
            </w:r>
          </w:p>
        </w:tc>
        <w:tc>
          <w:tcPr>
            <w:tcW w:w="1525" w:type="dxa"/>
            <w:noWrap w:val="0"/>
            <w:vAlign w:val="center"/>
          </w:tcPr>
          <w:p w14:paraId="65989360">
            <w:pPr>
              <w:kinsoku w:val="0"/>
              <w:adjustRightInd w:val="0"/>
              <w:snapToGrid w:val="0"/>
              <w:spacing w:before="163" w:line="235" w:lineRule="auto"/>
              <w:ind w:right="123"/>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0E7B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51" w:type="dxa"/>
            <w:noWrap w:val="0"/>
            <w:vAlign w:val="center"/>
          </w:tcPr>
          <w:p w14:paraId="2C5381F8">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5A352B8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restart"/>
            <w:noWrap w:val="0"/>
            <w:vAlign w:val="center"/>
          </w:tcPr>
          <w:p w14:paraId="5475AB9E">
            <w:pPr>
              <w:kinsoku w:val="0"/>
              <w:adjustRightInd w:val="0"/>
              <w:snapToGrid w:val="0"/>
              <w:spacing w:before="58" w:line="235" w:lineRule="auto"/>
              <w:ind w:left="186" w:right="141" w:hanging="47"/>
              <w:textAlignment w:val="baseline"/>
              <w:rPr>
                <w:rFonts w:ascii="宋体" w:hAnsi="宋体" w:cs="黑体"/>
                <w:snapToGrid w:val="0"/>
                <w:color w:val="000000"/>
                <w:szCs w:val="21"/>
              </w:rPr>
            </w:pPr>
            <w:r>
              <w:rPr>
                <w:rFonts w:ascii="宋体" w:hAnsi="宋体" w:cs="黑体"/>
                <w:snapToGrid w:val="0"/>
                <w:color w:val="000000"/>
                <w:spacing w:val="-1"/>
                <w:szCs w:val="21"/>
              </w:rPr>
              <w:t>电源</w:t>
            </w:r>
            <w:r>
              <w:rPr>
                <w:rFonts w:ascii="宋体" w:hAnsi="宋体" w:cs="黑体"/>
                <w:snapToGrid w:val="0"/>
                <w:color w:val="000000"/>
                <w:spacing w:val="-3"/>
                <w:szCs w:val="21"/>
              </w:rPr>
              <w:t>规格</w:t>
            </w:r>
          </w:p>
        </w:tc>
        <w:tc>
          <w:tcPr>
            <w:tcW w:w="1832" w:type="dxa"/>
            <w:noWrap w:val="0"/>
            <w:vAlign w:val="center"/>
          </w:tcPr>
          <w:p w14:paraId="575E022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电源冗余模式</w:t>
            </w:r>
          </w:p>
        </w:tc>
        <w:tc>
          <w:tcPr>
            <w:tcW w:w="4068" w:type="dxa"/>
            <w:noWrap w:val="0"/>
            <w:vAlign w:val="center"/>
          </w:tcPr>
          <w:p w14:paraId="52A4997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整机电源模块按 1+1 冗余配置</w:t>
            </w:r>
          </w:p>
        </w:tc>
        <w:tc>
          <w:tcPr>
            <w:tcW w:w="1525" w:type="dxa"/>
            <w:noWrap w:val="0"/>
            <w:vAlign w:val="center"/>
          </w:tcPr>
          <w:p w14:paraId="704E367A">
            <w:pPr>
              <w:kinsoku w:val="0"/>
              <w:adjustRightInd w:val="0"/>
              <w:snapToGrid w:val="0"/>
              <w:spacing w:before="59" w:line="234" w:lineRule="auto"/>
              <w:ind w:right="168"/>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5A89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1" w:type="dxa"/>
            <w:noWrap w:val="0"/>
            <w:vAlign w:val="center"/>
          </w:tcPr>
          <w:p w14:paraId="4A988EED">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4A617139">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210DDE4E">
            <w:pPr>
              <w:rPr>
                <w:rFonts w:ascii="宋体" w:hAnsi="宋体"/>
                <w:color w:val="000000"/>
                <w:szCs w:val="21"/>
              </w:rPr>
            </w:pPr>
          </w:p>
        </w:tc>
        <w:tc>
          <w:tcPr>
            <w:tcW w:w="1832" w:type="dxa"/>
            <w:noWrap w:val="0"/>
            <w:vAlign w:val="center"/>
          </w:tcPr>
          <w:p w14:paraId="6A54EC9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电源模块数量</w:t>
            </w:r>
          </w:p>
        </w:tc>
        <w:tc>
          <w:tcPr>
            <w:tcW w:w="4068" w:type="dxa"/>
            <w:noWrap w:val="0"/>
            <w:vAlign w:val="center"/>
          </w:tcPr>
          <w:p w14:paraId="459B15D9">
            <w:pPr>
              <w:kinsoku w:val="0"/>
              <w:adjustRightInd w:val="0"/>
              <w:snapToGrid w:val="0"/>
              <w:spacing w:before="159" w:line="238" w:lineRule="auto"/>
              <w:ind w:right="126"/>
              <w:textAlignment w:val="baseline"/>
              <w:rPr>
                <w:rFonts w:hint="eastAsia" w:ascii="宋体" w:hAnsi="宋体" w:cs="黑体"/>
                <w:snapToGrid w:val="0"/>
                <w:color w:val="000000"/>
                <w:spacing w:val="-2"/>
                <w:szCs w:val="21"/>
              </w:rPr>
            </w:pPr>
            <w:r>
              <w:rPr>
                <w:rFonts w:ascii="宋体" w:hAnsi="宋体" w:cs="黑体"/>
                <w:snapToGrid w:val="0"/>
                <w:color w:val="000000"/>
                <w:spacing w:val="-2"/>
                <w:szCs w:val="21"/>
              </w:rPr>
              <w:t>≥</w:t>
            </w:r>
            <w:r>
              <w:rPr>
                <w:rFonts w:hint="eastAsia" w:ascii="宋体" w:hAnsi="宋体" w:cs="黑体"/>
                <w:snapToGrid w:val="0"/>
                <w:color w:val="000000"/>
                <w:spacing w:val="-2"/>
                <w:szCs w:val="21"/>
              </w:rPr>
              <w:t>2</w:t>
            </w:r>
          </w:p>
        </w:tc>
        <w:tc>
          <w:tcPr>
            <w:tcW w:w="1525" w:type="dxa"/>
            <w:noWrap w:val="0"/>
            <w:vAlign w:val="center"/>
          </w:tcPr>
          <w:p w14:paraId="082E9C6F">
            <w:pPr>
              <w:kinsoku w:val="0"/>
              <w:adjustRightInd w:val="0"/>
              <w:snapToGrid w:val="0"/>
              <w:spacing w:before="58"/>
              <w:ind w:firstLine="368" w:firstLineChars="200"/>
              <w:textAlignment w:val="baseline"/>
              <w:rPr>
                <w:rFonts w:hint="eastAsia" w:ascii="宋体" w:hAnsi="宋体" w:eastAsia="宋体" w:cs="黑体"/>
                <w:snapToGrid w:val="0"/>
                <w:color w:val="000000"/>
                <w:spacing w:val="-13"/>
                <w:szCs w:val="21"/>
                <w:lang w:eastAsia="zh-CN"/>
              </w:rPr>
            </w:pPr>
            <w:r>
              <w:rPr>
                <w:rFonts w:hint="eastAsia" w:ascii="宋体" w:hAnsi="宋体" w:cs="黑体"/>
                <w:snapToGrid w:val="0"/>
                <w:color w:val="000000"/>
                <w:spacing w:val="-13"/>
                <w:szCs w:val="21"/>
                <w:lang w:eastAsia="zh-CN"/>
              </w:rPr>
              <w:t>须提供承诺函（须加盖投标人公章）</w:t>
            </w:r>
          </w:p>
        </w:tc>
      </w:tr>
      <w:tr w14:paraId="0853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51" w:type="dxa"/>
            <w:noWrap w:val="0"/>
            <w:vAlign w:val="center"/>
          </w:tcPr>
          <w:p w14:paraId="33BD34D6">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0D08AB68">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67DB2C8F">
            <w:pPr>
              <w:rPr>
                <w:rFonts w:ascii="宋体" w:hAnsi="宋体"/>
                <w:color w:val="000000"/>
                <w:szCs w:val="21"/>
              </w:rPr>
            </w:pPr>
          </w:p>
        </w:tc>
        <w:tc>
          <w:tcPr>
            <w:tcW w:w="1832" w:type="dxa"/>
            <w:noWrap w:val="0"/>
            <w:vAlign w:val="center"/>
          </w:tcPr>
          <w:p w14:paraId="0FFEB31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电源功率</w:t>
            </w:r>
          </w:p>
        </w:tc>
        <w:tc>
          <w:tcPr>
            <w:tcW w:w="4068" w:type="dxa"/>
            <w:noWrap w:val="0"/>
            <w:vAlign w:val="center"/>
          </w:tcPr>
          <w:p w14:paraId="5D69914B">
            <w:pPr>
              <w:kinsoku w:val="0"/>
              <w:adjustRightInd w:val="0"/>
              <w:snapToGrid w:val="0"/>
              <w:spacing w:before="159" w:line="238" w:lineRule="auto"/>
              <w:ind w:right="126"/>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电源模块功率应有一定冗余，满足处理器满载时的需求</w:t>
            </w:r>
          </w:p>
          <w:p w14:paraId="28C047F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要求单台服务器需配置≥2块800W电源</w:t>
            </w:r>
          </w:p>
        </w:tc>
        <w:tc>
          <w:tcPr>
            <w:tcW w:w="1525" w:type="dxa"/>
            <w:noWrap w:val="0"/>
            <w:vAlign w:val="center"/>
          </w:tcPr>
          <w:p w14:paraId="2C54D571">
            <w:pPr>
              <w:kinsoku w:val="0"/>
              <w:adjustRightInd w:val="0"/>
              <w:snapToGrid w:val="0"/>
              <w:spacing w:before="59" w:line="234" w:lineRule="auto"/>
              <w:ind w:right="168"/>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3DAF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1" w:type="dxa"/>
            <w:noWrap w:val="0"/>
            <w:vAlign w:val="center"/>
          </w:tcPr>
          <w:p w14:paraId="698F45DA">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1BD41046">
            <w:pPr>
              <w:kinsoku w:val="0"/>
              <w:adjustRightInd w:val="0"/>
              <w:snapToGrid w:val="0"/>
              <w:spacing w:before="58" w:line="223" w:lineRule="auto"/>
              <w:ind w:left="109"/>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restart"/>
            <w:noWrap w:val="0"/>
            <w:vAlign w:val="center"/>
          </w:tcPr>
          <w:p w14:paraId="1BA5393C">
            <w:pPr>
              <w:kinsoku w:val="0"/>
              <w:adjustRightInd w:val="0"/>
              <w:snapToGrid w:val="0"/>
              <w:spacing w:before="58" w:line="235" w:lineRule="auto"/>
              <w:ind w:left="186" w:right="141" w:hanging="47"/>
              <w:textAlignment w:val="baseline"/>
              <w:rPr>
                <w:rFonts w:ascii="宋体" w:hAnsi="宋体" w:cs="黑体"/>
                <w:snapToGrid w:val="0"/>
                <w:color w:val="000000"/>
                <w:szCs w:val="21"/>
              </w:rPr>
            </w:pPr>
            <w:r>
              <w:rPr>
                <w:rFonts w:ascii="宋体" w:hAnsi="宋体" w:cs="黑体"/>
                <w:snapToGrid w:val="0"/>
                <w:color w:val="000000"/>
                <w:spacing w:val="-1"/>
                <w:szCs w:val="21"/>
              </w:rPr>
              <w:t>整机</w:t>
            </w:r>
            <w:r>
              <w:rPr>
                <w:rFonts w:ascii="宋体" w:hAnsi="宋体" w:cs="黑体"/>
                <w:snapToGrid w:val="0"/>
                <w:color w:val="000000"/>
                <w:spacing w:val="-3"/>
                <w:szCs w:val="21"/>
              </w:rPr>
              <w:t>规格</w:t>
            </w:r>
          </w:p>
        </w:tc>
        <w:tc>
          <w:tcPr>
            <w:tcW w:w="1832" w:type="dxa"/>
            <w:noWrap w:val="0"/>
            <w:vAlign w:val="center"/>
          </w:tcPr>
          <w:p w14:paraId="6695F137">
            <w:pPr>
              <w:kinsoku w:val="0"/>
              <w:adjustRightInd w:val="0"/>
              <w:snapToGrid w:val="0"/>
              <w:spacing w:before="159" w:line="238" w:lineRule="auto"/>
              <w:ind w:right="126"/>
              <w:textAlignment w:val="baseline"/>
              <w:rPr>
                <w:rFonts w:ascii="宋体" w:hAnsi="宋体" w:cs="黑体"/>
                <w:snapToGrid w:val="0"/>
                <w:color w:val="000000"/>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外观和结构</w:t>
            </w:r>
          </w:p>
        </w:tc>
        <w:tc>
          <w:tcPr>
            <w:tcW w:w="4068" w:type="dxa"/>
            <w:noWrap w:val="0"/>
            <w:vAlign w:val="center"/>
          </w:tcPr>
          <w:p w14:paraId="2B74FCC4">
            <w:pPr>
              <w:kinsoku w:val="0"/>
              <w:adjustRightInd w:val="0"/>
              <w:snapToGrid w:val="0"/>
              <w:spacing w:before="40" w:line="238" w:lineRule="auto"/>
              <w:ind w:left="112" w:right="168" w:firstLine="2"/>
              <w:textAlignment w:val="baseline"/>
              <w:rPr>
                <w:rFonts w:ascii="宋体" w:hAnsi="宋体" w:cs="黑体"/>
                <w:snapToGrid w:val="0"/>
                <w:color w:val="000000"/>
                <w:szCs w:val="21"/>
              </w:rPr>
            </w:pPr>
            <w:r>
              <w:rPr>
                <w:rFonts w:ascii="宋体" w:hAnsi="宋体" w:cs="黑体"/>
                <w:snapToGrid w:val="0"/>
                <w:color w:val="000000"/>
                <w:spacing w:val="-1"/>
                <w:szCs w:val="21"/>
              </w:rPr>
              <w:t>a)服务器的零部件应紧固无松动，可插拔部件应可靠连接，开关、按钮和其它控制部件应灵活可靠，布局应方便使用；</w:t>
            </w:r>
          </w:p>
          <w:p w14:paraId="740C1472">
            <w:pPr>
              <w:kinsoku w:val="0"/>
              <w:adjustRightInd w:val="0"/>
              <w:snapToGrid w:val="0"/>
              <w:spacing w:before="30"/>
              <w:ind w:left="112" w:right="103" w:firstLine="2"/>
              <w:textAlignment w:val="baseline"/>
              <w:rPr>
                <w:rFonts w:ascii="宋体" w:hAnsi="宋体" w:cs="黑体"/>
                <w:snapToGrid w:val="0"/>
                <w:color w:val="000000"/>
                <w:szCs w:val="21"/>
              </w:rPr>
            </w:pPr>
            <w:r>
              <w:rPr>
                <w:rFonts w:ascii="宋体" w:hAnsi="宋体" w:cs="黑体"/>
                <w:snapToGrid w:val="0"/>
                <w:color w:val="000000"/>
                <w:spacing w:val="-2"/>
                <w:szCs w:val="21"/>
              </w:rPr>
              <w:t>b) 产品表面不应有明显的凹痕、划</w:t>
            </w:r>
            <w:r>
              <w:rPr>
                <w:rFonts w:ascii="宋体" w:hAnsi="宋体" w:cs="黑体"/>
                <w:snapToGrid w:val="0"/>
                <w:color w:val="000000"/>
                <w:spacing w:val="-1"/>
                <w:szCs w:val="21"/>
              </w:rPr>
              <w:t>伤、裂缝、变形和污染等。表面涂层均匀，不应起泡、龟裂、脱落和磨损</w:t>
            </w:r>
            <w:r>
              <w:rPr>
                <w:rFonts w:hint="eastAsia" w:ascii="宋体" w:hAnsi="宋体" w:cs="黑体"/>
                <w:snapToGrid w:val="0"/>
                <w:color w:val="000000"/>
                <w:spacing w:val="-1"/>
                <w:szCs w:val="21"/>
              </w:rPr>
              <w:t>，</w:t>
            </w:r>
            <w:r>
              <w:rPr>
                <w:rFonts w:ascii="宋体" w:hAnsi="宋体" w:cs="黑体"/>
                <w:snapToGrid w:val="0"/>
                <w:color w:val="000000"/>
                <w:spacing w:val="-1"/>
                <w:szCs w:val="21"/>
              </w:rPr>
              <w:t>金属零部件无锈蚀及其它机</w:t>
            </w:r>
            <w:r>
              <w:rPr>
                <w:rFonts w:ascii="宋体" w:hAnsi="宋体" w:cs="黑体"/>
                <w:snapToGrid w:val="0"/>
                <w:color w:val="000000"/>
                <w:spacing w:val="8"/>
                <w:szCs w:val="21"/>
              </w:rPr>
              <w:t xml:space="preserve"> </w:t>
            </w:r>
            <w:r>
              <w:rPr>
                <w:rFonts w:ascii="宋体" w:hAnsi="宋体" w:cs="黑体"/>
                <w:snapToGrid w:val="0"/>
                <w:color w:val="000000"/>
                <w:spacing w:val="-2"/>
                <w:szCs w:val="21"/>
              </w:rPr>
              <w:t>械损伤；</w:t>
            </w:r>
          </w:p>
          <w:p w14:paraId="79C425FB">
            <w:pPr>
              <w:kinsoku w:val="0"/>
              <w:adjustRightInd w:val="0"/>
              <w:snapToGrid w:val="0"/>
              <w:spacing w:before="31" w:line="230" w:lineRule="auto"/>
              <w:ind w:left="114" w:right="103" w:hanging="1"/>
              <w:textAlignment w:val="baseline"/>
              <w:rPr>
                <w:rFonts w:ascii="宋体" w:hAnsi="宋体" w:cs="黑体"/>
                <w:snapToGrid w:val="0"/>
                <w:color w:val="000000"/>
                <w:szCs w:val="21"/>
              </w:rPr>
            </w:pPr>
            <w:r>
              <w:rPr>
                <w:rFonts w:ascii="宋体" w:hAnsi="宋体" w:cs="黑体"/>
                <w:snapToGrid w:val="0"/>
                <w:color w:val="000000"/>
                <w:spacing w:val="-2"/>
                <w:szCs w:val="21"/>
              </w:rPr>
              <w:t>c) 产品表面说明功能的文字、符号</w:t>
            </w:r>
            <w:r>
              <w:rPr>
                <w:rFonts w:ascii="宋体" w:hAnsi="宋体" w:cs="黑体"/>
                <w:snapToGrid w:val="0"/>
                <w:color w:val="000000"/>
                <w:spacing w:val="1"/>
                <w:szCs w:val="21"/>
              </w:rPr>
              <w:t xml:space="preserve"> </w:t>
            </w:r>
            <w:r>
              <w:rPr>
                <w:rFonts w:ascii="宋体" w:hAnsi="宋体" w:cs="黑体"/>
                <w:snapToGrid w:val="0"/>
                <w:color w:val="000000"/>
                <w:spacing w:val="-1"/>
                <w:szCs w:val="21"/>
              </w:rPr>
              <w:t>和标志应清晰、端正且牢固；</w:t>
            </w:r>
          </w:p>
          <w:p w14:paraId="64236287">
            <w:pPr>
              <w:kinsoku w:val="0"/>
              <w:adjustRightInd w:val="0"/>
              <w:snapToGrid w:val="0"/>
              <w:spacing w:before="32" w:line="235" w:lineRule="auto"/>
              <w:ind w:left="113" w:right="168"/>
              <w:textAlignment w:val="baseline"/>
              <w:rPr>
                <w:rFonts w:ascii="宋体" w:hAnsi="宋体" w:cs="黑体"/>
                <w:snapToGrid w:val="0"/>
                <w:color w:val="000000"/>
                <w:szCs w:val="21"/>
              </w:rPr>
            </w:pPr>
            <w:r>
              <w:rPr>
                <w:rFonts w:ascii="宋体" w:hAnsi="宋体" w:cs="黑体"/>
                <w:snapToGrid w:val="0"/>
                <w:color w:val="000000"/>
                <w:spacing w:val="-1"/>
                <w:szCs w:val="21"/>
              </w:rPr>
              <w:t>d) 应在服务器的显著位置提供运</w:t>
            </w:r>
            <w:r>
              <w:rPr>
                <w:rFonts w:ascii="宋体" w:hAnsi="宋体" w:cs="黑体"/>
                <w:snapToGrid w:val="0"/>
                <w:color w:val="000000"/>
                <w:spacing w:val="3"/>
                <w:szCs w:val="21"/>
              </w:rPr>
              <w:t xml:space="preserve">  </w:t>
            </w:r>
            <w:r>
              <w:rPr>
                <w:rFonts w:ascii="宋体" w:hAnsi="宋体" w:cs="黑体"/>
                <w:snapToGrid w:val="0"/>
                <w:color w:val="000000"/>
                <w:spacing w:val="-1"/>
                <w:szCs w:val="21"/>
              </w:rPr>
              <w:t>行状态的指示功能，并在随机文件</w:t>
            </w:r>
            <w:r>
              <w:rPr>
                <w:rFonts w:ascii="宋体" w:hAnsi="宋体" w:cs="黑体"/>
                <w:snapToGrid w:val="0"/>
                <w:color w:val="000000"/>
                <w:spacing w:val="6"/>
                <w:szCs w:val="21"/>
              </w:rPr>
              <w:t xml:space="preserve"> </w:t>
            </w:r>
            <w:r>
              <w:rPr>
                <w:rFonts w:ascii="宋体" w:hAnsi="宋体" w:cs="黑体"/>
                <w:snapToGrid w:val="0"/>
                <w:color w:val="000000"/>
                <w:spacing w:val="-1"/>
                <w:szCs w:val="21"/>
              </w:rPr>
              <w:t>中明确具体含义；</w:t>
            </w:r>
          </w:p>
          <w:p w14:paraId="606A2417">
            <w:pPr>
              <w:kinsoku w:val="0"/>
              <w:adjustRightInd w:val="0"/>
              <w:snapToGrid w:val="0"/>
              <w:spacing w:before="30" w:line="241" w:lineRule="auto"/>
              <w:ind w:left="110" w:right="57" w:firstLine="3"/>
              <w:textAlignment w:val="baseline"/>
              <w:rPr>
                <w:rFonts w:ascii="宋体" w:hAnsi="宋体" w:cs="黑体"/>
                <w:snapToGrid w:val="0"/>
                <w:color w:val="000000"/>
                <w:szCs w:val="21"/>
              </w:rPr>
            </w:pPr>
            <w:r>
              <w:rPr>
                <w:rFonts w:ascii="宋体" w:hAnsi="宋体" w:cs="黑体"/>
                <w:snapToGrid w:val="0"/>
                <w:color w:val="000000"/>
                <w:spacing w:val="-2"/>
                <w:szCs w:val="21"/>
              </w:rPr>
              <w:t>e) 机架、机箱的尺寸应符合通用机</w:t>
            </w:r>
            <w:r>
              <w:rPr>
                <w:rFonts w:ascii="宋体" w:hAnsi="宋体" w:cs="黑体"/>
                <w:snapToGrid w:val="0"/>
                <w:color w:val="000000"/>
                <w:spacing w:val="-1"/>
                <w:szCs w:val="21"/>
              </w:rPr>
              <w:t>柜的安装要求，插入总线插座的电路板接口外形尺寸应符合有关总线</w:t>
            </w:r>
            <w:r>
              <w:rPr>
                <w:rFonts w:ascii="宋体" w:hAnsi="宋体" w:cs="黑体"/>
                <w:snapToGrid w:val="0"/>
                <w:color w:val="000000"/>
                <w:spacing w:val="-5"/>
                <w:szCs w:val="21"/>
              </w:rPr>
              <w:t>标准的规定，将机箱固定在机柜上，</w:t>
            </w:r>
            <w:r>
              <w:rPr>
                <w:rFonts w:ascii="宋体" w:hAnsi="宋体" w:cs="黑体"/>
                <w:snapToGrid w:val="0"/>
                <w:color w:val="000000"/>
                <w:spacing w:val="-1"/>
                <w:szCs w:val="21"/>
              </w:rPr>
              <w:t>机箱底面最大下垂变形不得干涉相邻机体；</w:t>
            </w:r>
          </w:p>
          <w:p w14:paraId="5857E674">
            <w:pPr>
              <w:kinsoku w:val="0"/>
              <w:adjustRightInd w:val="0"/>
              <w:snapToGrid w:val="0"/>
              <w:spacing w:before="38" w:line="213" w:lineRule="auto"/>
              <w:ind w:left="112"/>
              <w:textAlignment w:val="baseline"/>
              <w:rPr>
                <w:rFonts w:ascii="宋体" w:hAnsi="宋体" w:cs="黑体"/>
                <w:snapToGrid w:val="0"/>
                <w:color w:val="000000"/>
                <w:szCs w:val="21"/>
              </w:rPr>
            </w:pPr>
            <w:r>
              <w:rPr>
                <w:rFonts w:ascii="宋体" w:hAnsi="宋体" w:cs="黑体"/>
                <w:snapToGrid w:val="0"/>
                <w:color w:val="000000"/>
                <w:spacing w:val="-2"/>
                <w:szCs w:val="21"/>
              </w:rPr>
              <w:t>f) 高密度服务器应给出</w:t>
            </w:r>
            <w:r>
              <w:rPr>
                <w:rFonts w:ascii="宋体" w:hAnsi="宋体" w:cs="黑体"/>
                <w:snapToGrid w:val="0"/>
                <w:color w:val="000000"/>
                <w:spacing w:val="-38"/>
                <w:szCs w:val="21"/>
              </w:rPr>
              <w:t xml:space="preserve"> </w:t>
            </w:r>
            <w:r>
              <w:rPr>
                <w:rFonts w:ascii="宋体" w:hAnsi="宋体" w:cs="黑体"/>
                <w:snapToGrid w:val="0"/>
                <w:color w:val="000000"/>
                <w:spacing w:val="-2"/>
                <w:szCs w:val="21"/>
              </w:rPr>
              <w:t>CPU</w:t>
            </w:r>
            <w:r>
              <w:rPr>
                <w:rFonts w:ascii="宋体" w:hAnsi="宋体" w:cs="黑体"/>
                <w:snapToGrid w:val="0"/>
                <w:color w:val="000000"/>
                <w:spacing w:val="-50"/>
                <w:szCs w:val="21"/>
              </w:rPr>
              <w:t xml:space="preserve"> </w:t>
            </w:r>
            <w:r>
              <w:rPr>
                <w:rFonts w:ascii="宋体" w:hAnsi="宋体" w:cs="黑体"/>
                <w:snapToGrid w:val="0"/>
                <w:color w:val="000000"/>
                <w:spacing w:val="-2"/>
                <w:szCs w:val="21"/>
              </w:rPr>
              <w:t>个数与机柜高度；</w:t>
            </w:r>
            <w:r>
              <w:rPr>
                <w:rFonts w:hint="eastAsia" w:ascii="宋体" w:hAnsi="宋体" w:cs="黑体"/>
                <w:snapToGrid w:val="0"/>
                <w:color w:val="000000"/>
                <w:spacing w:val="-2"/>
                <w:szCs w:val="21"/>
              </w:rPr>
              <w:t>（本项目不涉及）</w:t>
            </w:r>
          </w:p>
          <w:p w14:paraId="77D179DB">
            <w:pPr>
              <w:kinsoku w:val="0"/>
              <w:adjustRightInd w:val="0"/>
              <w:snapToGrid w:val="0"/>
              <w:spacing w:before="32" w:line="200" w:lineRule="auto"/>
              <w:ind w:left="114"/>
              <w:textAlignment w:val="baseline"/>
              <w:rPr>
                <w:rFonts w:ascii="宋体" w:hAnsi="宋体" w:cs="黑体"/>
                <w:snapToGrid w:val="0"/>
                <w:color w:val="000000"/>
                <w:szCs w:val="21"/>
              </w:rPr>
            </w:pPr>
            <w:r>
              <w:rPr>
                <w:rFonts w:ascii="宋体" w:hAnsi="宋体" w:cs="黑体"/>
                <w:snapToGrid w:val="0"/>
                <w:color w:val="000000"/>
                <w:spacing w:val="-1"/>
                <w:szCs w:val="21"/>
              </w:rPr>
              <w:t>g) 服务器</w:t>
            </w:r>
            <w:r>
              <w:rPr>
                <w:rFonts w:hint="eastAsia" w:ascii="宋体" w:hAnsi="宋体" w:cs="黑体"/>
                <w:snapToGrid w:val="0"/>
                <w:color w:val="000000"/>
                <w:spacing w:val="-1"/>
                <w:szCs w:val="21"/>
                <w:lang w:val="en-US" w:eastAsia="zh-CN"/>
              </w:rPr>
              <w:t>高度不大于</w:t>
            </w:r>
            <w:r>
              <w:rPr>
                <w:rFonts w:hint="eastAsia" w:ascii="宋体" w:hAnsi="宋体" w:cs="黑体"/>
                <w:snapToGrid w:val="0"/>
                <w:color w:val="000000"/>
                <w:spacing w:val="-1"/>
                <w:szCs w:val="21"/>
              </w:rPr>
              <w:t>89mm</w:t>
            </w:r>
            <w:r>
              <w:rPr>
                <w:rFonts w:hint="eastAsia" w:ascii="宋体" w:hAnsi="宋体" w:cs="黑体"/>
                <w:snapToGrid w:val="0"/>
                <w:color w:val="000000"/>
                <w:spacing w:val="-1"/>
                <w:szCs w:val="21"/>
                <w:lang w:eastAsia="zh-CN"/>
              </w:rPr>
              <w:t>，</w:t>
            </w:r>
            <w:r>
              <w:rPr>
                <w:rFonts w:hint="eastAsia" w:ascii="宋体" w:hAnsi="宋体" w:cs="黑体"/>
                <w:snapToGrid w:val="0"/>
                <w:color w:val="000000"/>
                <w:spacing w:val="-1"/>
                <w:szCs w:val="21"/>
                <w:lang w:val="en-US" w:eastAsia="zh-CN"/>
              </w:rPr>
              <w:t>宽度不大于</w:t>
            </w:r>
            <w:r>
              <w:rPr>
                <w:rFonts w:hint="eastAsia" w:ascii="宋体" w:hAnsi="宋体" w:cs="黑体"/>
                <w:snapToGrid w:val="0"/>
                <w:color w:val="000000"/>
                <w:spacing w:val="-1"/>
                <w:szCs w:val="21"/>
              </w:rPr>
              <w:t>44</w:t>
            </w:r>
            <w:r>
              <w:rPr>
                <w:rFonts w:hint="eastAsia" w:ascii="宋体" w:hAnsi="宋体" w:cs="黑体"/>
                <w:snapToGrid w:val="0"/>
                <w:color w:val="000000"/>
                <w:spacing w:val="-1"/>
                <w:szCs w:val="21"/>
                <w:lang w:eastAsia="zh-CN"/>
              </w:rPr>
              <w:t>8</w:t>
            </w:r>
            <w:r>
              <w:rPr>
                <w:rFonts w:hint="eastAsia" w:ascii="宋体" w:hAnsi="宋体" w:cs="黑体"/>
                <w:snapToGrid w:val="0"/>
                <w:color w:val="000000"/>
                <w:spacing w:val="-1"/>
                <w:szCs w:val="21"/>
              </w:rPr>
              <w:t>mm</w:t>
            </w:r>
            <w:r>
              <w:rPr>
                <w:rFonts w:hint="eastAsia" w:ascii="宋体" w:hAnsi="宋体" w:cs="黑体"/>
                <w:snapToGrid w:val="0"/>
                <w:color w:val="000000"/>
                <w:spacing w:val="-1"/>
                <w:szCs w:val="21"/>
                <w:lang w:val="en-US" w:eastAsia="zh-CN"/>
              </w:rPr>
              <w:t>深度不大于</w:t>
            </w:r>
            <w:r>
              <w:rPr>
                <w:rFonts w:hint="eastAsia" w:ascii="宋体" w:hAnsi="宋体" w:cs="黑体"/>
                <w:snapToGrid w:val="0"/>
                <w:color w:val="000000"/>
                <w:spacing w:val="-1"/>
                <w:szCs w:val="21"/>
              </w:rPr>
              <w:t>812mm</w:t>
            </w:r>
          </w:p>
        </w:tc>
        <w:tc>
          <w:tcPr>
            <w:tcW w:w="1525" w:type="dxa"/>
            <w:noWrap w:val="0"/>
            <w:vAlign w:val="center"/>
          </w:tcPr>
          <w:p w14:paraId="7C3C1F29">
            <w:pPr>
              <w:kinsoku w:val="0"/>
              <w:adjustRightInd w:val="0"/>
              <w:snapToGrid w:val="0"/>
              <w:spacing w:before="32" w:line="200"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E04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51" w:type="dxa"/>
            <w:noWrap w:val="0"/>
            <w:vAlign w:val="center"/>
          </w:tcPr>
          <w:p w14:paraId="66B7E4BE">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36A1B34A">
            <w:pPr>
              <w:kinsoku w:val="0"/>
              <w:adjustRightInd w:val="0"/>
              <w:snapToGrid w:val="0"/>
              <w:spacing w:before="59" w:line="223" w:lineRule="auto"/>
              <w:ind w:left="109"/>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4D33CA98">
            <w:pPr>
              <w:rPr>
                <w:rFonts w:ascii="宋体" w:hAnsi="宋体"/>
                <w:color w:val="000000"/>
                <w:szCs w:val="21"/>
              </w:rPr>
            </w:pPr>
          </w:p>
        </w:tc>
        <w:tc>
          <w:tcPr>
            <w:tcW w:w="1832" w:type="dxa"/>
            <w:noWrap w:val="0"/>
            <w:vAlign w:val="center"/>
          </w:tcPr>
          <w:p w14:paraId="21E004BE">
            <w:pPr>
              <w:kinsoku w:val="0"/>
              <w:adjustRightInd w:val="0"/>
              <w:snapToGrid w:val="0"/>
              <w:spacing w:before="159" w:line="238" w:lineRule="auto"/>
              <w:ind w:right="126"/>
              <w:textAlignment w:val="baseline"/>
              <w:rPr>
                <w:rFonts w:ascii="宋体" w:hAnsi="宋体" w:cs="黑体"/>
                <w:snapToGrid w:val="0"/>
                <w:color w:val="000000"/>
                <w:szCs w:val="21"/>
              </w:rPr>
            </w:pPr>
            <w:r>
              <w:rPr>
                <w:rFonts w:hint="eastAsia" w:ascii="宋体" w:hAnsi="宋体" w:cs="黑体"/>
                <w:snapToGrid w:val="0"/>
                <w:color w:val="000000"/>
                <w:szCs w:val="21"/>
              </w:rPr>
              <w:t>★尺寸（高 ×宽×深）</w:t>
            </w:r>
          </w:p>
        </w:tc>
        <w:tc>
          <w:tcPr>
            <w:tcW w:w="4068" w:type="dxa"/>
            <w:noWrap w:val="0"/>
            <w:vAlign w:val="center"/>
          </w:tcPr>
          <w:p w14:paraId="140B211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供应商给出产品尺寸； </w:t>
            </w:r>
          </w:p>
          <w:p w14:paraId="309AC83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设计应遵循标准化、系列化的要求； 机箱的内部结构符合通用部件的安装需要:建议尺寸≤8</w:t>
            </w:r>
            <w:r>
              <w:rPr>
                <w:rFonts w:hint="eastAsia" w:ascii="宋体" w:hAnsi="宋体" w:cs="黑体"/>
                <w:snapToGrid w:val="0"/>
                <w:color w:val="000000"/>
                <w:spacing w:val="-2"/>
                <w:szCs w:val="21"/>
                <w:lang w:val="en-US" w:eastAsia="zh-CN"/>
              </w:rPr>
              <w:t>9</w:t>
            </w:r>
            <w:r>
              <w:rPr>
                <w:rFonts w:ascii="宋体" w:hAnsi="宋体" w:cs="黑体"/>
                <w:snapToGrid w:val="0"/>
                <w:color w:val="000000"/>
                <w:spacing w:val="-2"/>
                <w:szCs w:val="21"/>
              </w:rPr>
              <w:t>mm(高)×44</w:t>
            </w:r>
            <w:r>
              <w:rPr>
                <w:rFonts w:hint="eastAsia" w:ascii="宋体" w:hAnsi="宋体" w:cs="黑体"/>
                <w:snapToGrid w:val="0"/>
                <w:color w:val="000000"/>
                <w:spacing w:val="-2"/>
                <w:szCs w:val="21"/>
                <w:lang w:val="en-US" w:eastAsia="zh-CN"/>
              </w:rPr>
              <w:t>8</w:t>
            </w:r>
            <w:r>
              <w:rPr>
                <w:rFonts w:ascii="宋体" w:hAnsi="宋体" w:cs="黑体"/>
                <w:snapToGrid w:val="0"/>
                <w:color w:val="000000"/>
                <w:spacing w:val="-2"/>
                <w:szCs w:val="21"/>
              </w:rPr>
              <w:t>mm(宽)×812mm(深)</w:t>
            </w:r>
          </w:p>
        </w:tc>
        <w:tc>
          <w:tcPr>
            <w:tcW w:w="1525" w:type="dxa"/>
            <w:noWrap w:val="0"/>
            <w:vAlign w:val="center"/>
          </w:tcPr>
          <w:p w14:paraId="4194705F">
            <w:pPr>
              <w:kinsoku w:val="0"/>
              <w:adjustRightInd w:val="0"/>
              <w:snapToGrid w:val="0"/>
              <w:spacing w:before="32" w:line="231" w:lineRule="auto"/>
              <w:ind w:right="50"/>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7D2E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51" w:type="dxa"/>
            <w:noWrap w:val="0"/>
            <w:vAlign w:val="center"/>
          </w:tcPr>
          <w:p w14:paraId="6D38F9FA">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0289DEB6">
            <w:pPr>
              <w:kinsoku w:val="0"/>
              <w:adjustRightInd w:val="0"/>
              <w:snapToGrid w:val="0"/>
              <w:spacing w:before="58" w:line="223" w:lineRule="auto"/>
              <w:ind w:left="109"/>
              <w:textAlignment w:val="baseline"/>
              <w:rPr>
                <w:rFonts w:ascii="宋体" w:hAnsi="宋体" w:cs="黑体"/>
                <w:snapToGrid w:val="0"/>
                <w:color w:val="000000"/>
                <w:szCs w:val="21"/>
              </w:rPr>
            </w:pPr>
            <w:r>
              <w:rPr>
                <w:rFonts w:ascii="宋体" w:hAnsi="宋体" w:cs="黑体"/>
                <w:snapToGrid w:val="0"/>
                <w:color w:val="000000"/>
                <w:spacing w:val="-2"/>
                <w:szCs w:val="21"/>
              </w:rPr>
              <w:t>产品规格</w:t>
            </w:r>
          </w:p>
        </w:tc>
        <w:tc>
          <w:tcPr>
            <w:tcW w:w="1049" w:type="dxa"/>
            <w:vMerge w:val="continue"/>
            <w:noWrap w:val="0"/>
            <w:vAlign w:val="center"/>
          </w:tcPr>
          <w:p w14:paraId="1EB5EEF2">
            <w:pPr>
              <w:rPr>
                <w:rFonts w:ascii="宋体" w:hAnsi="宋体"/>
                <w:color w:val="000000"/>
                <w:szCs w:val="21"/>
              </w:rPr>
            </w:pPr>
          </w:p>
        </w:tc>
        <w:tc>
          <w:tcPr>
            <w:tcW w:w="1832" w:type="dxa"/>
            <w:noWrap w:val="0"/>
            <w:vAlign w:val="center"/>
          </w:tcPr>
          <w:p w14:paraId="02E6531F">
            <w:pPr>
              <w:kinsoku w:val="0"/>
              <w:adjustRightInd w:val="0"/>
              <w:snapToGrid w:val="0"/>
              <w:spacing w:before="58" w:line="235" w:lineRule="auto"/>
              <w:ind w:right="123"/>
              <w:textAlignment w:val="baseline"/>
              <w:rPr>
                <w:rFonts w:ascii="宋体" w:hAnsi="宋体" w:cs="黑体"/>
                <w:snapToGrid w:val="0"/>
                <w:color w:val="000000"/>
                <w:szCs w:val="21"/>
              </w:rPr>
            </w:pPr>
            <w:r>
              <w:rPr>
                <w:rFonts w:hint="eastAsia" w:ascii="宋体" w:hAnsi="宋体" w:cs="黑体"/>
                <w:snapToGrid w:val="0"/>
                <w:color w:val="000000"/>
                <w:spacing w:val="-1"/>
                <w:szCs w:val="21"/>
              </w:rPr>
              <w:t>★</w:t>
            </w:r>
            <w:r>
              <w:rPr>
                <w:rFonts w:ascii="宋体" w:hAnsi="宋体" w:cs="黑体"/>
                <w:snapToGrid w:val="0"/>
                <w:color w:val="000000"/>
                <w:spacing w:val="-1"/>
                <w:szCs w:val="21"/>
              </w:rPr>
              <w:t>环境适应</w:t>
            </w:r>
            <w:r>
              <w:rPr>
                <w:rFonts w:ascii="宋体" w:hAnsi="宋体" w:cs="黑体"/>
                <w:snapToGrid w:val="0"/>
                <w:color w:val="000000"/>
                <w:szCs w:val="21"/>
              </w:rPr>
              <w:t>性</w:t>
            </w:r>
          </w:p>
        </w:tc>
        <w:tc>
          <w:tcPr>
            <w:tcW w:w="4068" w:type="dxa"/>
            <w:noWrap w:val="0"/>
            <w:vAlign w:val="center"/>
          </w:tcPr>
          <w:p w14:paraId="74FBA94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气候环境适应性应符合GB/T9813.3 的有关规定，工作温度 10~ 35℃ , 贮存运输温度-40～55℃ ;工作相对湿度35%～80%，贮存运输相对湿度 20％～93%（40℃) ; 大气压 86～106kPa</w:t>
            </w:r>
          </w:p>
        </w:tc>
        <w:tc>
          <w:tcPr>
            <w:tcW w:w="1525" w:type="dxa"/>
            <w:noWrap w:val="0"/>
            <w:vAlign w:val="center"/>
          </w:tcPr>
          <w:p w14:paraId="1C28CCDE">
            <w:pPr>
              <w:kinsoku w:val="0"/>
              <w:adjustRightInd w:val="0"/>
              <w:snapToGrid w:val="0"/>
              <w:spacing w:before="40" w:line="222" w:lineRule="auto"/>
              <w:jc w:val="center"/>
              <w:textAlignment w:val="baseline"/>
              <w:rPr>
                <w:rFonts w:hint="eastAsia" w:ascii="宋体" w:hAnsi="宋体" w:eastAsia="宋体" w:cs="黑体"/>
                <w:snapToGrid w:val="0"/>
                <w:color w:val="000000"/>
                <w:spacing w:val="2"/>
                <w:szCs w:val="21"/>
                <w:lang w:eastAsia="zh-CN"/>
              </w:rPr>
            </w:pPr>
            <w:r>
              <w:rPr>
                <w:rFonts w:hint="eastAsia" w:ascii="宋体" w:hAnsi="宋体" w:cs="黑体"/>
                <w:snapToGrid w:val="0"/>
                <w:color w:val="000000"/>
                <w:spacing w:val="2"/>
                <w:szCs w:val="21"/>
                <w:lang w:eastAsia="zh-CN"/>
              </w:rPr>
              <w:t>须提供承诺函（须加盖投标人公章）</w:t>
            </w:r>
          </w:p>
        </w:tc>
      </w:tr>
      <w:tr w14:paraId="61F4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2E4905BF">
            <w:pPr>
              <w:pStyle w:val="5"/>
              <w:numPr>
                <w:ilvl w:val="0"/>
                <w:numId w:val="5"/>
              </w:numPr>
              <w:kinsoku w:val="0"/>
              <w:adjustRightInd w:val="0"/>
              <w:snapToGrid w:val="0"/>
              <w:spacing w:before="181" w:line="184" w:lineRule="auto"/>
              <w:ind w:firstLineChars="0"/>
              <w:textAlignment w:val="baseline"/>
              <w:rPr>
                <w:rFonts w:ascii="宋体" w:hAnsi="宋体" w:cs="黑体"/>
                <w:snapToGrid w:val="0"/>
                <w:color w:val="000000"/>
                <w:szCs w:val="21"/>
              </w:rPr>
            </w:pPr>
          </w:p>
        </w:tc>
        <w:tc>
          <w:tcPr>
            <w:tcW w:w="1012" w:type="dxa"/>
            <w:noWrap w:val="0"/>
            <w:vAlign w:val="center"/>
          </w:tcPr>
          <w:p w14:paraId="6D19D51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2FE922D0">
            <w:pPr>
              <w:rPr>
                <w:rFonts w:ascii="宋体" w:hAnsi="宋体"/>
                <w:color w:val="000000"/>
                <w:szCs w:val="21"/>
              </w:rPr>
            </w:pPr>
          </w:p>
        </w:tc>
        <w:tc>
          <w:tcPr>
            <w:tcW w:w="1832" w:type="dxa"/>
            <w:noWrap w:val="0"/>
            <w:vAlign w:val="center"/>
          </w:tcPr>
          <w:p w14:paraId="3191BAD4">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机械环境适应性</w:t>
            </w:r>
          </w:p>
        </w:tc>
        <w:tc>
          <w:tcPr>
            <w:tcW w:w="4068" w:type="dxa"/>
            <w:noWrap w:val="0"/>
            <w:vAlign w:val="center"/>
          </w:tcPr>
          <w:p w14:paraId="423E523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机械环境适应性应符合 GB/T</w:t>
            </w:r>
            <w:r>
              <w:rPr>
                <w:rFonts w:hint="eastAsia" w:ascii="宋体" w:hAnsi="宋体" w:cs="黑体"/>
                <w:snapToGrid w:val="0"/>
                <w:color w:val="000000"/>
                <w:spacing w:val="-2"/>
                <w:szCs w:val="21"/>
              </w:rPr>
              <w:t>9813.3 的有关规定</w:t>
            </w:r>
          </w:p>
        </w:tc>
        <w:tc>
          <w:tcPr>
            <w:tcW w:w="1525" w:type="dxa"/>
            <w:noWrap w:val="0"/>
            <w:vAlign w:val="center"/>
          </w:tcPr>
          <w:p w14:paraId="5436D314">
            <w:pPr>
              <w:kinsoku w:val="0"/>
              <w:adjustRightInd w:val="0"/>
              <w:snapToGrid w:val="0"/>
              <w:spacing w:before="41" w:line="222" w:lineRule="auto"/>
              <w:jc w:val="center"/>
              <w:textAlignment w:val="baseline"/>
              <w:rPr>
                <w:rFonts w:hint="eastAsia" w:ascii="宋体" w:hAnsi="宋体" w:eastAsia="宋体" w:cs="黑体"/>
                <w:snapToGrid w:val="0"/>
                <w:color w:val="000000"/>
                <w:spacing w:val="-3"/>
                <w:szCs w:val="21"/>
                <w:lang w:eastAsia="zh-CN"/>
              </w:rPr>
            </w:pPr>
            <w:r>
              <w:rPr>
                <w:rFonts w:hint="eastAsia" w:ascii="宋体" w:hAnsi="宋体" w:cs="黑体"/>
                <w:snapToGrid w:val="0"/>
                <w:color w:val="000000"/>
                <w:szCs w:val="21"/>
                <w:lang w:eastAsia="zh-CN"/>
              </w:rPr>
              <w:t>须提供承诺函（须加盖投标人公章）</w:t>
            </w:r>
          </w:p>
        </w:tc>
      </w:tr>
      <w:tr w14:paraId="198A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noWrap w:val="0"/>
            <w:vAlign w:val="center"/>
          </w:tcPr>
          <w:p w14:paraId="220E44F6">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342EA4D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vMerge w:val="continue"/>
            <w:noWrap w:val="0"/>
            <w:vAlign w:val="center"/>
          </w:tcPr>
          <w:p w14:paraId="54F74917">
            <w:pPr>
              <w:rPr>
                <w:rFonts w:ascii="宋体" w:hAnsi="宋体"/>
                <w:color w:val="000000"/>
                <w:szCs w:val="21"/>
              </w:rPr>
            </w:pPr>
          </w:p>
        </w:tc>
        <w:tc>
          <w:tcPr>
            <w:tcW w:w="1832" w:type="dxa"/>
            <w:noWrap w:val="0"/>
            <w:vAlign w:val="center"/>
          </w:tcPr>
          <w:p w14:paraId="6A3523C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噪声</w:t>
            </w:r>
          </w:p>
        </w:tc>
        <w:tc>
          <w:tcPr>
            <w:tcW w:w="4068" w:type="dxa"/>
            <w:noWrap w:val="0"/>
            <w:vAlign w:val="center"/>
          </w:tcPr>
          <w:p w14:paraId="68CE457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符合 GB/T 9813.3 的有关规定， </w:t>
            </w:r>
            <w:r>
              <w:rPr>
                <w:rFonts w:hint="eastAsia" w:ascii="宋体" w:hAnsi="宋体" w:cs="黑体"/>
                <w:snapToGrid w:val="0"/>
                <w:color w:val="000000"/>
                <w:spacing w:val="-2"/>
                <w:szCs w:val="21"/>
              </w:rPr>
              <w:t>产品说明中给出具体测试值塔式服务器噪声在空闲状态下不大于 50dB。</w:t>
            </w:r>
          </w:p>
        </w:tc>
        <w:tc>
          <w:tcPr>
            <w:tcW w:w="1525" w:type="dxa"/>
            <w:noWrap w:val="0"/>
            <w:vAlign w:val="center"/>
          </w:tcPr>
          <w:p w14:paraId="5CBE00D8">
            <w:pPr>
              <w:kinsoku w:val="0"/>
              <w:adjustRightInd w:val="0"/>
              <w:snapToGrid w:val="0"/>
              <w:spacing w:before="42" w:line="233" w:lineRule="auto"/>
              <w:ind w:right="168"/>
              <w:jc w:val="center"/>
              <w:textAlignment w:val="baseline"/>
              <w:rPr>
                <w:rFonts w:hint="eastAsia" w:ascii="宋体" w:hAnsi="宋体" w:eastAsia="宋体" w:cs="黑体"/>
                <w:snapToGrid w:val="0"/>
                <w:color w:val="000000"/>
                <w:spacing w:val="-3"/>
                <w:szCs w:val="21"/>
                <w:lang w:eastAsia="zh-CN"/>
              </w:rPr>
            </w:pPr>
            <w:r>
              <w:rPr>
                <w:rFonts w:hint="eastAsia" w:ascii="宋体" w:hAnsi="宋体" w:cs="黑体"/>
                <w:snapToGrid w:val="0"/>
                <w:color w:val="000000"/>
                <w:szCs w:val="21"/>
                <w:lang w:eastAsia="zh-CN"/>
              </w:rPr>
              <w:t>须提供承诺函（须加盖投标人公章）</w:t>
            </w:r>
          </w:p>
        </w:tc>
      </w:tr>
      <w:tr w14:paraId="157F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700C3711">
            <w:pPr>
              <w:pStyle w:val="5"/>
              <w:numPr>
                <w:ilvl w:val="0"/>
                <w:numId w:val="5"/>
              </w:numPr>
              <w:kinsoku w:val="0"/>
              <w:adjustRightInd w:val="0"/>
              <w:snapToGrid w:val="0"/>
              <w:spacing w:before="183" w:line="184" w:lineRule="auto"/>
              <w:ind w:firstLineChars="0"/>
              <w:textAlignment w:val="baseline"/>
              <w:rPr>
                <w:rFonts w:ascii="宋体" w:hAnsi="宋体" w:cs="黑体"/>
                <w:snapToGrid w:val="0"/>
                <w:color w:val="000000"/>
                <w:szCs w:val="21"/>
              </w:rPr>
            </w:pPr>
          </w:p>
        </w:tc>
        <w:tc>
          <w:tcPr>
            <w:tcW w:w="1012" w:type="dxa"/>
            <w:noWrap w:val="0"/>
            <w:vAlign w:val="center"/>
          </w:tcPr>
          <w:p w14:paraId="5770B86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产品规格</w:t>
            </w:r>
          </w:p>
        </w:tc>
        <w:tc>
          <w:tcPr>
            <w:tcW w:w="1049" w:type="dxa"/>
            <w:noWrap w:val="0"/>
            <w:vAlign w:val="center"/>
          </w:tcPr>
          <w:p w14:paraId="14A25057">
            <w:pPr>
              <w:spacing w:line="266" w:lineRule="auto"/>
              <w:rPr>
                <w:rFonts w:ascii="宋体" w:hAnsi="宋体" w:cs="黑体"/>
                <w:snapToGrid w:val="0"/>
                <w:color w:val="000000"/>
                <w:szCs w:val="21"/>
              </w:rPr>
            </w:pPr>
            <w:r>
              <w:rPr>
                <w:rFonts w:ascii="宋体" w:hAnsi="宋体" w:cs="黑体"/>
                <w:snapToGrid w:val="0"/>
                <w:color w:val="000000"/>
                <w:spacing w:val="-3"/>
                <w:szCs w:val="21"/>
              </w:rPr>
              <w:t>机柜规格</w:t>
            </w:r>
          </w:p>
        </w:tc>
        <w:tc>
          <w:tcPr>
            <w:tcW w:w="1832" w:type="dxa"/>
            <w:noWrap w:val="0"/>
            <w:vAlign w:val="center"/>
          </w:tcPr>
          <w:p w14:paraId="46E0E51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机柜尺寸</w:t>
            </w:r>
          </w:p>
        </w:tc>
        <w:tc>
          <w:tcPr>
            <w:tcW w:w="4068" w:type="dxa"/>
            <w:noWrap w:val="0"/>
            <w:vAlign w:val="center"/>
          </w:tcPr>
          <w:p w14:paraId="51676BB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供应商给出长度、高度和深度 。</w:t>
            </w:r>
          </w:p>
          <w:p w14:paraId="636A747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须可安装于标准4</w:t>
            </w:r>
            <w:r>
              <w:rPr>
                <w:rFonts w:ascii="宋体" w:hAnsi="宋体" w:cs="黑体"/>
                <w:snapToGrid w:val="0"/>
                <w:color w:val="000000"/>
                <w:spacing w:val="-2"/>
                <w:szCs w:val="21"/>
              </w:rPr>
              <w:t>2U</w:t>
            </w:r>
            <w:r>
              <w:rPr>
                <w:rFonts w:hint="eastAsia" w:ascii="宋体" w:hAnsi="宋体" w:cs="黑体"/>
                <w:snapToGrid w:val="0"/>
                <w:color w:val="000000"/>
                <w:spacing w:val="-2"/>
                <w:szCs w:val="21"/>
              </w:rPr>
              <w:t>机柜中，深度≤</w:t>
            </w:r>
            <w:r>
              <w:rPr>
                <w:rFonts w:ascii="宋体" w:hAnsi="宋体" w:cs="黑体"/>
                <w:snapToGrid w:val="0"/>
                <w:color w:val="000000"/>
                <w:spacing w:val="-2"/>
                <w:szCs w:val="21"/>
              </w:rPr>
              <w:t>900</w:t>
            </w:r>
            <w:r>
              <w:rPr>
                <w:rFonts w:hint="eastAsia" w:ascii="宋体" w:hAnsi="宋体" w:cs="黑体"/>
                <w:snapToGrid w:val="0"/>
                <w:color w:val="000000"/>
                <w:spacing w:val="-2"/>
                <w:szCs w:val="21"/>
              </w:rPr>
              <w:t>mm</w:t>
            </w:r>
          </w:p>
        </w:tc>
        <w:tc>
          <w:tcPr>
            <w:tcW w:w="1525" w:type="dxa"/>
            <w:noWrap w:val="0"/>
            <w:vAlign w:val="center"/>
          </w:tcPr>
          <w:p w14:paraId="0AB73891">
            <w:pPr>
              <w:kinsoku w:val="0"/>
              <w:adjustRightInd w:val="0"/>
              <w:snapToGrid w:val="0"/>
              <w:spacing w:before="162" w:line="222" w:lineRule="auto"/>
              <w:jc w:val="center"/>
              <w:textAlignment w:val="baseline"/>
              <w:rPr>
                <w:rFonts w:hint="eastAsia" w:ascii="宋体" w:hAnsi="宋体" w:eastAsia="宋体" w:cs="宋体"/>
                <w:snapToGrid w:val="0"/>
                <w:color w:val="000000"/>
                <w:szCs w:val="21"/>
                <w:lang w:eastAsia="zh-CN"/>
              </w:rPr>
            </w:pPr>
            <w:r>
              <w:rPr>
                <w:rFonts w:hint="eastAsia" w:ascii="宋体" w:hAnsi="宋体" w:cs="宋体"/>
                <w:snapToGrid w:val="0"/>
                <w:color w:val="000000"/>
                <w:szCs w:val="21"/>
                <w:lang w:eastAsia="zh-CN"/>
              </w:rPr>
              <w:t>须提供承诺函（须加盖投标人公章）</w:t>
            </w:r>
          </w:p>
        </w:tc>
      </w:tr>
      <w:tr w14:paraId="7903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51" w:type="dxa"/>
            <w:noWrap w:val="0"/>
            <w:vAlign w:val="center"/>
          </w:tcPr>
          <w:p w14:paraId="47A3F34C">
            <w:pPr>
              <w:pStyle w:val="5"/>
              <w:numPr>
                <w:ilvl w:val="0"/>
                <w:numId w:val="5"/>
              </w:numPr>
              <w:kinsoku w:val="0"/>
              <w:adjustRightInd w:val="0"/>
              <w:snapToGrid w:val="0"/>
              <w:spacing w:before="66" w:line="176" w:lineRule="auto"/>
              <w:ind w:firstLineChars="0"/>
              <w:textAlignment w:val="baseline"/>
              <w:rPr>
                <w:rFonts w:ascii="宋体" w:hAnsi="宋体" w:cs="黑体"/>
                <w:snapToGrid w:val="0"/>
                <w:color w:val="000000"/>
                <w:szCs w:val="21"/>
              </w:rPr>
            </w:pPr>
          </w:p>
        </w:tc>
        <w:tc>
          <w:tcPr>
            <w:tcW w:w="1012" w:type="dxa"/>
            <w:noWrap w:val="0"/>
            <w:vAlign w:val="center"/>
          </w:tcPr>
          <w:p w14:paraId="6915D457">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noWrap w:val="0"/>
            <w:vAlign w:val="center"/>
          </w:tcPr>
          <w:p w14:paraId="1FDDD312">
            <w:pPr>
              <w:kinsoku w:val="0"/>
              <w:adjustRightInd w:val="0"/>
              <w:snapToGrid w:val="0"/>
              <w:spacing w:before="43" w:line="200" w:lineRule="auto"/>
              <w:textAlignment w:val="baseline"/>
              <w:rPr>
                <w:rFonts w:ascii="宋体" w:hAnsi="宋体" w:cs="黑体"/>
                <w:snapToGrid w:val="0"/>
                <w:color w:val="000000"/>
                <w:szCs w:val="21"/>
              </w:rPr>
            </w:pPr>
            <w:r>
              <w:rPr>
                <w:rFonts w:ascii="宋体" w:hAnsi="宋体" w:cs="黑体"/>
                <w:snapToGrid w:val="0"/>
                <w:color w:val="000000"/>
                <w:spacing w:val="-1"/>
                <w:szCs w:val="21"/>
              </w:rPr>
              <w:t>主板</w:t>
            </w:r>
            <w:r>
              <w:rPr>
                <w:rFonts w:ascii="宋体" w:hAnsi="宋体" w:cs="黑体"/>
                <w:snapToGrid w:val="0"/>
                <w:color w:val="000000"/>
                <w:spacing w:val="-5"/>
                <w:szCs w:val="21"/>
              </w:rPr>
              <w:t>功能</w:t>
            </w:r>
          </w:p>
        </w:tc>
        <w:tc>
          <w:tcPr>
            <w:tcW w:w="1832" w:type="dxa"/>
            <w:noWrap w:val="0"/>
            <w:vAlign w:val="center"/>
          </w:tcPr>
          <w:p w14:paraId="4F7D377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主板外部接口种类</w:t>
            </w:r>
          </w:p>
        </w:tc>
        <w:tc>
          <w:tcPr>
            <w:tcW w:w="4068" w:type="dxa"/>
            <w:noWrap w:val="0"/>
            <w:vAlign w:val="center"/>
          </w:tcPr>
          <w:p w14:paraId="37F39F6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 USB、显示、管理等接口</w:t>
            </w:r>
            <w:r>
              <w:rPr>
                <w:rFonts w:hint="eastAsia"/>
              </w:rPr>
              <w:t>，如VGA、DP、HDMI、USB3.0、PS/2接口、BMC管理端口</w:t>
            </w:r>
          </w:p>
        </w:tc>
        <w:tc>
          <w:tcPr>
            <w:tcW w:w="1525" w:type="dxa"/>
            <w:noWrap w:val="0"/>
            <w:vAlign w:val="center"/>
          </w:tcPr>
          <w:p w14:paraId="0280C0F2">
            <w:pPr>
              <w:kinsoku w:val="0"/>
              <w:adjustRightInd w:val="0"/>
              <w:snapToGrid w:val="0"/>
              <w:spacing w:before="43" w:line="200" w:lineRule="auto"/>
              <w:jc w:val="center"/>
              <w:textAlignment w:val="baseline"/>
              <w:rPr>
                <w:rFonts w:hint="eastAsia" w:ascii="宋体" w:hAnsi="宋体" w:eastAsia="宋体" w:cs="黑体"/>
                <w:snapToGrid w:val="0"/>
                <w:color w:val="000000"/>
                <w:spacing w:val="-2"/>
                <w:szCs w:val="21"/>
                <w:lang w:eastAsia="zh-CN"/>
              </w:rPr>
            </w:pPr>
            <w:r>
              <w:rPr>
                <w:rFonts w:hint="eastAsia" w:ascii="宋体" w:hAnsi="宋体" w:cs="黑体"/>
                <w:snapToGrid w:val="0"/>
                <w:color w:val="000000"/>
                <w:spacing w:val="-2"/>
                <w:szCs w:val="21"/>
                <w:lang w:eastAsia="zh-CN"/>
              </w:rPr>
              <w:t>须提供承诺函（须加盖投标人公章）</w:t>
            </w:r>
          </w:p>
        </w:tc>
      </w:tr>
      <w:tr w14:paraId="6102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DEC8736">
            <w:pPr>
              <w:pStyle w:val="5"/>
              <w:numPr>
                <w:ilvl w:val="0"/>
                <w:numId w:val="5"/>
              </w:numPr>
              <w:kinsoku w:val="0"/>
              <w:adjustRightInd w:val="0"/>
              <w:snapToGrid w:val="0"/>
              <w:spacing w:before="182" w:line="184" w:lineRule="auto"/>
              <w:ind w:firstLineChars="0"/>
              <w:textAlignment w:val="baseline"/>
              <w:rPr>
                <w:rFonts w:ascii="宋体" w:hAnsi="宋体" w:cs="黑体"/>
                <w:snapToGrid w:val="0"/>
                <w:color w:val="000000"/>
                <w:szCs w:val="21"/>
              </w:rPr>
            </w:pPr>
          </w:p>
        </w:tc>
        <w:tc>
          <w:tcPr>
            <w:tcW w:w="1012" w:type="dxa"/>
            <w:noWrap w:val="0"/>
            <w:vAlign w:val="center"/>
          </w:tcPr>
          <w:p w14:paraId="2EEF056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noWrap w:val="0"/>
            <w:vAlign w:val="center"/>
          </w:tcPr>
          <w:p w14:paraId="5B98BBC5">
            <w:pPr>
              <w:kinsoku w:val="0"/>
              <w:adjustRightInd w:val="0"/>
              <w:snapToGrid w:val="0"/>
              <w:spacing w:before="42" w:line="222"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网络</w:t>
            </w:r>
            <w:r>
              <w:rPr>
                <w:rFonts w:ascii="宋体" w:hAnsi="宋体" w:cs="黑体"/>
                <w:snapToGrid w:val="0"/>
                <w:color w:val="000000"/>
                <w:spacing w:val="-5"/>
                <w:szCs w:val="21"/>
              </w:rPr>
              <w:t>功能</w:t>
            </w:r>
          </w:p>
        </w:tc>
        <w:tc>
          <w:tcPr>
            <w:tcW w:w="1832" w:type="dxa"/>
            <w:noWrap w:val="0"/>
            <w:vAlign w:val="center"/>
          </w:tcPr>
          <w:p w14:paraId="2DB8FCD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网络功能</w:t>
            </w:r>
          </w:p>
        </w:tc>
        <w:tc>
          <w:tcPr>
            <w:tcW w:w="4068" w:type="dxa"/>
            <w:noWrap w:val="0"/>
            <w:vAlign w:val="center"/>
          </w:tcPr>
          <w:p w14:paraId="40C5802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支持网络连接、网络访问、数据交换和网络管控功能</w:t>
            </w:r>
          </w:p>
        </w:tc>
        <w:tc>
          <w:tcPr>
            <w:tcW w:w="1525" w:type="dxa"/>
            <w:noWrap w:val="0"/>
            <w:vAlign w:val="center"/>
          </w:tcPr>
          <w:p w14:paraId="6E8D6AAC">
            <w:pPr>
              <w:kinsoku w:val="0"/>
              <w:adjustRightInd w:val="0"/>
              <w:snapToGrid w:val="0"/>
              <w:spacing w:before="42" w:line="222" w:lineRule="auto"/>
              <w:ind w:right="168"/>
              <w:jc w:val="center"/>
              <w:textAlignment w:val="baseline"/>
              <w:rPr>
                <w:rFonts w:hint="eastAsia" w:ascii="宋体" w:hAnsi="宋体" w:eastAsia="宋体" w:cs="宋体"/>
                <w:color w:val="000000"/>
                <w:szCs w:val="21"/>
                <w:lang w:eastAsia="zh-CN"/>
              </w:rPr>
            </w:pPr>
            <w:r>
              <w:rPr>
                <w:rFonts w:hint="eastAsia" w:ascii="宋体" w:hAnsi="宋体" w:cs="宋体"/>
                <w:color w:val="000000"/>
                <w:szCs w:val="21"/>
                <w:lang w:eastAsia="zh-CN"/>
              </w:rPr>
              <w:t>须提供承诺函（须加盖投标人公章）</w:t>
            </w:r>
          </w:p>
        </w:tc>
      </w:tr>
      <w:tr w14:paraId="4A5A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51" w:type="dxa"/>
            <w:noWrap w:val="0"/>
            <w:vAlign w:val="center"/>
          </w:tcPr>
          <w:p w14:paraId="2C686CBB">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7EE6A5B7">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restart"/>
            <w:noWrap w:val="0"/>
            <w:vAlign w:val="center"/>
          </w:tcPr>
          <w:p w14:paraId="262720F1">
            <w:pPr>
              <w:kinsoku w:val="0"/>
              <w:adjustRightInd w:val="0"/>
              <w:snapToGrid w:val="0"/>
              <w:spacing w:before="59" w:line="247" w:lineRule="auto"/>
              <w:ind w:right="185"/>
              <w:textAlignment w:val="baseline"/>
              <w:rPr>
                <w:rFonts w:ascii="宋体" w:hAnsi="宋体" w:cs="黑体"/>
                <w:snapToGrid w:val="0"/>
                <w:color w:val="000000"/>
                <w:szCs w:val="21"/>
              </w:rPr>
            </w:pPr>
            <w:r>
              <w:rPr>
                <w:rFonts w:ascii="宋体" w:hAnsi="宋体" w:cs="黑体"/>
                <w:snapToGrid w:val="0"/>
                <w:color w:val="000000"/>
                <w:spacing w:val="-1"/>
                <w:szCs w:val="21"/>
              </w:rPr>
              <w:t>CPU</w:t>
            </w:r>
            <w:r>
              <w:rPr>
                <w:rFonts w:ascii="宋体" w:hAnsi="宋体" w:cs="黑体"/>
                <w:snapToGrid w:val="0"/>
                <w:color w:val="000000"/>
                <w:spacing w:val="-5"/>
                <w:szCs w:val="21"/>
              </w:rPr>
              <w:t>功能</w:t>
            </w:r>
          </w:p>
        </w:tc>
        <w:tc>
          <w:tcPr>
            <w:tcW w:w="1832" w:type="dxa"/>
            <w:noWrap w:val="0"/>
            <w:vAlign w:val="center"/>
          </w:tcPr>
          <w:p w14:paraId="7E5CA7C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计算处理</w:t>
            </w:r>
          </w:p>
        </w:tc>
        <w:tc>
          <w:tcPr>
            <w:tcW w:w="4068" w:type="dxa"/>
            <w:noWrap w:val="0"/>
            <w:vAlign w:val="center"/>
          </w:tcPr>
          <w:p w14:paraId="6727D8A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支持通用计算及虚拟化功能。处理器需集成整型计算单元、浮点计算单元、内存控制器、I/O 模块等，处理器与存储部件、网络部件、I/O部件等组成计算系统，提供数据处理、网络接入等计算相关功能</w:t>
            </w:r>
          </w:p>
        </w:tc>
        <w:tc>
          <w:tcPr>
            <w:tcW w:w="1525" w:type="dxa"/>
            <w:noWrap w:val="0"/>
            <w:vAlign w:val="center"/>
          </w:tcPr>
          <w:p w14:paraId="5514BDBE">
            <w:pPr>
              <w:kinsoku w:val="0"/>
              <w:adjustRightInd w:val="0"/>
              <w:snapToGrid w:val="0"/>
              <w:spacing w:before="41" w:line="238" w:lineRule="auto"/>
              <w:ind w:right="103"/>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4CD8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51" w:type="dxa"/>
            <w:noWrap w:val="0"/>
            <w:vAlign w:val="center"/>
          </w:tcPr>
          <w:p w14:paraId="496BC6CC">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5B67820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5CE4710E">
            <w:pPr>
              <w:rPr>
                <w:rFonts w:ascii="宋体" w:hAnsi="宋体"/>
                <w:color w:val="000000"/>
                <w:szCs w:val="21"/>
              </w:rPr>
            </w:pPr>
          </w:p>
        </w:tc>
        <w:tc>
          <w:tcPr>
            <w:tcW w:w="1832" w:type="dxa"/>
            <w:noWrap w:val="0"/>
            <w:vAlign w:val="center"/>
          </w:tcPr>
          <w:p w14:paraId="70F93AA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密码算法实现</w:t>
            </w:r>
          </w:p>
        </w:tc>
        <w:tc>
          <w:tcPr>
            <w:tcW w:w="4068" w:type="dxa"/>
            <w:noWrap w:val="0"/>
            <w:vAlign w:val="center"/>
          </w:tcPr>
          <w:p w14:paraId="579D2E7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CPU 芯片应符合 GM/T 0008 的相关规</w:t>
            </w:r>
            <w:r>
              <w:rPr>
                <w:rFonts w:hint="eastAsia" w:ascii="宋体" w:hAnsi="宋体" w:cs="黑体"/>
                <w:snapToGrid w:val="0"/>
                <w:color w:val="000000"/>
                <w:spacing w:val="-2"/>
                <w:szCs w:val="21"/>
              </w:rPr>
              <w:t>定，或芯片密码模块应符合GB/T 37092或 GM/T 0028 的相关规定</w:t>
            </w:r>
          </w:p>
        </w:tc>
        <w:tc>
          <w:tcPr>
            <w:tcW w:w="1525" w:type="dxa"/>
            <w:noWrap w:val="0"/>
            <w:vAlign w:val="center"/>
          </w:tcPr>
          <w:p w14:paraId="145EBEE2">
            <w:pPr>
              <w:kinsoku w:val="0"/>
              <w:adjustRightInd w:val="0"/>
              <w:snapToGrid w:val="0"/>
              <w:spacing w:before="161" w:line="230" w:lineRule="auto"/>
              <w:ind w:right="103"/>
              <w:jc w:val="center"/>
              <w:textAlignment w:val="baseline"/>
              <w:rPr>
                <w:rFonts w:hint="eastAsia" w:ascii="宋体" w:hAnsi="宋体" w:eastAsia="宋体" w:cs="黑体"/>
                <w:snapToGrid w:val="0"/>
                <w:color w:val="000000"/>
                <w:spacing w:val="-3"/>
                <w:szCs w:val="21"/>
                <w:lang w:eastAsia="zh-CN"/>
              </w:rPr>
            </w:pPr>
            <w:r>
              <w:rPr>
                <w:rFonts w:hint="eastAsia" w:ascii="宋体" w:hAnsi="宋体" w:cs="黑体"/>
                <w:snapToGrid w:val="0"/>
                <w:color w:val="000000"/>
                <w:spacing w:val="-3"/>
                <w:szCs w:val="21"/>
                <w:lang w:eastAsia="zh-CN"/>
              </w:rPr>
              <w:t>须提供承诺函（须加盖投标人公章）</w:t>
            </w:r>
          </w:p>
        </w:tc>
      </w:tr>
      <w:tr w14:paraId="57BD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5275DBF5">
            <w:pPr>
              <w:pStyle w:val="5"/>
              <w:numPr>
                <w:ilvl w:val="0"/>
                <w:numId w:val="5"/>
              </w:numPr>
              <w:kinsoku w:val="0"/>
              <w:adjustRightInd w:val="0"/>
              <w:snapToGrid w:val="0"/>
              <w:spacing w:before="181" w:line="184" w:lineRule="auto"/>
              <w:ind w:firstLineChars="0"/>
              <w:textAlignment w:val="baseline"/>
              <w:rPr>
                <w:rFonts w:ascii="宋体" w:hAnsi="宋体" w:cs="黑体"/>
                <w:snapToGrid w:val="0"/>
                <w:color w:val="000000"/>
                <w:szCs w:val="21"/>
              </w:rPr>
            </w:pPr>
          </w:p>
        </w:tc>
        <w:tc>
          <w:tcPr>
            <w:tcW w:w="1012" w:type="dxa"/>
            <w:noWrap w:val="0"/>
            <w:vAlign w:val="center"/>
          </w:tcPr>
          <w:p w14:paraId="1D2ADCD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restart"/>
            <w:noWrap w:val="0"/>
            <w:vAlign w:val="center"/>
          </w:tcPr>
          <w:p w14:paraId="31D39F3D">
            <w:pPr>
              <w:kinsoku w:val="0"/>
              <w:adjustRightInd w:val="0"/>
              <w:snapToGrid w:val="0"/>
              <w:spacing w:before="286" w:line="234" w:lineRule="auto"/>
              <w:ind w:right="174"/>
              <w:textAlignment w:val="baseline"/>
              <w:rPr>
                <w:rFonts w:ascii="宋体" w:hAnsi="宋体" w:cs="黑体"/>
                <w:snapToGrid w:val="0"/>
                <w:color w:val="000000"/>
                <w:szCs w:val="21"/>
              </w:rPr>
            </w:pPr>
            <w:r>
              <w:rPr>
                <w:rFonts w:ascii="宋体" w:hAnsi="宋体" w:cs="黑体"/>
                <w:snapToGrid w:val="0"/>
                <w:color w:val="000000"/>
                <w:spacing w:val="-2"/>
                <w:szCs w:val="21"/>
              </w:rPr>
              <w:t>电源</w:t>
            </w:r>
            <w:r>
              <w:rPr>
                <w:rFonts w:ascii="宋体" w:hAnsi="宋体" w:cs="黑体"/>
                <w:snapToGrid w:val="0"/>
                <w:color w:val="000000"/>
                <w:spacing w:val="-5"/>
                <w:szCs w:val="21"/>
              </w:rPr>
              <w:t>功能</w:t>
            </w:r>
          </w:p>
        </w:tc>
        <w:tc>
          <w:tcPr>
            <w:tcW w:w="1832" w:type="dxa"/>
            <w:noWrap w:val="0"/>
            <w:vAlign w:val="center"/>
          </w:tcPr>
          <w:p w14:paraId="6E129DA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电源热插拔</w:t>
            </w:r>
          </w:p>
        </w:tc>
        <w:tc>
          <w:tcPr>
            <w:tcW w:w="4068" w:type="dxa"/>
            <w:noWrap w:val="0"/>
            <w:vAlign w:val="center"/>
          </w:tcPr>
          <w:p w14:paraId="4CA1E3F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整机电源模块应具备热插拔功能</w:t>
            </w:r>
          </w:p>
        </w:tc>
        <w:tc>
          <w:tcPr>
            <w:tcW w:w="1525" w:type="dxa"/>
            <w:noWrap w:val="0"/>
            <w:vAlign w:val="center"/>
          </w:tcPr>
          <w:p w14:paraId="02D4F4B5">
            <w:pPr>
              <w:kinsoku w:val="0"/>
              <w:adjustRightInd w:val="0"/>
              <w:snapToGrid w:val="0"/>
              <w:spacing w:before="159"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7DC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75DC582">
            <w:pPr>
              <w:pStyle w:val="5"/>
              <w:numPr>
                <w:ilvl w:val="0"/>
                <w:numId w:val="5"/>
              </w:numPr>
              <w:kinsoku w:val="0"/>
              <w:adjustRightInd w:val="0"/>
              <w:snapToGrid w:val="0"/>
              <w:spacing w:before="181" w:line="184" w:lineRule="auto"/>
              <w:ind w:firstLineChars="0"/>
              <w:textAlignment w:val="baseline"/>
              <w:rPr>
                <w:rFonts w:ascii="宋体" w:hAnsi="宋体" w:cs="黑体"/>
                <w:snapToGrid w:val="0"/>
                <w:color w:val="000000"/>
                <w:szCs w:val="21"/>
              </w:rPr>
            </w:pPr>
          </w:p>
        </w:tc>
        <w:tc>
          <w:tcPr>
            <w:tcW w:w="1012" w:type="dxa"/>
            <w:noWrap w:val="0"/>
            <w:vAlign w:val="center"/>
          </w:tcPr>
          <w:p w14:paraId="5D0869D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0CB917E4">
            <w:pPr>
              <w:rPr>
                <w:rFonts w:ascii="宋体" w:hAnsi="宋体"/>
                <w:color w:val="000000"/>
                <w:szCs w:val="21"/>
              </w:rPr>
            </w:pPr>
          </w:p>
        </w:tc>
        <w:tc>
          <w:tcPr>
            <w:tcW w:w="1832" w:type="dxa"/>
            <w:noWrap w:val="0"/>
            <w:vAlign w:val="center"/>
          </w:tcPr>
          <w:p w14:paraId="39B9828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电源过流保护</w:t>
            </w:r>
          </w:p>
        </w:tc>
        <w:tc>
          <w:tcPr>
            <w:tcW w:w="4068" w:type="dxa"/>
            <w:noWrap w:val="0"/>
            <w:vAlign w:val="center"/>
          </w:tcPr>
          <w:p w14:paraId="1EFB933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支持过流及短路保护的功能</w:t>
            </w:r>
          </w:p>
        </w:tc>
        <w:tc>
          <w:tcPr>
            <w:tcW w:w="1525" w:type="dxa"/>
            <w:noWrap w:val="0"/>
            <w:vAlign w:val="center"/>
          </w:tcPr>
          <w:p w14:paraId="176A9ACA">
            <w:pPr>
              <w:kinsoku w:val="0"/>
              <w:adjustRightInd w:val="0"/>
              <w:snapToGrid w:val="0"/>
              <w:spacing w:before="161" w:line="221" w:lineRule="auto"/>
              <w:jc w:val="center"/>
              <w:textAlignment w:val="baseline"/>
              <w:rPr>
                <w:rFonts w:hint="eastAsia" w:ascii="宋体" w:hAnsi="宋体" w:eastAsia="宋体" w:cs="黑体"/>
                <w:snapToGrid w:val="0"/>
                <w:color w:val="000000"/>
                <w:spacing w:val="-2"/>
                <w:szCs w:val="21"/>
                <w:lang w:eastAsia="zh-CN"/>
              </w:rPr>
            </w:pPr>
            <w:r>
              <w:rPr>
                <w:rFonts w:hint="eastAsia" w:ascii="宋体" w:hAnsi="宋体" w:cs="黑体"/>
                <w:snapToGrid w:val="0"/>
                <w:color w:val="000000"/>
                <w:spacing w:val="-1"/>
                <w:szCs w:val="21"/>
                <w:lang w:eastAsia="zh-CN"/>
              </w:rPr>
              <w:t>须提供承诺函（须加盖投标人公章）</w:t>
            </w:r>
          </w:p>
        </w:tc>
      </w:tr>
      <w:tr w14:paraId="7568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3401AD6F">
            <w:pPr>
              <w:pStyle w:val="5"/>
              <w:numPr>
                <w:ilvl w:val="0"/>
                <w:numId w:val="5"/>
              </w:numPr>
              <w:kinsoku w:val="0"/>
              <w:adjustRightInd w:val="0"/>
              <w:snapToGrid w:val="0"/>
              <w:spacing w:before="180" w:line="185" w:lineRule="auto"/>
              <w:ind w:firstLineChars="0"/>
              <w:textAlignment w:val="baseline"/>
              <w:rPr>
                <w:rFonts w:ascii="宋体" w:hAnsi="宋体" w:cs="黑体"/>
                <w:snapToGrid w:val="0"/>
                <w:color w:val="000000"/>
                <w:szCs w:val="21"/>
              </w:rPr>
            </w:pPr>
          </w:p>
        </w:tc>
        <w:tc>
          <w:tcPr>
            <w:tcW w:w="1012" w:type="dxa"/>
            <w:noWrap w:val="0"/>
            <w:vAlign w:val="center"/>
          </w:tcPr>
          <w:p w14:paraId="046776EA">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noWrap w:val="0"/>
            <w:vAlign w:val="center"/>
          </w:tcPr>
          <w:p w14:paraId="2F4B41FC">
            <w:pPr>
              <w:kinsoku w:val="0"/>
              <w:adjustRightInd w:val="0"/>
              <w:snapToGrid w:val="0"/>
              <w:spacing w:before="58" w:line="234"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整机</w:t>
            </w:r>
            <w:r>
              <w:rPr>
                <w:rFonts w:ascii="宋体" w:hAnsi="宋体" w:cs="黑体"/>
                <w:snapToGrid w:val="0"/>
                <w:color w:val="000000"/>
                <w:spacing w:val="-5"/>
                <w:szCs w:val="21"/>
              </w:rPr>
              <w:t>功能</w:t>
            </w:r>
          </w:p>
        </w:tc>
        <w:tc>
          <w:tcPr>
            <w:tcW w:w="1832" w:type="dxa"/>
            <w:noWrap w:val="0"/>
            <w:vAlign w:val="center"/>
          </w:tcPr>
          <w:p w14:paraId="119DDFC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散热方式</w:t>
            </w:r>
          </w:p>
        </w:tc>
        <w:tc>
          <w:tcPr>
            <w:tcW w:w="4068" w:type="dxa"/>
            <w:noWrap w:val="0"/>
            <w:vAlign w:val="center"/>
          </w:tcPr>
          <w:p w14:paraId="2243FBC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支持风冷或液冷等散热方式</w:t>
            </w:r>
          </w:p>
        </w:tc>
        <w:tc>
          <w:tcPr>
            <w:tcW w:w="1525" w:type="dxa"/>
            <w:noWrap w:val="0"/>
            <w:vAlign w:val="center"/>
          </w:tcPr>
          <w:p w14:paraId="29F6246B">
            <w:pPr>
              <w:kinsoku w:val="0"/>
              <w:adjustRightInd w:val="0"/>
              <w:snapToGrid w:val="0"/>
              <w:spacing w:before="160" w:line="221" w:lineRule="auto"/>
              <w:jc w:val="center"/>
              <w:textAlignment w:val="baseline"/>
              <w:rPr>
                <w:rFonts w:hint="eastAsia" w:ascii="宋体" w:hAnsi="宋体" w:eastAsia="宋体" w:cs="黑体"/>
                <w:snapToGrid w:val="0"/>
                <w:color w:val="000000"/>
                <w:spacing w:val="-2"/>
                <w:szCs w:val="21"/>
                <w:lang w:eastAsia="zh-CN"/>
              </w:rPr>
            </w:pPr>
            <w:r>
              <w:rPr>
                <w:rFonts w:hint="eastAsia" w:ascii="宋体" w:hAnsi="宋体" w:cs="黑体"/>
                <w:snapToGrid w:val="0"/>
                <w:color w:val="000000"/>
                <w:spacing w:val="-1"/>
                <w:szCs w:val="21"/>
                <w:lang w:eastAsia="zh-CN"/>
              </w:rPr>
              <w:t>须提供承诺函（须加盖投标人公章）</w:t>
            </w:r>
          </w:p>
        </w:tc>
      </w:tr>
      <w:tr w14:paraId="1CE5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51" w:type="dxa"/>
            <w:noWrap w:val="0"/>
            <w:vAlign w:val="center"/>
          </w:tcPr>
          <w:p w14:paraId="7DC14AEB">
            <w:pPr>
              <w:pStyle w:val="5"/>
              <w:numPr>
                <w:ilvl w:val="0"/>
                <w:numId w:val="5"/>
              </w:numPr>
              <w:kinsoku w:val="0"/>
              <w:adjustRightInd w:val="0"/>
              <w:snapToGrid w:val="0"/>
              <w:spacing w:before="180" w:line="185" w:lineRule="auto"/>
              <w:ind w:firstLineChars="0"/>
              <w:textAlignment w:val="baseline"/>
              <w:rPr>
                <w:rFonts w:ascii="宋体" w:hAnsi="宋体" w:cs="黑体"/>
                <w:snapToGrid w:val="0"/>
                <w:color w:val="000000"/>
                <w:szCs w:val="21"/>
              </w:rPr>
            </w:pPr>
          </w:p>
        </w:tc>
        <w:tc>
          <w:tcPr>
            <w:tcW w:w="1012" w:type="dxa"/>
            <w:noWrap w:val="0"/>
            <w:vAlign w:val="center"/>
          </w:tcPr>
          <w:p w14:paraId="414CA682">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noWrap w:val="0"/>
            <w:vAlign w:val="center"/>
          </w:tcPr>
          <w:p w14:paraId="2EEC19B9">
            <w:pPr>
              <w:kinsoku w:val="0"/>
              <w:adjustRightInd w:val="0"/>
              <w:snapToGrid w:val="0"/>
              <w:spacing w:before="58" w:line="234" w:lineRule="auto"/>
              <w:ind w:right="141"/>
              <w:textAlignment w:val="baseline"/>
              <w:rPr>
                <w:rFonts w:ascii="宋体" w:hAnsi="宋体" w:cs="黑体"/>
                <w:snapToGrid w:val="0"/>
                <w:color w:val="000000"/>
                <w:spacing w:val="-1"/>
                <w:szCs w:val="21"/>
              </w:rPr>
            </w:pPr>
            <w:r>
              <w:rPr>
                <w:rFonts w:ascii="宋体" w:hAnsi="宋体" w:cs="黑体"/>
                <w:snapToGrid w:val="0"/>
                <w:color w:val="000000"/>
                <w:spacing w:val="-1"/>
                <w:szCs w:val="21"/>
              </w:rPr>
              <w:t>整机</w:t>
            </w:r>
            <w:r>
              <w:rPr>
                <w:rFonts w:ascii="宋体" w:hAnsi="宋体" w:cs="黑体"/>
                <w:snapToGrid w:val="0"/>
                <w:color w:val="000000"/>
                <w:spacing w:val="-5"/>
                <w:szCs w:val="21"/>
              </w:rPr>
              <w:t>功能</w:t>
            </w:r>
          </w:p>
        </w:tc>
        <w:tc>
          <w:tcPr>
            <w:tcW w:w="1832" w:type="dxa"/>
            <w:noWrap w:val="0"/>
            <w:vAlign w:val="center"/>
          </w:tcPr>
          <w:p w14:paraId="75BDC43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其他功能</w:t>
            </w:r>
          </w:p>
        </w:tc>
        <w:tc>
          <w:tcPr>
            <w:tcW w:w="4068" w:type="dxa"/>
            <w:noWrap w:val="0"/>
            <w:vAlign w:val="center"/>
          </w:tcPr>
          <w:p w14:paraId="6632FB1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a) 支持关键部件冗余（包括电源、 </w:t>
            </w:r>
          </w:p>
          <w:p w14:paraId="208158A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 xml:space="preserve">风扇等）； </w:t>
            </w:r>
          </w:p>
          <w:p w14:paraId="3FE438F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b) 支持熔断保护与恢复功能</w:t>
            </w:r>
          </w:p>
        </w:tc>
        <w:tc>
          <w:tcPr>
            <w:tcW w:w="1525" w:type="dxa"/>
            <w:noWrap w:val="0"/>
            <w:vAlign w:val="center"/>
          </w:tcPr>
          <w:p w14:paraId="5527EAA2">
            <w:pPr>
              <w:kinsoku w:val="0"/>
              <w:adjustRightInd w:val="0"/>
              <w:snapToGrid w:val="0"/>
              <w:spacing w:before="160"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6B9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1" w:type="dxa"/>
            <w:noWrap w:val="0"/>
            <w:vAlign w:val="center"/>
          </w:tcPr>
          <w:p w14:paraId="5AC0311D">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27DC8916">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restart"/>
            <w:noWrap w:val="0"/>
            <w:vAlign w:val="center"/>
          </w:tcPr>
          <w:p w14:paraId="04ADE785">
            <w:pPr>
              <w:kinsoku w:val="0"/>
              <w:adjustRightInd w:val="0"/>
              <w:snapToGrid w:val="0"/>
              <w:spacing w:before="59" w:line="238" w:lineRule="auto"/>
              <w:ind w:left="189" w:right="141" w:hanging="50"/>
              <w:textAlignment w:val="baseline"/>
              <w:rPr>
                <w:rFonts w:ascii="宋体" w:hAnsi="宋体" w:cs="黑体"/>
                <w:snapToGrid w:val="0"/>
                <w:color w:val="000000"/>
                <w:szCs w:val="21"/>
              </w:rPr>
            </w:pPr>
            <w:r>
              <w:rPr>
                <w:rFonts w:ascii="宋体" w:hAnsi="宋体" w:cs="黑体"/>
                <w:snapToGrid w:val="0"/>
                <w:color w:val="000000"/>
                <w:spacing w:val="-1"/>
                <w:szCs w:val="21"/>
              </w:rPr>
              <w:t>管理</w:t>
            </w:r>
            <w:r>
              <w:rPr>
                <w:rFonts w:ascii="宋体" w:hAnsi="宋体" w:cs="黑体"/>
                <w:snapToGrid w:val="0"/>
                <w:color w:val="000000"/>
                <w:spacing w:val="-5"/>
                <w:szCs w:val="21"/>
              </w:rPr>
              <w:t>系统</w:t>
            </w:r>
            <w:r>
              <w:rPr>
                <w:rFonts w:ascii="宋体" w:hAnsi="宋体" w:cs="黑体"/>
                <w:snapToGrid w:val="0"/>
                <w:color w:val="000000"/>
                <w:szCs w:val="21"/>
              </w:rPr>
              <w:t xml:space="preserve"> </w:t>
            </w:r>
            <w:r>
              <w:rPr>
                <w:rFonts w:ascii="宋体" w:hAnsi="宋体" w:cs="黑体"/>
                <w:snapToGrid w:val="0"/>
                <w:color w:val="000000"/>
                <w:spacing w:val="-5"/>
                <w:szCs w:val="21"/>
              </w:rPr>
              <w:t>功能</w:t>
            </w:r>
          </w:p>
        </w:tc>
        <w:tc>
          <w:tcPr>
            <w:tcW w:w="1832" w:type="dxa"/>
            <w:noWrap w:val="0"/>
            <w:vAlign w:val="center"/>
          </w:tcPr>
          <w:p w14:paraId="55F4952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BMC固件基础功能</w:t>
            </w:r>
          </w:p>
        </w:tc>
        <w:tc>
          <w:tcPr>
            <w:tcW w:w="4068" w:type="dxa"/>
            <w:noWrap w:val="0"/>
            <w:vAlign w:val="center"/>
          </w:tcPr>
          <w:p w14:paraId="59B2E21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1) 支持DHCP设置网络功能；</w:t>
            </w:r>
          </w:p>
          <w:p w14:paraId="062CC0A4">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2)支持静态IP设置网络功能；</w:t>
            </w:r>
          </w:p>
          <w:p w14:paraId="663537F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3)支持设备日志记录，包括但不限</w:t>
            </w:r>
          </w:p>
          <w:p w14:paraId="44FEED4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于登录日志、操作日志和报警日志</w:t>
            </w:r>
          </w:p>
          <w:p w14:paraId="64CF43F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等功能；</w:t>
            </w:r>
          </w:p>
          <w:p w14:paraId="039F834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4</w:t>
            </w:r>
            <w:r>
              <w:rPr>
                <w:rFonts w:hint="eastAsia" w:ascii="宋体" w:hAnsi="宋体" w:cs="黑体"/>
                <w:snapToGrid w:val="0"/>
                <w:color w:val="000000"/>
                <w:spacing w:val="-2"/>
                <w:szCs w:val="21"/>
              </w:rPr>
              <w:t>)支持通过管理接口向外输出准确</w:t>
            </w:r>
          </w:p>
          <w:p w14:paraId="1CF538C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的报警信息功能；</w:t>
            </w:r>
          </w:p>
          <w:p w14:paraId="62B058A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5</w:t>
            </w:r>
            <w:r>
              <w:rPr>
                <w:rFonts w:hint="eastAsia" w:ascii="宋体" w:hAnsi="宋体" w:cs="黑体"/>
                <w:snapToGrid w:val="0"/>
                <w:color w:val="000000"/>
                <w:spacing w:val="-2"/>
                <w:szCs w:val="21"/>
              </w:rPr>
              <w:t>)设备的BMC 管理软件应能够按报</w:t>
            </w:r>
          </w:p>
          <w:p w14:paraId="1386874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警的严重程度进行区分；</w:t>
            </w:r>
          </w:p>
          <w:p w14:paraId="03D1ADD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6</w:t>
            </w:r>
            <w:r>
              <w:rPr>
                <w:rFonts w:hint="eastAsia" w:ascii="宋体" w:hAnsi="宋体" w:cs="黑体"/>
                <w:snapToGrid w:val="0"/>
                <w:color w:val="000000"/>
                <w:spacing w:val="-2"/>
                <w:szCs w:val="21"/>
              </w:rPr>
              <w:t>)支持IPMI2.0、SNMP 或Redfish</w:t>
            </w:r>
          </w:p>
          <w:p w14:paraId="255AA26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等接口功能；</w:t>
            </w:r>
          </w:p>
          <w:p w14:paraId="0498080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7</w:t>
            </w:r>
            <w:r>
              <w:rPr>
                <w:rFonts w:hint="eastAsia" w:ascii="宋体" w:hAnsi="宋体" w:cs="黑体"/>
                <w:snapToGrid w:val="0"/>
                <w:color w:val="000000"/>
                <w:spacing w:val="-2"/>
                <w:szCs w:val="21"/>
              </w:rPr>
              <w:t>)支持基于网络的固件更新功能，</w:t>
            </w:r>
          </w:p>
          <w:p w14:paraId="6267A11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包括BMC和BIOS 等；</w:t>
            </w:r>
          </w:p>
          <w:p w14:paraId="64E9596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8</w:t>
            </w:r>
            <w:r>
              <w:rPr>
                <w:rFonts w:hint="eastAsia" w:ascii="宋体" w:hAnsi="宋体" w:cs="黑体"/>
                <w:snapToGrid w:val="0"/>
                <w:color w:val="000000"/>
                <w:spacing w:val="-2"/>
                <w:szCs w:val="21"/>
              </w:rPr>
              <w:t>)支持通过浏览器打开管理界面</w:t>
            </w:r>
          </w:p>
          <w:p w14:paraId="3E9BD37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并登录功能；</w:t>
            </w:r>
          </w:p>
        </w:tc>
        <w:tc>
          <w:tcPr>
            <w:tcW w:w="1525" w:type="dxa"/>
            <w:noWrap w:val="0"/>
            <w:vAlign w:val="center"/>
          </w:tcPr>
          <w:p w14:paraId="2C6B906A">
            <w:pPr>
              <w:kinsoku w:val="0"/>
              <w:adjustRightInd w:val="0"/>
              <w:snapToGrid w:val="0"/>
              <w:spacing w:before="32" w:line="199" w:lineRule="auto"/>
              <w:jc w:val="center"/>
              <w:textAlignment w:val="baseline"/>
              <w:rPr>
                <w:rFonts w:hint="eastAsia" w:ascii="宋体" w:hAnsi="宋体" w:eastAsia="宋体" w:cs="黑体"/>
                <w:snapToGrid w:val="0"/>
                <w:color w:val="000000"/>
                <w:szCs w:val="21"/>
                <w:lang w:eastAsia="zh-CN"/>
              </w:rPr>
            </w:pPr>
            <w:r>
              <w:rPr>
                <w:rFonts w:hint="eastAsia" w:ascii="宋体" w:hAnsi="宋体" w:cs="黑体"/>
                <w:snapToGrid w:val="0"/>
                <w:color w:val="000000"/>
                <w:szCs w:val="21"/>
                <w:lang w:eastAsia="zh-CN"/>
              </w:rPr>
              <w:t>须提供承诺函（须加盖投标人公章）</w:t>
            </w:r>
          </w:p>
        </w:tc>
      </w:tr>
      <w:tr w14:paraId="07A4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51" w:type="dxa"/>
            <w:noWrap w:val="0"/>
            <w:vAlign w:val="center"/>
          </w:tcPr>
          <w:p w14:paraId="3316CE85">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72345709">
            <w:pPr>
              <w:kinsoku w:val="0"/>
              <w:adjustRightInd w:val="0"/>
              <w:snapToGrid w:val="0"/>
              <w:spacing w:before="59" w:line="222" w:lineRule="auto"/>
              <w:ind w:left="112"/>
              <w:textAlignment w:val="baseline"/>
              <w:rPr>
                <w:rFonts w:ascii="宋体" w:hAnsi="宋体" w:cs="黑体"/>
                <w:snapToGrid w:val="0"/>
                <w:color w:val="000000"/>
                <w:szCs w:val="21"/>
              </w:rPr>
            </w:pPr>
            <w:r>
              <w:rPr>
                <w:rFonts w:ascii="宋体" w:hAnsi="宋体" w:cs="黑体"/>
                <w:snapToGrid w:val="0"/>
                <w:color w:val="000000"/>
                <w:spacing w:val="-2"/>
                <w:szCs w:val="21"/>
              </w:rPr>
              <w:t>功能要求</w:t>
            </w:r>
          </w:p>
        </w:tc>
        <w:tc>
          <w:tcPr>
            <w:tcW w:w="1049" w:type="dxa"/>
            <w:vMerge w:val="continue"/>
            <w:noWrap w:val="0"/>
            <w:vAlign w:val="center"/>
          </w:tcPr>
          <w:p w14:paraId="58F5FE7D">
            <w:pPr>
              <w:rPr>
                <w:rFonts w:ascii="宋体" w:hAnsi="宋体"/>
                <w:color w:val="000000"/>
                <w:szCs w:val="21"/>
              </w:rPr>
            </w:pPr>
          </w:p>
        </w:tc>
        <w:tc>
          <w:tcPr>
            <w:tcW w:w="1832" w:type="dxa"/>
            <w:noWrap w:val="0"/>
            <w:vAlign w:val="center"/>
          </w:tcPr>
          <w:p w14:paraId="5B17E6D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BIOS固件基础功能</w:t>
            </w:r>
          </w:p>
        </w:tc>
        <w:tc>
          <w:tcPr>
            <w:tcW w:w="4068" w:type="dxa"/>
            <w:noWrap w:val="0"/>
            <w:vAlign w:val="center"/>
          </w:tcPr>
          <w:p w14:paraId="160799C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a）支持查看固件版本、内存信息、主板信息、处理器信息和系统时间信息功能；</w:t>
            </w:r>
          </w:p>
          <w:p w14:paraId="1057D37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b）支持上电初始化界面显示 CPU 信息、内存信息、固件版本和部分快捷键信息功能；</w:t>
            </w:r>
          </w:p>
          <w:p w14:paraId="45C74A66">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c）支持设置界面中英文显示切换功能</w:t>
            </w:r>
          </w:p>
          <w:p w14:paraId="199FC45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d）支持查看PCIe设备信息，SATA设备信息功能；</w:t>
            </w:r>
          </w:p>
          <w:p w14:paraId="278C7AE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e）支持操作系统安装和引导功能，应并向操作系统提供计算机主板信息和服务接口；</w:t>
            </w:r>
          </w:p>
          <w:p w14:paraId="72FC446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f）支持设置启动顺序，并按照设置的启动顺序启动功能；</w:t>
            </w:r>
          </w:p>
          <w:p w14:paraId="336AE75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g）支持安全启动功能；</w:t>
            </w:r>
          </w:p>
          <w:p w14:paraId="585BC50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h）支持设置口令、修改口令、验证口令功能；</w:t>
            </w:r>
          </w:p>
          <w:p w14:paraId="3713E17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i）支持板载显示控制或独立显卡的显示控制功能；</w:t>
            </w:r>
          </w:p>
          <w:p w14:paraId="759ED21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j）支持 RAID 识别和启动功能；</w:t>
            </w:r>
          </w:p>
          <w:p w14:paraId="7C78489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k）支持串口重定向功能；</w:t>
            </w:r>
          </w:p>
          <w:p w14:paraId="783CFAF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l）支持固件更新功能；</w:t>
            </w:r>
          </w:p>
          <w:p w14:paraId="60781C1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m）支持BIOS 固件设置的恢复出厂功能</w:t>
            </w:r>
          </w:p>
          <w:p w14:paraId="14E2DCB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n）支持网络引导启用和关闭功能</w:t>
            </w:r>
          </w:p>
        </w:tc>
        <w:tc>
          <w:tcPr>
            <w:tcW w:w="1525" w:type="dxa"/>
            <w:noWrap w:val="0"/>
            <w:vAlign w:val="center"/>
          </w:tcPr>
          <w:p w14:paraId="03E359A8">
            <w:pPr>
              <w:kinsoku w:val="0"/>
              <w:adjustRightInd w:val="0"/>
              <w:snapToGrid w:val="0"/>
              <w:spacing w:before="25" w:line="202"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6883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928622B">
            <w:pPr>
              <w:pStyle w:val="5"/>
              <w:numPr>
                <w:ilvl w:val="0"/>
                <w:numId w:val="5"/>
              </w:numPr>
              <w:kinsoku w:val="0"/>
              <w:adjustRightInd w:val="0"/>
              <w:snapToGrid w:val="0"/>
              <w:spacing w:before="182" w:line="184" w:lineRule="auto"/>
              <w:ind w:firstLineChars="0"/>
              <w:textAlignment w:val="baseline"/>
              <w:rPr>
                <w:rFonts w:ascii="宋体" w:hAnsi="宋体" w:cs="黑体"/>
                <w:snapToGrid w:val="0"/>
                <w:color w:val="000000"/>
                <w:szCs w:val="21"/>
              </w:rPr>
            </w:pPr>
          </w:p>
        </w:tc>
        <w:tc>
          <w:tcPr>
            <w:tcW w:w="1012" w:type="dxa"/>
            <w:noWrap w:val="0"/>
            <w:vAlign w:val="center"/>
          </w:tcPr>
          <w:p w14:paraId="50F2C28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01E05C13">
            <w:pPr>
              <w:rPr>
                <w:rFonts w:ascii="宋体" w:hAnsi="宋体"/>
                <w:color w:val="000000"/>
                <w:szCs w:val="21"/>
              </w:rPr>
            </w:pPr>
          </w:p>
        </w:tc>
        <w:tc>
          <w:tcPr>
            <w:tcW w:w="1832" w:type="dxa"/>
            <w:noWrap w:val="0"/>
            <w:vAlign w:val="center"/>
          </w:tcPr>
          <w:p w14:paraId="2F02122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远程控制</w:t>
            </w:r>
          </w:p>
        </w:tc>
        <w:tc>
          <w:tcPr>
            <w:tcW w:w="4068" w:type="dxa"/>
            <w:noWrap w:val="0"/>
            <w:vAlign w:val="center"/>
          </w:tcPr>
          <w:p w14:paraId="6FEF8C5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支持远程关机和重新启动功能</w:t>
            </w:r>
          </w:p>
        </w:tc>
        <w:tc>
          <w:tcPr>
            <w:tcW w:w="1525" w:type="dxa"/>
            <w:noWrap w:val="0"/>
            <w:vAlign w:val="center"/>
          </w:tcPr>
          <w:p w14:paraId="51639B2C">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F48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011F5623">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3DF6BB9D">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restart"/>
            <w:noWrap w:val="0"/>
            <w:vAlign w:val="center"/>
          </w:tcPr>
          <w:p w14:paraId="40EB5D51">
            <w:pPr>
              <w:kinsoku w:val="0"/>
              <w:adjustRightInd w:val="0"/>
              <w:snapToGrid w:val="0"/>
              <w:spacing w:before="58" w:line="222" w:lineRule="auto"/>
              <w:textAlignment w:val="baseline"/>
              <w:rPr>
                <w:rFonts w:ascii="宋体" w:hAnsi="宋体" w:cs="黑体"/>
                <w:snapToGrid w:val="0"/>
                <w:color w:val="000000"/>
                <w:szCs w:val="21"/>
              </w:rPr>
            </w:pPr>
            <w:r>
              <w:rPr>
                <w:rFonts w:ascii="宋体" w:hAnsi="宋体" w:cs="黑体"/>
                <w:snapToGrid w:val="0"/>
                <w:color w:val="000000"/>
                <w:spacing w:val="-1"/>
                <w:szCs w:val="21"/>
              </w:rPr>
              <w:t>操作</w:t>
            </w:r>
            <w:r>
              <w:rPr>
                <w:rFonts w:ascii="宋体" w:hAnsi="宋体" w:cs="黑体"/>
                <w:snapToGrid w:val="0"/>
                <w:color w:val="000000"/>
                <w:spacing w:val="-6"/>
                <w:szCs w:val="21"/>
              </w:rPr>
              <w:t>系统</w:t>
            </w:r>
            <w:r>
              <w:rPr>
                <w:rFonts w:ascii="宋体" w:hAnsi="宋体" w:cs="黑体"/>
                <w:snapToGrid w:val="0"/>
                <w:color w:val="000000"/>
                <w:spacing w:val="-4"/>
                <w:szCs w:val="21"/>
              </w:rPr>
              <w:t>及驱动功</w:t>
            </w:r>
            <w:r>
              <w:rPr>
                <w:rFonts w:ascii="宋体" w:hAnsi="宋体" w:cs="黑体"/>
                <w:snapToGrid w:val="0"/>
                <w:color w:val="000000"/>
                <w:szCs w:val="21"/>
              </w:rPr>
              <w:t>能</w:t>
            </w:r>
          </w:p>
        </w:tc>
        <w:tc>
          <w:tcPr>
            <w:tcW w:w="1832" w:type="dxa"/>
            <w:noWrap w:val="0"/>
            <w:vAlign w:val="center"/>
          </w:tcPr>
          <w:p w14:paraId="29C895A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操作系统及驱动的升级</w:t>
            </w:r>
          </w:p>
        </w:tc>
        <w:tc>
          <w:tcPr>
            <w:tcW w:w="4068" w:type="dxa"/>
            <w:noWrap w:val="0"/>
            <w:vAlign w:val="center"/>
          </w:tcPr>
          <w:p w14:paraId="0ECEDE6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支持通过网络、闪存盘对操作系统、 驱动进行升级</w:t>
            </w:r>
          </w:p>
        </w:tc>
        <w:tc>
          <w:tcPr>
            <w:tcW w:w="1525" w:type="dxa"/>
            <w:noWrap w:val="0"/>
            <w:vAlign w:val="center"/>
          </w:tcPr>
          <w:p w14:paraId="34AA1B8A">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BC7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51" w:type="dxa"/>
            <w:noWrap w:val="0"/>
            <w:vAlign w:val="center"/>
          </w:tcPr>
          <w:p w14:paraId="01DD90CA">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75E78334">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3636C477">
            <w:pPr>
              <w:rPr>
                <w:rFonts w:ascii="宋体" w:hAnsi="宋体"/>
                <w:color w:val="000000"/>
                <w:szCs w:val="21"/>
              </w:rPr>
            </w:pPr>
          </w:p>
        </w:tc>
        <w:tc>
          <w:tcPr>
            <w:tcW w:w="1832" w:type="dxa"/>
            <w:noWrap w:val="0"/>
            <w:vAlign w:val="center"/>
          </w:tcPr>
          <w:p w14:paraId="17FDBAC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操作系统功能</w:t>
            </w:r>
          </w:p>
        </w:tc>
        <w:tc>
          <w:tcPr>
            <w:tcW w:w="4068" w:type="dxa"/>
            <w:noWrap w:val="0"/>
            <w:vAlign w:val="center"/>
          </w:tcPr>
          <w:p w14:paraId="04A55BDB">
            <w:pPr>
              <w:widowControl/>
              <w:kinsoku w:val="0"/>
              <w:adjustRightInd w:val="0"/>
              <w:snapToGrid w:val="0"/>
              <w:spacing w:before="159" w:line="238" w:lineRule="auto"/>
              <w:ind w:right="126"/>
              <w:jc w:val="left"/>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a) 支持访问控制、安全审计、网络接入鉴别等功能； </w:t>
            </w:r>
          </w:p>
          <w:p w14:paraId="70A1ABFF">
            <w:pPr>
              <w:widowControl/>
              <w:kinsoku w:val="0"/>
              <w:adjustRightInd w:val="0"/>
              <w:snapToGrid w:val="0"/>
              <w:spacing w:before="159" w:line="238" w:lineRule="auto"/>
              <w:ind w:right="126"/>
              <w:jc w:val="left"/>
              <w:textAlignment w:val="baseline"/>
            </w:pPr>
            <w:r>
              <w:rPr>
                <w:rFonts w:ascii="宋体" w:hAnsi="宋体" w:cs="黑体"/>
                <w:snapToGrid w:val="0"/>
                <w:color w:val="000000"/>
                <w:spacing w:val="-2"/>
                <w:szCs w:val="21"/>
              </w:rPr>
              <w:t>b) 操作系统其他功能应满足操作系统政府采购需求标准中加*的指标要求</w:t>
            </w:r>
          </w:p>
        </w:tc>
        <w:tc>
          <w:tcPr>
            <w:tcW w:w="1525" w:type="dxa"/>
            <w:noWrap w:val="0"/>
            <w:vAlign w:val="center"/>
          </w:tcPr>
          <w:p w14:paraId="022833B0">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FC5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1" w:type="dxa"/>
            <w:noWrap w:val="0"/>
            <w:vAlign w:val="center"/>
          </w:tcPr>
          <w:p w14:paraId="6F8D8807">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5680334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noWrap w:val="0"/>
            <w:vAlign w:val="center"/>
          </w:tcPr>
          <w:p w14:paraId="1277E4AD">
            <w:pPr>
              <w:kinsoku w:val="0"/>
              <w:adjustRightInd w:val="0"/>
              <w:snapToGrid w:val="0"/>
              <w:spacing w:before="37" w:line="235"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中文</w:t>
            </w:r>
            <w:r>
              <w:rPr>
                <w:rFonts w:ascii="宋体" w:hAnsi="宋体" w:cs="黑体"/>
                <w:snapToGrid w:val="0"/>
                <w:color w:val="000000"/>
                <w:spacing w:val="-4"/>
                <w:szCs w:val="21"/>
              </w:rPr>
              <w:t>信息处理功能</w:t>
            </w:r>
          </w:p>
        </w:tc>
        <w:tc>
          <w:tcPr>
            <w:tcW w:w="1832" w:type="dxa"/>
            <w:noWrap w:val="0"/>
            <w:vAlign w:val="center"/>
          </w:tcPr>
          <w:p w14:paraId="6ECF129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中文信息处理</w:t>
            </w:r>
          </w:p>
        </w:tc>
        <w:tc>
          <w:tcPr>
            <w:tcW w:w="4068" w:type="dxa"/>
            <w:noWrap w:val="0"/>
            <w:vAlign w:val="center"/>
          </w:tcPr>
          <w:p w14:paraId="7D34772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符合 GB 18030 的有关规定</w:t>
            </w:r>
          </w:p>
        </w:tc>
        <w:tc>
          <w:tcPr>
            <w:tcW w:w="1525" w:type="dxa"/>
            <w:noWrap w:val="0"/>
            <w:vAlign w:val="center"/>
          </w:tcPr>
          <w:p w14:paraId="24CCEC35">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1B5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1" w:type="dxa"/>
            <w:noWrap w:val="0"/>
            <w:vAlign w:val="center"/>
          </w:tcPr>
          <w:p w14:paraId="690D25DF">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5ABC3C4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restart"/>
            <w:noWrap w:val="0"/>
            <w:vAlign w:val="center"/>
          </w:tcPr>
          <w:p w14:paraId="38658DBF">
            <w:pPr>
              <w:kinsoku w:val="0"/>
              <w:adjustRightInd w:val="0"/>
              <w:snapToGrid w:val="0"/>
              <w:spacing w:before="37" w:line="235" w:lineRule="auto"/>
              <w:ind w:right="141"/>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服务器功能</w:t>
            </w:r>
          </w:p>
        </w:tc>
        <w:tc>
          <w:tcPr>
            <w:tcW w:w="1832" w:type="dxa"/>
            <w:noWrap w:val="0"/>
            <w:vAlign w:val="center"/>
          </w:tcPr>
          <w:p w14:paraId="4BD4E2D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1"/>
                <w:szCs w:val="21"/>
              </w:rPr>
              <w:t>#</w:t>
            </w:r>
            <w:r>
              <w:rPr>
                <w:rFonts w:hint="eastAsia" w:ascii="宋体" w:hAnsi="宋体" w:cs="黑体"/>
                <w:snapToGrid w:val="0"/>
                <w:color w:val="000000"/>
                <w:spacing w:val="-2"/>
                <w:szCs w:val="21"/>
              </w:rPr>
              <w:t>便捷运维</w:t>
            </w:r>
          </w:p>
        </w:tc>
        <w:tc>
          <w:tcPr>
            <w:tcW w:w="4068" w:type="dxa"/>
            <w:noWrap w:val="0"/>
            <w:vAlign w:val="center"/>
          </w:tcPr>
          <w:p w14:paraId="3733A3A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服务器支持外接USB WIFI模块，管理员可使用手机或PC通过无线登录BMC</w:t>
            </w:r>
          </w:p>
        </w:tc>
        <w:tc>
          <w:tcPr>
            <w:tcW w:w="1525" w:type="dxa"/>
            <w:noWrap w:val="0"/>
            <w:vAlign w:val="center"/>
          </w:tcPr>
          <w:p w14:paraId="45702BBA">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0559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1" w:type="dxa"/>
            <w:noWrap w:val="0"/>
            <w:vAlign w:val="center"/>
          </w:tcPr>
          <w:p w14:paraId="3244CA35">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73215D4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01E84D0C">
            <w:pPr>
              <w:kinsoku w:val="0"/>
              <w:adjustRightInd w:val="0"/>
              <w:snapToGrid w:val="0"/>
              <w:spacing w:before="37" w:line="235" w:lineRule="auto"/>
              <w:ind w:right="141"/>
              <w:textAlignment w:val="baseline"/>
              <w:rPr>
                <w:rFonts w:ascii="宋体" w:hAnsi="宋体" w:cs="黑体"/>
                <w:snapToGrid w:val="0"/>
                <w:color w:val="000000"/>
                <w:spacing w:val="-1"/>
                <w:szCs w:val="21"/>
              </w:rPr>
            </w:pPr>
          </w:p>
        </w:tc>
        <w:tc>
          <w:tcPr>
            <w:tcW w:w="1832" w:type="dxa"/>
            <w:noWrap w:val="0"/>
            <w:vAlign w:val="center"/>
          </w:tcPr>
          <w:p w14:paraId="1A83D50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1"/>
                <w:szCs w:val="21"/>
              </w:rPr>
              <w:t>#</w:t>
            </w:r>
            <w:r>
              <w:rPr>
                <w:rFonts w:hint="eastAsia" w:ascii="宋体" w:hAnsi="宋体" w:cs="黑体"/>
                <w:snapToGrid w:val="0"/>
                <w:color w:val="000000"/>
                <w:spacing w:val="-2"/>
                <w:szCs w:val="21"/>
              </w:rPr>
              <w:t>应急诊断</w:t>
            </w:r>
          </w:p>
        </w:tc>
        <w:tc>
          <w:tcPr>
            <w:tcW w:w="4068" w:type="dxa"/>
            <w:noWrap w:val="0"/>
            <w:vAlign w:val="center"/>
          </w:tcPr>
          <w:p w14:paraId="15B17456">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支持应急诊断功能，防止服务器因可更换硬件故障导致启动进程挂死在POST阶段</w:t>
            </w:r>
          </w:p>
        </w:tc>
        <w:tc>
          <w:tcPr>
            <w:tcW w:w="1525" w:type="dxa"/>
            <w:noWrap w:val="0"/>
            <w:vAlign w:val="center"/>
          </w:tcPr>
          <w:p w14:paraId="17EF2CBD">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17A1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1" w:type="dxa"/>
            <w:noWrap w:val="0"/>
            <w:vAlign w:val="center"/>
          </w:tcPr>
          <w:p w14:paraId="677458C7">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5C3D85B6">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101F05E5">
            <w:pPr>
              <w:kinsoku w:val="0"/>
              <w:adjustRightInd w:val="0"/>
              <w:snapToGrid w:val="0"/>
              <w:spacing w:before="37" w:line="235" w:lineRule="auto"/>
              <w:ind w:right="141"/>
              <w:textAlignment w:val="baseline"/>
              <w:rPr>
                <w:rFonts w:ascii="宋体" w:hAnsi="宋体" w:cs="黑体"/>
                <w:snapToGrid w:val="0"/>
                <w:color w:val="000000"/>
                <w:spacing w:val="-1"/>
                <w:szCs w:val="21"/>
              </w:rPr>
            </w:pPr>
          </w:p>
        </w:tc>
        <w:tc>
          <w:tcPr>
            <w:tcW w:w="1832" w:type="dxa"/>
            <w:noWrap w:val="0"/>
            <w:vAlign w:val="center"/>
          </w:tcPr>
          <w:p w14:paraId="1903402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1"/>
                <w:szCs w:val="21"/>
              </w:rPr>
              <w:t>#系统升级</w:t>
            </w:r>
          </w:p>
        </w:tc>
        <w:tc>
          <w:tcPr>
            <w:tcW w:w="4068" w:type="dxa"/>
            <w:noWrap w:val="0"/>
            <w:vAlign w:val="center"/>
          </w:tcPr>
          <w:p w14:paraId="1945C79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不依赖OS，可带外升级BIOS、BMC版本，可通过BMC界面带外一次升级多个部件的固件</w:t>
            </w:r>
          </w:p>
        </w:tc>
        <w:tc>
          <w:tcPr>
            <w:tcW w:w="1525" w:type="dxa"/>
            <w:noWrap w:val="0"/>
            <w:vAlign w:val="center"/>
          </w:tcPr>
          <w:p w14:paraId="69BF910A">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6603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1" w:type="dxa"/>
            <w:noWrap w:val="0"/>
            <w:vAlign w:val="center"/>
          </w:tcPr>
          <w:p w14:paraId="39CCA5BB">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7825A162">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功能要求</w:t>
            </w:r>
          </w:p>
        </w:tc>
        <w:tc>
          <w:tcPr>
            <w:tcW w:w="1049" w:type="dxa"/>
            <w:vMerge w:val="continue"/>
            <w:noWrap w:val="0"/>
            <w:vAlign w:val="center"/>
          </w:tcPr>
          <w:p w14:paraId="516C5DA9">
            <w:pPr>
              <w:kinsoku w:val="0"/>
              <w:adjustRightInd w:val="0"/>
              <w:snapToGrid w:val="0"/>
              <w:spacing w:before="37" w:line="235" w:lineRule="auto"/>
              <w:ind w:right="141"/>
              <w:textAlignment w:val="baseline"/>
              <w:rPr>
                <w:rFonts w:ascii="宋体" w:hAnsi="宋体" w:cs="黑体"/>
                <w:snapToGrid w:val="0"/>
                <w:color w:val="000000"/>
                <w:spacing w:val="-1"/>
                <w:szCs w:val="21"/>
              </w:rPr>
            </w:pPr>
          </w:p>
        </w:tc>
        <w:tc>
          <w:tcPr>
            <w:tcW w:w="1832" w:type="dxa"/>
            <w:noWrap w:val="0"/>
            <w:vAlign w:val="center"/>
          </w:tcPr>
          <w:p w14:paraId="1EBEB08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1"/>
                <w:szCs w:val="21"/>
              </w:rPr>
              <w:t>#服务器</w:t>
            </w:r>
            <w:r>
              <w:rPr>
                <w:rFonts w:ascii="宋体" w:hAnsi="宋体" w:cs="黑体"/>
                <w:snapToGrid w:val="0"/>
                <w:color w:val="000000"/>
                <w:spacing w:val="-1"/>
                <w:szCs w:val="21"/>
              </w:rPr>
              <w:t>安全性</w:t>
            </w:r>
            <w:r>
              <w:rPr>
                <w:rFonts w:hint="eastAsia" w:ascii="宋体" w:hAnsi="宋体" w:cs="黑体"/>
                <w:snapToGrid w:val="0"/>
                <w:color w:val="000000"/>
                <w:spacing w:val="-1"/>
                <w:szCs w:val="21"/>
              </w:rPr>
              <w:t>监控</w:t>
            </w:r>
          </w:p>
        </w:tc>
        <w:tc>
          <w:tcPr>
            <w:tcW w:w="4068" w:type="dxa"/>
            <w:noWrap w:val="0"/>
            <w:vAlign w:val="center"/>
          </w:tcPr>
          <w:p w14:paraId="47D8639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服务器支持智能温度监控，具备支持以图形化形式展示各组件温度传感器的分布图，可直观体现服务器整体温感状态，如发生温度告警可快速定位到具体区域</w:t>
            </w:r>
          </w:p>
        </w:tc>
        <w:tc>
          <w:tcPr>
            <w:tcW w:w="1525" w:type="dxa"/>
            <w:noWrap w:val="0"/>
            <w:vAlign w:val="center"/>
          </w:tcPr>
          <w:p w14:paraId="7143D92B">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0C92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51" w:type="dxa"/>
            <w:noWrap w:val="0"/>
            <w:vAlign w:val="center"/>
          </w:tcPr>
          <w:p w14:paraId="23E4A79C">
            <w:pPr>
              <w:pStyle w:val="5"/>
              <w:numPr>
                <w:ilvl w:val="0"/>
                <w:numId w:val="5"/>
              </w:numPr>
              <w:kinsoku w:val="0"/>
              <w:adjustRightInd w:val="0"/>
              <w:snapToGrid w:val="0"/>
              <w:spacing w:before="58" w:line="182" w:lineRule="auto"/>
              <w:ind w:firstLineChars="0"/>
              <w:textAlignment w:val="baseline"/>
              <w:rPr>
                <w:rFonts w:ascii="宋体" w:hAnsi="宋体" w:cs="黑体"/>
                <w:snapToGrid w:val="0"/>
                <w:color w:val="000000"/>
                <w:szCs w:val="21"/>
              </w:rPr>
            </w:pPr>
          </w:p>
        </w:tc>
        <w:tc>
          <w:tcPr>
            <w:tcW w:w="1012" w:type="dxa"/>
            <w:noWrap w:val="0"/>
            <w:vAlign w:val="center"/>
          </w:tcPr>
          <w:p w14:paraId="3617DD8F">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noWrap w:val="0"/>
            <w:vAlign w:val="center"/>
          </w:tcPr>
          <w:p w14:paraId="697B417C">
            <w:pPr>
              <w:kinsoku w:val="0"/>
              <w:adjustRightInd w:val="0"/>
              <w:snapToGrid w:val="0"/>
              <w:spacing w:before="58"/>
              <w:ind w:right="174"/>
              <w:textAlignment w:val="baseline"/>
              <w:rPr>
                <w:rFonts w:ascii="宋体" w:hAnsi="宋体" w:cs="黑体"/>
                <w:snapToGrid w:val="0"/>
                <w:color w:val="000000"/>
                <w:szCs w:val="21"/>
              </w:rPr>
            </w:pPr>
            <w:r>
              <w:rPr>
                <w:rFonts w:ascii="宋体" w:hAnsi="宋体" w:cs="黑体"/>
                <w:snapToGrid w:val="0"/>
                <w:color w:val="000000"/>
                <w:spacing w:val="-2"/>
                <w:szCs w:val="21"/>
              </w:rPr>
              <w:t>关键</w:t>
            </w:r>
            <w:r>
              <w:rPr>
                <w:rFonts w:ascii="宋体" w:hAnsi="宋体" w:cs="黑体"/>
                <w:snapToGrid w:val="0"/>
                <w:color w:val="000000"/>
                <w:spacing w:val="-3"/>
                <w:szCs w:val="21"/>
              </w:rPr>
              <w:t>部件</w:t>
            </w:r>
            <w:r>
              <w:rPr>
                <w:rFonts w:ascii="宋体" w:hAnsi="宋体" w:cs="黑体"/>
                <w:snapToGrid w:val="0"/>
                <w:color w:val="000000"/>
                <w:szCs w:val="21"/>
              </w:rPr>
              <w:t xml:space="preserve">  </w:t>
            </w:r>
            <w:r>
              <w:rPr>
                <w:rFonts w:ascii="宋体" w:hAnsi="宋体" w:cs="黑体"/>
                <w:snapToGrid w:val="0"/>
                <w:color w:val="000000"/>
                <w:spacing w:val="-3"/>
                <w:szCs w:val="21"/>
              </w:rPr>
              <w:t>安全要求</w:t>
            </w:r>
          </w:p>
        </w:tc>
        <w:tc>
          <w:tcPr>
            <w:tcW w:w="1832" w:type="dxa"/>
            <w:noWrap w:val="0"/>
            <w:vAlign w:val="center"/>
          </w:tcPr>
          <w:p w14:paraId="348AA14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关键部件安全要求</w:t>
            </w:r>
          </w:p>
        </w:tc>
        <w:tc>
          <w:tcPr>
            <w:tcW w:w="4068" w:type="dxa"/>
            <w:noWrap w:val="0"/>
            <w:vAlign w:val="center"/>
          </w:tcPr>
          <w:p w14:paraId="1899CBD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CPU 和操作系统等关键部件应当符 </w:t>
            </w:r>
          </w:p>
          <w:p w14:paraId="433462B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合安全可靠测评要求</w:t>
            </w:r>
          </w:p>
        </w:tc>
        <w:tc>
          <w:tcPr>
            <w:tcW w:w="1525" w:type="dxa"/>
            <w:noWrap w:val="0"/>
            <w:vAlign w:val="center"/>
          </w:tcPr>
          <w:p w14:paraId="4F7E00BB">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5712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1" w:type="dxa"/>
            <w:noWrap w:val="0"/>
            <w:vAlign w:val="center"/>
          </w:tcPr>
          <w:p w14:paraId="3541AE42">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38251AF8">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noWrap w:val="0"/>
            <w:vAlign w:val="center"/>
          </w:tcPr>
          <w:p w14:paraId="36958AA5">
            <w:pPr>
              <w:rPr>
                <w:rFonts w:ascii="宋体" w:hAnsi="宋体" w:cs="黑体"/>
                <w:snapToGrid w:val="0"/>
                <w:color w:val="000000"/>
                <w:szCs w:val="21"/>
              </w:rPr>
            </w:pPr>
            <w:r>
              <w:rPr>
                <w:rFonts w:ascii="宋体" w:hAnsi="宋体" w:cs="黑体"/>
                <w:snapToGrid w:val="0"/>
                <w:color w:val="000000"/>
                <w:spacing w:val="-1"/>
                <w:szCs w:val="21"/>
              </w:rPr>
              <w:t>固件</w:t>
            </w:r>
            <w:r>
              <w:rPr>
                <w:rFonts w:ascii="宋体" w:hAnsi="宋体" w:cs="黑体"/>
                <w:snapToGrid w:val="0"/>
                <w:color w:val="000000"/>
                <w:spacing w:val="-3"/>
                <w:szCs w:val="21"/>
              </w:rPr>
              <w:t>安全要求</w:t>
            </w:r>
          </w:p>
        </w:tc>
        <w:tc>
          <w:tcPr>
            <w:tcW w:w="1832" w:type="dxa"/>
            <w:noWrap w:val="0"/>
            <w:vAlign w:val="center"/>
          </w:tcPr>
          <w:p w14:paraId="723EF5D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故障检测</w:t>
            </w:r>
          </w:p>
        </w:tc>
        <w:tc>
          <w:tcPr>
            <w:tcW w:w="4068" w:type="dxa"/>
            <w:noWrap w:val="0"/>
            <w:vAlign w:val="center"/>
          </w:tcPr>
          <w:p w14:paraId="5458D59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支持故障检测功能，可以检测到具体的 FRU（内存、硬盘等）的故障并发出告警</w:t>
            </w:r>
          </w:p>
        </w:tc>
        <w:tc>
          <w:tcPr>
            <w:tcW w:w="1525" w:type="dxa"/>
            <w:noWrap w:val="0"/>
            <w:vAlign w:val="center"/>
          </w:tcPr>
          <w:p w14:paraId="46B37ABE">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FCD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592C3EE2">
            <w:pPr>
              <w:pStyle w:val="5"/>
              <w:numPr>
                <w:ilvl w:val="0"/>
                <w:numId w:val="5"/>
              </w:numPr>
              <w:kinsoku w:val="0"/>
              <w:adjustRightInd w:val="0"/>
              <w:snapToGrid w:val="0"/>
              <w:spacing w:before="299" w:line="184" w:lineRule="auto"/>
              <w:ind w:firstLineChars="0"/>
              <w:textAlignment w:val="baseline"/>
              <w:rPr>
                <w:rFonts w:ascii="宋体" w:hAnsi="宋体" w:cs="黑体"/>
                <w:snapToGrid w:val="0"/>
                <w:color w:val="000000"/>
                <w:szCs w:val="21"/>
              </w:rPr>
            </w:pPr>
          </w:p>
        </w:tc>
        <w:tc>
          <w:tcPr>
            <w:tcW w:w="1012" w:type="dxa"/>
            <w:noWrap w:val="0"/>
            <w:vAlign w:val="center"/>
          </w:tcPr>
          <w:p w14:paraId="063ABAF9">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vMerge w:val="restart"/>
            <w:noWrap w:val="0"/>
            <w:vAlign w:val="center"/>
          </w:tcPr>
          <w:p w14:paraId="7CF308F0">
            <w:pPr>
              <w:rPr>
                <w:rFonts w:ascii="宋体" w:hAnsi="宋体"/>
                <w:color w:val="000000"/>
                <w:szCs w:val="21"/>
              </w:rPr>
            </w:pPr>
            <w:r>
              <w:rPr>
                <w:rFonts w:hint="eastAsia" w:ascii="宋体" w:hAnsi="宋体"/>
                <w:color w:val="000000"/>
                <w:szCs w:val="21"/>
              </w:rPr>
              <w:t>系统安全要求</w:t>
            </w:r>
          </w:p>
        </w:tc>
        <w:tc>
          <w:tcPr>
            <w:tcW w:w="1832" w:type="dxa"/>
            <w:noWrap w:val="0"/>
            <w:vAlign w:val="center"/>
          </w:tcPr>
          <w:p w14:paraId="5516E54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弱口令字典检查</w:t>
            </w:r>
          </w:p>
        </w:tc>
        <w:tc>
          <w:tcPr>
            <w:tcW w:w="4068" w:type="dxa"/>
            <w:noWrap w:val="0"/>
            <w:vAlign w:val="center"/>
          </w:tcPr>
          <w:p w14:paraId="3E5C528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支持弱口令字典检查功能，出现在 弱口令字典中的字符串不能被设置 为用户口令</w:t>
            </w:r>
          </w:p>
        </w:tc>
        <w:tc>
          <w:tcPr>
            <w:tcW w:w="1525" w:type="dxa"/>
            <w:noWrap w:val="0"/>
            <w:vAlign w:val="center"/>
          </w:tcPr>
          <w:p w14:paraId="37950BEA">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394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4348657A">
            <w:pPr>
              <w:pStyle w:val="5"/>
              <w:numPr>
                <w:ilvl w:val="0"/>
                <w:numId w:val="5"/>
              </w:numPr>
              <w:kinsoku w:val="0"/>
              <w:adjustRightInd w:val="0"/>
              <w:snapToGrid w:val="0"/>
              <w:spacing w:before="299" w:line="184" w:lineRule="auto"/>
              <w:ind w:firstLineChars="0"/>
              <w:textAlignment w:val="baseline"/>
              <w:rPr>
                <w:rFonts w:ascii="宋体" w:hAnsi="宋体" w:cs="黑体"/>
                <w:snapToGrid w:val="0"/>
                <w:color w:val="000000"/>
                <w:szCs w:val="21"/>
              </w:rPr>
            </w:pPr>
          </w:p>
        </w:tc>
        <w:tc>
          <w:tcPr>
            <w:tcW w:w="1012" w:type="dxa"/>
            <w:noWrap w:val="0"/>
            <w:vAlign w:val="center"/>
          </w:tcPr>
          <w:p w14:paraId="1CDC43D1">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vMerge w:val="continue"/>
            <w:noWrap w:val="0"/>
            <w:vAlign w:val="center"/>
          </w:tcPr>
          <w:p w14:paraId="0B597BD3">
            <w:pPr>
              <w:rPr>
                <w:rFonts w:ascii="宋体" w:hAnsi="宋体"/>
                <w:color w:val="000000"/>
                <w:szCs w:val="21"/>
              </w:rPr>
            </w:pPr>
          </w:p>
        </w:tc>
        <w:tc>
          <w:tcPr>
            <w:tcW w:w="1832" w:type="dxa"/>
            <w:noWrap w:val="0"/>
            <w:vAlign w:val="center"/>
          </w:tcPr>
          <w:p w14:paraId="4CFA63B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白名单访问控制</w:t>
            </w:r>
          </w:p>
        </w:tc>
        <w:tc>
          <w:tcPr>
            <w:tcW w:w="4068" w:type="dxa"/>
            <w:noWrap w:val="0"/>
            <w:vAlign w:val="center"/>
          </w:tcPr>
          <w:p w14:paraId="33A98A3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支持基于时间、IP 或 MAC 白名单访 问控制</w:t>
            </w:r>
          </w:p>
        </w:tc>
        <w:tc>
          <w:tcPr>
            <w:tcW w:w="1525" w:type="dxa"/>
            <w:noWrap w:val="0"/>
            <w:vAlign w:val="center"/>
          </w:tcPr>
          <w:p w14:paraId="18FE9EB5">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5997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1" w:type="dxa"/>
            <w:noWrap w:val="0"/>
            <w:vAlign w:val="center"/>
          </w:tcPr>
          <w:p w14:paraId="7BCA8BC9">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422AC4E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vMerge w:val="continue"/>
            <w:noWrap w:val="0"/>
            <w:vAlign w:val="center"/>
          </w:tcPr>
          <w:p w14:paraId="22F33185">
            <w:pPr>
              <w:rPr>
                <w:rFonts w:ascii="宋体" w:hAnsi="宋体"/>
                <w:color w:val="000000"/>
                <w:szCs w:val="21"/>
              </w:rPr>
            </w:pPr>
          </w:p>
        </w:tc>
        <w:tc>
          <w:tcPr>
            <w:tcW w:w="1832" w:type="dxa"/>
            <w:noWrap w:val="0"/>
            <w:vAlign w:val="center"/>
          </w:tcPr>
          <w:p w14:paraId="182505C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二次鉴别</w:t>
            </w:r>
          </w:p>
        </w:tc>
        <w:tc>
          <w:tcPr>
            <w:tcW w:w="4068" w:type="dxa"/>
            <w:noWrap w:val="0"/>
            <w:vAlign w:val="center"/>
          </w:tcPr>
          <w:p w14:paraId="78C79A8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支持二次鉴别功能。对于用户配置、 权限配置、公钥导入等重要的管理操作，已登录用户应通过二次鉴别后，才能执行操作</w:t>
            </w:r>
          </w:p>
        </w:tc>
        <w:tc>
          <w:tcPr>
            <w:tcW w:w="1525" w:type="dxa"/>
            <w:noWrap w:val="0"/>
            <w:vAlign w:val="center"/>
          </w:tcPr>
          <w:p w14:paraId="57BB5520">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838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1" w:type="dxa"/>
            <w:noWrap w:val="0"/>
            <w:vAlign w:val="center"/>
          </w:tcPr>
          <w:p w14:paraId="5B401D9A">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3CA1C2FD">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vMerge w:val="continue"/>
            <w:noWrap w:val="0"/>
            <w:vAlign w:val="center"/>
          </w:tcPr>
          <w:p w14:paraId="495DA33D">
            <w:pPr>
              <w:rPr>
                <w:rFonts w:ascii="宋体" w:hAnsi="宋体"/>
                <w:color w:val="000000"/>
                <w:szCs w:val="21"/>
              </w:rPr>
            </w:pPr>
          </w:p>
        </w:tc>
        <w:tc>
          <w:tcPr>
            <w:tcW w:w="1832" w:type="dxa"/>
            <w:noWrap w:val="0"/>
            <w:vAlign w:val="center"/>
          </w:tcPr>
          <w:p w14:paraId="7746FA0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密码证书安全加密存储</w:t>
            </w:r>
          </w:p>
        </w:tc>
        <w:tc>
          <w:tcPr>
            <w:tcW w:w="4068" w:type="dxa"/>
            <w:noWrap w:val="0"/>
            <w:vAlign w:val="center"/>
          </w:tcPr>
          <w:p w14:paraId="131AC28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支持对带外管理系统中的用户口令 和证书等敏感信息进行加密存储， 禁止使用私有的和业界已知不安全 的密码算法</w:t>
            </w:r>
          </w:p>
        </w:tc>
        <w:tc>
          <w:tcPr>
            <w:tcW w:w="1525" w:type="dxa"/>
            <w:noWrap w:val="0"/>
            <w:vAlign w:val="center"/>
          </w:tcPr>
          <w:p w14:paraId="0FB21F15">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481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3563B842">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36B2D24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vMerge w:val="continue"/>
            <w:noWrap w:val="0"/>
            <w:vAlign w:val="center"/>
          </w:tcPr>
          <w:p w14:paraId="5B8FE65D">
            <w:pPr>
              <w:rPr>
                <w:rFonts w:ascii="宋体" w:hAnsi="宋体"/>
                <w:color w:val="000000"/>
                <w:szCs w:val="21"/>
              </w:rPr>
            </w:pPr>
          </w:p>
        </w:tc>
        <w:tc>
          <w:tcPr>
            <w:tcW w:w="1832" w:type="dxa"/>
            <w:noWrap w:val="0"/>
            <w:vAlign w:val="center"/>
          </w:tcPr>
          <w:p w14:paraId="3480C1F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敏感信息安全加密传输</w:t>
            </w:r>
          </w:p>
        </w:tc>
        <w:tc>
          <w:tcPr>
            <w:tcW w:w="4068" w:type="dxa"/>
            <w:noWrap w:val="0"/>
            <w:vAlign w:val="center"/>
          </w:tcPr>
          <w:p w14:paraId="7D4C4EC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支持使用安全的传输加密协议（如 SSH 或 HTTPS 等）传输用户的敏感信息</w:t>
            </w:r>
          </w:p>
        </w:tc>
        <w:tc>
          <w:tcPr>
            <w:tcW w:w="1525" w:type="dxa"/>
            <w:noWrap w:val="0"/>
            <w:vAlign w:val="center"/>
          </w:tcPr>
          <w:p w14:paraId="606705BC">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64F5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51" w:type="dxa"/>
            <w:noWrap w:val="0"/>
            <w:vAlign w:val="center"/>
          </w:tcPr>
          <w:p w14:paraId="12F47052">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5ABA265D">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noWrap w:val="0"/>
            <w:vAlign w:val="center"/>
          </w:tcPr>
          <w:p w14:paraId="0F1476EC">
            <w:pPr>
              <w:kinsoku w:val="0"/>
              <w:adjustRightInd w:val="0"/>
              <w:snapToGrid w:val="0"/>
              <w:spacing w:before="59" w:line="238"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信息</w:t>
            </w:r>
            <w:r>
              <w:rPr>
                <w:rFonts w:ascii="宋体" w:hAnsi="宋体" w:cs="黑体"/>
                <w:snapToGrid w:val="0"/>
                <w:color w:val="000000"/>
                <w:spacing w:val="-3"/>
                <w:szCs w:val="21"/>
              </w:rPr>
              <w:t>安全要求</w:t>
            </w:r>
          </w:p>
        </w:tc>
        <w:tc>
          <w:tcPr>
            <w:tcW w:w="1832" w:type="dxa"/>
            <w:noWrap w:val="0"/>
            <w:vAlign w:val="center"/>
          </w:tcPr>
          <w:p w14:paraId="2DB2F07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研发过程安全</w:t>
            </w:r>
          </w:p>
        </w:tc>
        <w:tc>
          <w:tcPr>
            <w:tcW w:w="4068" w:type="dxa"/>
            <w:noWrap w:val="0"/>
            <w:vAlign w:val="center"/>
          </w:tcPr>
          <w:p w14:paraId="0EB3D3E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供应商承诺，生产商已建立从需求、 设计、开发、测试、维护端到端的开发流程管理机制，输出和保存开发流程中每个阶段的产品需求清单、设计文档、开发文档、测试记录等材料，保证各个流程可追溯</w:t>
            </w:r>
          </w:p>
        </w:tc>
        <w:tc>
          <w:tcPr>
            <w:tcW w:w="1525" w:type="dxa"/>
            <w:noWrap w:val="0"/>
            <w:vAlign w:val="center"/>
          </w:tcPr>
          <w:p w14:paraId="21D2A22E">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1BC5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2D5911A7">
            <w:pPr>
              <w:pStyle w:val="5"/>
              <w:numPr>
                <w:ilvl w:val="0"/>
                <w:numId w:val="5"/>
              </w:numPr>
              <w:kinsoku w:val="0"/>
              <w:adjustRightInd w:val="0"/>
              <w:snapToGrid w:val="0"/>
              <w:spacing w:before="181" w:line="184" w:lineRule="auto"/>
              <w:ind w:firstLineChars="0"/>
              <w:textAlignment w:val="baseline"/>
              <w:rPr>
                <w:rFonts w:ascii="宋体" w:hAnsi="宋体" w:cs="黑体"/>
                <w:snapToGrid w:val="0"/>
                <w:color w:val="000000"/>
                <w:szCs w:val="21"/>
              </w:rPr>
            </w:pPr>
          </w:p>
        </w:tc>
        <w:tc>
          <w:tcPr>
            <w:tcW w:w="1012" w:type="dxa"/>
            <w:noWrap w:val="0"/>
            <w:vAlign w:val="center"/>
          </w:tcPr>
          <w:p w14:paraId="31557DC7">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noWrap w:val="0"/>
            <w:vAlign w:val="center"/>
          </w:tcPr>
          <w:p w14:paraId="40A9FE8F">
            <w:pPr>
              <w:kinsoku w:val="0"/>
              <w:adjustRightInd w:val="0"/>
              <w:snapToGrid w:val="0"/>
              <w:spacing w:before="40" w:line="223"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物理</w:t>
            </w:r>
            <w:r>
              <w:rPr>
                <w:rFonts w:ascii="宋体" w:hAnsi="宋体" w:cs="黑体"/>
                <w:snapToGrid w:val="0"/>
                <w:color w:val="000000"/>
                <w:spacing w:val="-8"/>
                <w:szCs w:val="21"/>
              </w:rPr>
              <w:t>安全</w:t>
            </w:r>
          </w:p>
        </w:tc>
        <w:tc>
          <w:tcPr>
            <w:tcW w:w="1832" w:type="dxa"/>
            <w:noWrap w:val="0"/>
            <w:vAlign w:val="center"/>
          </w:tcPr>
          <w:p w14:paraId="7A32B8A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物理安全</w:t>
            </w:r>
          </w:p>
        </w:tc>
        <w:tc>
          <w:tcPr>
            <w:tcW w:w="4068" w:type="dxa"/>
            <w:noWrap w:val="0"/>
            <w:vAlign w:val="center"/>
          </w:tcPr>
          <w:p w14:paraId="0B3FE38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安全要求应符合 GB 4943.1 的规定</w:t>
            </w:r>
          </w:p>
        </w:tc>
        <w:tc>
          <w:tcPr>
            <w:tcW w:w="1525" w:type="dxa"/>
            <w:noWrap w:val="0"/>
            <w:vAlign w:val="center"/>
          </w:tcPr>
          <w:p w14:paraId="02A2E0C0">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1B12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1" w:type="dxa"/>
            <w:noWrap w:val="0"/>
            <w:vAlign w:val="center"/>
          </w:tcPr>
          <w:p w14:paraId="00905928">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5A3CC48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安全要求</w:t>
            </w:r>
          </w:p>
        </w:tc>
        <w:tc>
          <w:tcPr>
            <w:tcW w:w="1049" w:type="dxa"/>
            <w:noWrap w:val="0"/>
            <w:vAlign w:val="center"/>
          </w:tcPr>
          <w:p w14:paraId="28861A7F">
            <w:pPr>
              <w:kinsoku w:val="0"/>
              <w:adjustRightInd w:val="0"/>
              <w:snapToGrid w:val="0"/>
              <w:spacing w:before="29" w:line="224" w:lineRule="auto"/>
              <w:textAlignment w:val="baseline"/>
              <w:rPr>
                <w:rFonts w:ascii="宋体" w:hAnsi="宋体" w:cs="黑体"/>
                <w:snapToGrid w:val="0"/>
                <w:color w:val="000000"/>
                <w:szCs w:val="21"/>
              </w:rPr>
            </w:pPr>
            <w:r>
              <w:rPr>
                <w:rFonts w:ascii="宋体" w:hAnsi="宋体" w:cs="黑体"/>
                <w:snapToGrid w:val="0"/>
                <w:color w:val="000000"/>
                <w:spacing w:val="-1"/>
                <w:szCs w:val="21"/>
              </w:rPr>
              <w:t>限用</w:t>
            </w:r>
            <w:r>
              <w:rPr>
                <w:rFonts w:ascii="宋体" w:hAnsi="宋体" w:cs="黑体"/>
                <w:snapToGrid w:val="0"/>
                <w:color w:val="000000"/>
                <w:spacing w:val="-4"/>
                <w:szCs w:val="21"/>
              </w:rPr>
              <w:t>物质</w:t>
            </w:r>
            <w:r>
              <w:rPr>
                <w:rFonts w:ascii="宋体" w:hAnsi="宋体" w:cs="黑体"/>
                <w:snapToGrid w:val="0"/>
                <w:color w:val="000000"/>
                <w:spacing w:val="-9"/>
                <w:szCs w:val="21"/>
              </w:rPr>
              <w:t>的限</w:t>
            </w:r>
            <w:r>
              <w:rPr>
                <w:rFonts w:ascii="宋体" w:hAnsi="宋体" w:cs="黑体"/>
                <w:snapToGrid w:val="0"/>
                <w:color w:val="000000"/>
                <w:spacing w:val="-5"/>
                <w:szCs w:val="21"/>
              </w:rPr>
              <w:t>量要</w:t>
            </w:r>
            <w:r>
              <w:rPr>
                <w:rFonts w:ascii="宋体" w:hAnsi="宋体" w:cs="黑体"/>
                <w:snapToGrid w:val="0"/>
                <w:color w:val="000000"/>
                <w:szCs w:val="21"/>
              </w:rPr>
              <w:t>求</w:t>
            </w:r>
          </w:p>
        </w:tc>
        <w:tc>
          <w:tcPr>
            <w:tcW w:w="1832" w:type="dxa"/>
            <w:noWrap w:val="0"/>
            <w:vAlign w:val="center"/>
          </w:tcPr>
          <w:p w14:paraId="0BB85777">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限用物质的限量要求</w:t>
            </w:r>
          </w:p>
        </w:tc>
        <w:tc>
          <w:tcPr>
            <w:tcW w:w="4068" w:type="dxa"/>
            <w:noWrap w:val="0"/>
            <w:vAlign w:val="center"/>
          </w:tcPr>
          <w:p w14:paraId="0DED4694">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限用物质的限量应符合 GB/T 26572</w:t>
            </w:r>
            <w:r>
              <w:rPr>
                <w:rFonts w:hint="eastAsia" w:ascii="宋体" w:hAnsi="宋体" w:cs="黑体"/>
                <w:snapToGrid w:val="0"/>
                <w:color w:val="000000"/>
                <w:spacing w:val="-2"/>
                <w:szCs w:val="21"/>
              </w:rPr>
              <w:t>的要求</w:t>
            </w:r>
          </w:p>
        </w:tc>
        <w:tc>
          <w:tcPr>
            <w:tcW w:w="1525" w:type="dxa"/>
            <w:noWrap w:val="0"/>
            <w:vAlign w:val="center"/>
          </w:tcPr>
          <w:p w14:paraId="29E42A64">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793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1" w:type="dxa"/>
            <w:noWrap w:val="0"/>
            <w:vAlign w:val="center"/>
          </w:tcPr>
          <w:p w14:paraId="2460B31C">
            <w:pPr>
              <w:pStyle w:val="5"/>
              <w:numPr>
                <w:ilvl w:val="0"/>
                <w:numId w:val="5"/>
              </w:numPr>
              <w:kinsoku w:val="0"/>
              <w:adjustRightInd w:val="0"/>
              <w:snapToGrid w:val="0"/>
              <w:spacing w:before="173" w:line="185" w:lineRule="auto"/>
              <w:ind w:firstLineChars="0"/>
              <w:textAlignment w:val="baseline"/>
              <w:rPr>
                <w:rFonts w:ascii="宋体" w:hAnsi="宋体" w:cs="黑体"/>
                <w:snapToGrid w:val="0"/>
                <w:color w:val="000000"/>
                <w:szCs w:val="21"/>
              </w:rPr>
            </w:pPr>
          </w:p>
        </w:tc>
        <w:tc>
          <w:tcPr>
            <w:tcW w:w="1012" w:type="dxa"/>
            <w:noWrap w:val="0"/>
            <w:vAlign w:val="center"/>
          </w:tcPr>
          <w:p w14:paraId="3E6D1CB9">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vMerge w:val="restart"/>
            <w:noWrap w:val="0"/>
            <w:vAlign w:val="center"/>
          </w:tcPr>
          <w:p w14:paraId="106BA4F8">
            <w:pPr>
              <w:kinsoku w:val="0"/>
              <w:adjustRightInd w:val="0"/>
              <w:snapToGrid w:val="0"/>
              <w:spacing w:before="58" w:line="238" w:lineRule="auto"/>
              <w:ind w:right="185"/>
              <w:textAlignment w:val="baseline"/>
              <w:rPr>
                <w:rFonts w:ascii="宋体" w:hAnsi="宋体" w:cs="黑体"/>
                <w:snapToGrid w:val="0"/>
                <w:color w:val="000000"/>
                <w:szCs w:val="21"/>
              </w:rPr>
            </w:pPr>
            <w:r>
              <w:rPr>
                <w:rFonts w:ascii="宋体" w:hAnsi="宋体" w:cs="黑体"/>
                <w:snapToGrid w:val="0"/>
                <w:color w:val="000000"/>
                <w:spacing w:val="-1"/>
                <w:szCs w:val="21"/>
              </w:rPr>
              <w:t>CPU</w:t>
            </w:r>
            <w:r>
              <w:rPr>
                <w:rFonts w:hint="eastAsia" w:ascii="宋体" w:hAnsi="宋体" w:cs="黑体"/>
                <w:snapToGrid w:val="0"/>
                <w:color w:val="000000"/>
                <w:spacing w:val="-4"/>
                <w:szCs w:val="21"/>
              </w:rPr>
              <w:t>性能</w:t>
            </w:r>
          </w:p>
        </w:tc>
        <w:tc>
          <w:tcPr>
            <w:tcW w:w="1832" w:type="dxa"/>
            <w:noWrap w:val="0"/>
            <w:vAlign w:val="center"/>
          </w:tcPr>
          <w:p w14:paraId="46E37E83">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CPU 主频</w:t>
            </w:r>
          </w:p>
        </w:tc>
        <w:tc>
          <w:tcPr>
            <w:tcW w:w="4068" w:type="dxa"/>
            <w:noWrap w:val="0"/>
            <w:vAlign w:val="center"/>
          </w:tcPr>
          <w:p w14:paraId="069156E4">
            <w:pPr>
              <w:kinsoku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≥2.4GHz</w:t>
            </w:r>
          </w:p>
          <w:p w14:paraId="6B2B769D">
            <w:pPr>
              <w:kinsoku w:val="0"/>
              <w:snapToGrid w:val="0"/>
              <w:spacing w:before="159" w:line="238" w:lineRule="auto"/>
              <w:ind w:right="126"/>
              <w:textAlignment w:val="baseline"/>
            </w:pPr>
            <w:r>
              <w:rPr>
                <w:rFonts w:ascii="宋体" w:hAnsi="宋体" w:cs="黑体"/>
                <w:snapToGrid w:val="0"/>
                <w:color w:val="000000"/>
                <w:spacing w:val="-2"/>
                <w:szCs w:val="21"/>
              </w:rPr>
              <w:t>实配：2颗CPU，单CPU功耗≤150W</w:t>
            </w:r>
          </w:p>
        </w:tc>
        <w:tc>
          <w:tcPr>
            <w:tcW w:w="1525" w:type="dxa"/>
            <w:noWrap w:val="0"/>
            <w:vAlign w:val="center"/>
          </w:tcPr>
          <w:p w14:paraId="78DE33A7">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C91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51" w:type="dxa"/>
            <w:noWrap w:val="0"/>
            <w:vAlign w:val="center"/>
          </w:tcPr>
          <w:p w14:paraId="3C3FB787">
            <w:pPr>
              <w:pStyle w:val="5"/>
              <w:numPr>
                <w:ilvl w:val="0"/>
                <w:numId w:val="5"/>
              </w:numPr>
              <w:kinsoku w:val="0"/>
              <w:adjustRightInd w:val="0"/>
              <w:snapToGrid w:val="0"/>
              <w:spacing w:before="291" w:line="185" w:lineRule="auto"/>
              <w:ind w:firstLineChars="0"/>
              <w:textAlignment w:val="baseline"/>
              <w:rPr>
                <w:rFonts w:ascii="宋体" w:hAnsi="宋体" w:cs="黑体"/>
                <w:snapToGrid w:val="0"/>
                <w:color w:val="000000"/>
                <w:szCs w:val="21"/>
              </w:rPr>
            </w:pPr>
          </w:p>
        </w:tc>
        <w:tc>
          <w:tcPr>
            <w:tcW w:w="1012" w:type="dxa"/>
            <w:noWrap w:val="0"/>
            <w:vAlign w:val="center"/>
          </w:tcPr>
          <w:p w14:paraId="7755326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vMerge w:val="continue"/>
            <w:noWrap w:val="0"/>
            <w:vAlign w:val="center"/>
          </w:tcPr>
          <w:p w14:paraId="6B4C7103">
            <w:pPr>
              <w:rPr>
                <w:rFonts w:ascii="宋体" w:hAnsi="宋体"/>
                <w:color w:val="000000"/>
                <w:szCs w:val="21"/>
              </w:rPr>
            </w:pPr>
          </w:p>
        </w:tc>
        <w:tc>
          <w:tcPr>
            <w:tcW w:w="1832" w:type="dxa"/>
            <w:noWrap w:val="0"/>
            <w:vAlign w:val="center"/>
          </w:tcPr>
          <w:p w14:paraId="74B25156">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单 CPU 核数</w:t>
            </w:r>
          </w:p>
        </w:tc>
        <w:tc>
          <w:tcPr>
            <w:tcW w:w="4068" w:type="dxa"/>
            <w:noWrap w:val="0"/>
            <w:vAlign w:val="center"/>
          </w:tcPr>
          <w:p w14:paraId="6D2ED16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≥16C</w:t>
            </w:r>
          </w:p>
        </w:tc>
        <w:tc>
          <w:tcPr>
            <w:tcW w:w="1525" w:type="dxa"/>
            <w:noWrap w:val="0"/>
            <w:vAlign w:val="center"/>
          </w:tcPr>
          <w:p w14:paraId="5D35AFB1">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7D4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1" w:type="dxa"/>
            <w:noWrap w:val="0"/>
            <w:vAlign w:val="center"/>
          </w:tcPr>
          <w:p w14:paraId="4CE1CCAC">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652C6DA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vMerge w:val="continue"/>
            <w:noWrap w:val="0"/>
            <w:vAlign w:val="center"/>
          </w:tcPr>
          <w:p w14:paraId="2AC6A9DD">
            <w:pPr>
              <w:rPr>
                <w:rFonts w:ascii="宋体" w:hAnsi="宋体"/>
                <w:color w:val="000000"/>
                <w:szCs w:val="21"/>
              </w:rPr>
            </w:pPr>
          </w:p>
        </w:tc>
        <w:tc>
          <w:tcPr>
            <w:tcW w:w="1832" w:type="dxa"/>
            <w:noWrap w:val="0"/>
            <w:vAlign w:val="center"/>
          </w:tcPr>
          <w:p w14:paraId="4F71C23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单CPU 末级缓存容量</w:t>
            </w:r>
          </w:p>
        </w:tc>
        <w:tc>
          <w:tcPr>
            <w:tcW w:w="4068" w:type="dxa"/>
            <w:noWrap w:val="0"/>
            <w:vAlign w:val="center"/>
          </w:tcPr>
          <w:p w14:paraId="1F50BDE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≥24MB</w:t>
            </w:r>
          </w:p>
        </w:tc>
        <w:tc>
          <w:tcPr>
            <w:tcW w:w="1525" w:type="dxa"/>
            <w:noWrap w:val="0"/>
            <w:vAlign w:val="center"/>
          </w:tcPr>
          <w:p w14:paraId="15513DFB">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081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1" w:type="dxa"/>
            <w:noWrap w:val="0"/>
            <w:vAlign w:val="center"/>
          </w:tcPr>
          <w:p w14:paraId="15064DBC">
            <w:pPr>
              <w:pStyle w:val="5"/>
              <w:numPr>
                <w:ilvl w:val="0"/>
                <w:numId w:val="5"/>
              </w:numPr>
              <w:kinsoku w:val="0"/>
              <w:adjustRightInd w:val="0"/>
              <w:snapToGrid w:val="0"/>
              <w:spacing w:before="175" w:line="184" w:lineRule="auto"/>
              <w:ind w:firstLineChars="0"/>
              <w:textAlignment w:val="baseline"/>
              <w:rPr>
                <w:rFonts w:ascii="宋体" w:hAnsi="宋体" w:cs="黑体"/>
                <w:snapToGrid w:val="0"/>
                <w:color w:val="000000"/>
                <w:szCs w:val="21"/>
              </w:rPr>
            </w:pPr>
          </w:p>
        </w:tc>
        <w:tc>
          <w:tcPr>
            <w:tcW w:w="1012" w:type="dxa"/>
            <w:noWrap w:val="0"/>
            <w:vAlign w:val="center"/>
          </w:tcPr>
          <w:p w14:paraId="4D5ACD1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vMerge w:val="restart"/>
            <w:noWrap w:val="0"/>
            <w:vAlign w:val="center"/>
          </w:tcPr>
          <w:p w14:paraId="6DE9650F">
            <w:pPr>
              <w:kinsoku w:val="0"/>
              <w:adjustRightInd w:val="0"/>
              <w:snapToGrid w:val="0"/>
              <w:spacing w:before="269" w:line="231"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内存</w:t>
            </w:r>
            <w:r>
              <w:rPr>
                <w:rFonts w:ascii="宋体" w:hAnsi="宋体" w:cs="黑体"/>
                <w:snapToGrid w:val="0"/>
                <w:color w:val="000000"/>
                <w:spacing w:val="-4"/>
                <w:szCs w:val="21"/>
              </w:rPr>
              <w:t>性能</w:t>
            </w:r>
          </w:p>
        </w:tc>
        <w:tc>
          <w:tcPr>
            <w:tcW w:w="1832" w:type="dxa"/>
            <w:noWrap w:val="0"/>
            <w:vAlign w:val="center"/>
          </w:tcPr>
          <w:p w14:paraId="1BAFDE9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单内存模块容量</w:t>
            </w:r>
          </w:p>
        </w:tc>
        <w:tc>
          <w:tcPr>
            <w:tcW w:w="4068" w:type="dxa"/>
            <w:noWrap w:val="0"/>
            <w:vAlign w:val="center"/>
          </w:tcPr>
          <w:p w14:paraId="2CDE846D">
            <w:pPr>
              <w:kinsoku w:val="0"/>
              <w:adjustRightInd w:val="0"/>
              <w:snapToGrid w:val="0"/>
              <w:spacing w:before="159" w:line="238" w:lineRule="auto"/>
              <w:ind w:right="126"/>
              <w:jc w:val="left"/>
              <w:textAlignment w:val="baseline"/>
              <w:rPr>
                <w:rFonts w:hint="eastAsia" w:ascii="宋体" w:hAnsi="宋体" w:cs="黑体"/>
                <w:snapToGrid w:val="0"/>
                <w:color w:val="000000"/>
                <w:spacing w:val="-2"/>
                <w:szCs w:val="21"/>
              </w:rPr>
            </w:pPr>
            <w:r>
              <w:rPr>
                <w:rFonts w:hint="eastAsia" w:ascii="宋体" w:hAnsi="宋体" w:cs="黑体"/>
                <w:snapToGrid w:val="0"/>
                <w:color w:val="000000"/>
                <w:spacing w:val="-2"/>
                <w:szCs w:val="21"/>
              </w:rPr>
              <w:t>≥32GB</w:t>
            </w:r>
          </w:p>
          <w:p w14:paraId="37E43271">
            <w:pPr>
              <w:pStyle w:val="2"/>
              <w:spacing w:before="0" w:line="240" w:lineRule="auto"/>
              <w:jc w:val="both"/>
            </w:pPr>
            <w:r>
              <w:rPr>
                <w:rFonts w:hint="eastAsia" w:ascii="宋体" w:hAnsi="宋体" w:eastAsia="宋体" w:cs="黑体"/>
                <w:b w:val="0"/>
                <w:snapToGrid w:val="0"/>
                <w:color w:val="000000"/>
                <w:spacing w:val="-2"/>
                <w:kern w:val="2"/>
                <w:sz w:val="21"/>
                <w:szCs w:val="21"/>
              </w:rPr>
              <w:t>实配</w:t>
            </w:r>
            <w:r>
              <w:rPr>
                <w:rFonts w:hint="eastAsia" w:ascii="宋体" w:hAnsi="宋体" w:cs="黑体"/>
                <w:b w:val="0"/>
                <w:snapToGrid w:val="0"/>
                <w:color w:val="000000"/>
                <w:spacing w:val="-2"/>
                <w:kern w:val="2"/>
                <w:sz w:val="21"/>
                <w:szCs w:val="21"/>
              </w:rPr>
              <w:t>：8条32GB DDR4 内存</w:t>
            </w:r>
          </w:p>
        </w:tc>
        <w:tc>
          <w:tcPr>
            <w:tcW w:w="1525" w:type="dxa"/>
            <w:noWrap w:val="0"/>
            <w:vAlign w:val="center"/>
          </w:tcPr>
          <w:p w14:paraId="4F84B565">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377D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1" w:type="dxa"/>
            <w:noWrap w:val="0"/>
            <w:vAlign w:val="center"/>
          </w:tcPr>
          <w:p w14:paraId="0F158890">
            <w:pPr>
              <w:pStyle w:val="5"/>
              <w:numPr>
                <w:ilvl w:val="0"/>
                <w:numId w:val="5"/>
              </w:numPr>
              <w:kinsoku w:val="0"/>
              <w:adjustRightInd w:val="0"/>
              <w:snapToGrid w:val="0"/>
              <w:spacing w:before="176" w:line="184" w:lineRule="auto"/>
              <w:ind w:firstLineChars="0"/>
              <w:textAlignment w:val="baseline"/>
              <w:rPr>
                <w:rFonts w:ascii="宋体" w:hAnsi="宋体" w:cs="黑体"/>
                <w:snapToGrid w:val="0"/>
                <w:color w:val="000000"/>
                <w:szCs w:val="21"/>
              </w:rPr>
            </w:pPr>
          </w:p>
        </w:tc>
        <w:tc>
          <w:tcPr>
            <w:tcW w:w="1012" w:type="dxa"/>
            <w:noWrap w:val="0"/>
            <w:vAlign w:val="center"/>
          </w:tcPr>
          <w:p w14:paraId="5482B3EB">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vMerge w:val="continue"/>
            <w:noWrap w:val="0"/>
            <w:vAlign w:val="center"/>
          </w:tcPr>
          <w:p w14:paraId="5BAE2B4F">
            <w:pPr>
              <w:rPr>
                <w:rFonts w:ascii="宋体" w:hAnsi="宋体"/>
                <w:color w:val="000000"/>
                <w:szCs w:val="21"/>
              </w:rPr>
            </w:pPr>
          </w:p>
        </w:tc>
        <w:tc>
          <w:tcPr>
            <w:tcW w:w="1832" w:type="dxa"/>
            <w:noWrap w:val="0"/>
            <w:vAlign w:val="center"/>
          </w:tcPr>
          <w:p w14:paraId="16C4ABC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内存速率</w:t>
            </w:r>
          </w:p>
        </w:tc>
        <w:tc>
          <w:tcPr>
            <w:tcW w:w="4068" w:type="dxa"/>
            <w:noWrap w:val="0"/>
            <w:vAlign w:val="center"/>
          </w:tcPr>
          <w:p w14:paraId="08764F9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≥3200MT/s</w:t>
            </w:r>
          </w:p>
        </w:tc>
        <w:tc>
          <w:tcPr>
            <w:tcW w:w="1525" w:type="dxa"/>
            <w:noWrap w:val="0"/>
            <w:vAlign w:val="center"/>
          </w:tcPr>
          <w:p w14:paraId="7F08E85F">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74E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1" w:type="dxa"/>
            <w:noWrap w:val="0"/>
            <w:vAlign w:val="center"/>
          </w:tcPr>
          <w:p w14:paraId="538B9673">
            <w:pPr>
              <w:pStyle w:val="5"/>
              <w:numPr>
                <w:ilvl w:val="0"/>
                <w:numId w:val="5"/>
              </w:numPr>
              <w:kinsoku w:val="0"/>
              <w:adjustRightInd w:val="0"/>
              <w:snapToGrid w:val="0"/>
              <w:spacing w:before="175" w:line="185" w:lineRule="auto"/>
              <w:ind w:firstLineChars="0"/>
              <w:textAlignment w:val="baseline"/>
              <w:rPr>
                <w:rFonts w:ascii="宋体" w:hAnsi="宋体" w:cs="黑体"/>
                <w:snapToGrid w:val="0"/>
                <w:color w:val="000000"/>
                <w:szCs w:val="21"/>
              </w:rPr>
            </w:pPr>
          </w:p>
        </w:tc>
        <w:tc>
          <w:tcPr>
            <w:tcW w:w="1012" w:type="dxa"/>
            <w:noWrap w:val="0"/>
            <w:vAlign w:val="center"/>
          </w:tcPr>
          <w:p w14:paraId="3C97239C">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性能要求</w:t>
            </w:r>
          </w:p>
        </w:tc>
        <w:tc>
          <w:tcPr>
            <w:tcW w:w="1049" w:type="dxa"/>
            <w:noWrap w:val="0"/>
            <w:vAlign w:val="center"/>
          </w:tcPr>
          <w:p w14:paraId="4B8AF972">
            <w:pPr>
              <w:kinsoku w:val="0"/>
              <w:adjustRightInd w:val="0"/>
              <w:snapToGrid w:val="0"/>
              <w:spacing w:before="32" w:line="220"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电源</w:t>
            </w:r>
            <w:r>
              <w:rPr>
                <w:rFonts w:ascii="宋体" w:hAnsi="宋体" w:cs="黑体"/>
                <w:snapToGrid w:val="0"/>
                <w:color w:val="000000"/>
                <w:spacing w:val="-7"/>
                <w:szCs w:val="21"/>
              </w:rPr>
              <w:t>能耗</w:t>
            </w:r>
          </w:p>
        </w:tc>
        <w:tc>
          <w:tcPr>
            <w:tcW w:w="1832" w:type="dxa"/>
            <w:noWrap w:val="0"/>
            <w:vAlign w:val="center"/>
          </w:tcPr>
          <w:p w14:paraId="66333D6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电源能耗</w:t>
            </w:r>
          </w:p>
        </w:tc>
        <w:tc>
          <w:tcPr>
            <w:tcW w:w="4068" w:type="dxa"/>
            <w:noWrap w:val="0"/>
            <w:vAlign w:val="center"/>
          </w:tcPr>
          <w:p w14:paraId="22CA987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符合 GB/T 9813.3 的有关规定</w:t>
            </w:r>
          </w:p>
        </w:tc>
        <w:tc>
          <w:tcPr>
            <w:tcW w:w="1525" w:type="dxa"/>
            <w:noWrap w:val="0"/>
            <w:vAlign w:val="center"/>
          </w:tcPr>
          <w:p w14:paraId="6706391B">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6F9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1" w:type="dxa"/>
            <w:noWrap w:val="0"/>
            <w:vAlign w:val="center"/>
          </w:tcPr>
          <w:p w14:paraId="5DEBD225">
            <w:pPr>
              <w:pStyle w:val="5"/>
              <w:numPr>
                <w:ilvl w:val="0"/>
                <w:numId w:val="5"/>
              </w:numPr>
              <w:kinsoku w:val="0"/>
              <w:adjustRightInd w:val="0"/>
              <w:snapToGrid w:val="0"/>
              <w:spacing w:before="174" w:line="185" w:lineRule="auto"/>
              <w:ind w:firstLineChars="0"/>
              <w:textAlignment w:val="baseline"/>
              <w:rPr>
                <w:rFonts w:ascii="宋体" w:hAnsi="宋体" w:cs="黑体"/>
                <w:snapToGrid w:val="0"/>
                <w:color w:val="000000"/>
                <w:szCs w:val="21"/>
              </w:rPr>
            </w:pPr>
          </w:p>
        </w:tc>
        <w:tc>
          <w:tcPr>
            <w:tcW w:w="1012" w:type="dxa"/>
            <w:noWrap w:val="0"/>
            <w:vAlign w:val="center"/>
          </w:tcPr>
          <w:p w14:paraId="169C44C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restart"/>
            <w:noWrap w:val="0"/>
            <w:vAlign w:val="center"/>
          </w:tcPr>
          <w:p w14:paraId="776EEC4E">
            <w:pPr>
              <w:kinsoku w:val="0"/>
              <w:adjustRightInd w:val="0"/>
              <w:snapToGrid w:val="0"/>
              <w:spacing w:before="59" w:line="223" w:lineRule="auto"/>
              <w:textAlignment w:val="baseline"/>
              <w:rPr>
                <w:rFonts w:ascii="宋体" w:hAnsi="宋体" w:cs="黑体"/>
                <w:snapToGrid w:val="0"/>
                <w:color w:val="000000"/>
                <w:szCs w:val="21"/>
              </w:rPr>
            </w:pPr>
            <w:r>
              <w:rPr>
                <w:rFonts w:ascii="宋体" w:hAnsi="宋体" w:cs="黑体"/>
                <w:snapToGrid w:val="0"/>
                <w:color w:val="000000"/>
                <w:spacing w:val="-1"/>
                <w:szCs w:val="21"/>
              </w:rPr>
              <w:t>部件</w:t>
            </w:r>
            <w:r>
              <w:rPr>
                <w:rFonts w:ascii="宋体" w:hAnsi="宋体" w:cs="黑体"/>
                <w:snapToGrid w:val="0"/>
                <w:color w:val="000000"/>
                <w:spacing w:val="-5"/>
                <w:szCs w:val="21"/>
              </w:rPr>
              <w:t>兼容</w:t>
            </w:r>
            <w:r>
              <w:rPr>
                <w:rFonts w:ascii="宋体" w:hAnsi="宋体" w:cs="黑体"/>
                <w:snapToGrid w:val="0"/>
                <w:color w:val="000000"/>
                <w:spacing w:val="-4"/>
                <w:szCs w:val="21"/>
              </w:rPr>
              <w:t>性要</w:t>
            </w:r>
            <w:r>
              <w:rPr>
                <w:rFonts w:ascii="宋体" w:hAnsi="宋体" w:cs="黑体"/>
                <w:snapToGrid w:val="0"/>
                <w:color w:val="000000"/>
                <w:szCs w:val="21"/>
              </w:rPr>
              <w:t>求</w:t>
            </w:r>
          </w:p>
        </w:tc>
        <w:tc>
          <w:tcPr>
            <w:tcW w:w="1832" w:type="dxa"/>
            <w:noWrap w:val="0"/>
            <w:vAlign w:val="center"/>
          </w:tcPr>
          <w:p w14:paraId="30B23B7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内存兼容性</w:t>
            </w:r>
          </w:p>
        </w:tc>
        <w:tc>
          <w:tcPr>
            <w:tcW w:w="4068" w:type="dxa"/>
            <w:noWrap w:val="0"/>
            <w:vAlign w:val="center"/>
          </w:tcPr>
          <w:p w14:paraId="21C8E81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适配 3 种及以上厂商的内存产品，且均不低于产品支持的内存规格</w:t>
            </w:r>
          </w:p>
        </w:tc>
        <w:tc>
          <w:tcPr>
            <w:tcW w:w="1525" w:type="dxa"/>
            <w:noWrap w:val="0"/>
            <w:vAlign w:val="center"/>
          </w:tcPr>
          <w:p w14:paraId="24BD648B">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304F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1" w:type="dxa"/>
            <w:noWrap w:val="0"/>
            <w:vAlign w:val="center"/>
          </w:tcPr>
          <w:p w14:paraId="0F69844C">
            <w:pPr>
              <w:pStyle w:val="5"/>
              <w:numPr>
                <w:ilvl w:val="0"/>
                <w:numId w:val="5"/>
              </w:numPr>
              <w:kinsoku w:val="0"/>
              <w:adjustRightInd w:val="0"/>
              <w:snapToGrid w:val="0"/>
              <w:spacing w:before="294" w:line="184" w:lineRule="auto"/>
              <w:ind w:firstLineChars="0"/>
              <w:textAlignment w:val="baseline"/>
              <w:rPr>
                <w:rFonts w:ascii="宋体" w:hAnsi="宋体" w:cs="黑体"/>
                <w:snapToGrid w:val="0"/>
                <w:color w:val="000000"/>
                <w:szCs w:val="21"/>
              </w:rPr>
            </w:pPr>
          </w:p>
        </w:tc>
        <w:tc>
          <w:tcPr>
            <w:tcW w:w="1012" w:type="dxa"/>
            <w:noWrap w:val="0"/>
            <w:vAlign w:val="center"/>
          </w:tcPr>
          <w:p w14:paraId="316497B5">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continue"/>
            <w:noWrap w:val="0"/>
            <w:vAlign w:val="center"/>
          </w:tcPr>
          <w:p w14:paraId="79401555">
            <w:pPr>
              <w:rPr>
                <w:rFonts w:ascii="宋体" w:hAnsi="宋体"/>
                <w:color w:val="000000"/>
                <w:szCs w:val="21"/>
              </w:rPr>
            </w:pPr>
          </w:p>
        </w:tc>
        <w:tc>
          <w:tcPr>
            <w:tcW w:w="1832" w:type="dxa"/>
            <w:noWrap w:val="0"/>
            <w:vAlign w:val="center"/>
          </w:tcPr>
          <w:p w14:paraId="218BE49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固态存储兼容性</w:t>
            </w:r>
          </w:p>
        </w:tc>
        <w:tc>
          <w:tcPr>
            <w:tcW w:w="4068" w:type="dxa"/>
            <w:noWrap w:val="0"/>
            <w:vAlign w:val="center"/>
          </w:tcPr>
          <w:p w14:paraId="10253A8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适配 3 种或以上厂商的固态存储产品，且均不低于产品支持的固态存储设备规格</w:t>
            </w:r>
          </w:p>
        </w:tc>
        <w:tc>
          <w:tcPr>
            <w:tcW w:w="1525" w:type="dxa"/>
            <w:noWrap w:val="0"/>
            <w:vAlign w:val="center"/>
          </w:tcPr>
          <w:p w14:paraId="280B355A">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1E76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51" w:type="dxa"/>
            <w:noWrap w:val="0"/>
            <w:vAlign w:val="center"/>
          </w:tcPr>
          <w:p w14:paraId="62AEE943">
            <w:pPr>
              <w:pStyle w:val="5"/>
              <w:numPr>
                <w:ilvl w:val="0"/>
                <w:numId w:val="5"/>
              </w:numPr>
              <w:kinsoku w:val="0"/>
              <w:adjustRightInd w:val="0"/>
              <w:snapToGrid w:val="0"/>
              <w:spacing w:before="63" w:line="178" w:lineRule="auto"/>
              <w:ind w:firstLineChars="0"/>
              <w:textAlignment w:val="baseline"/>
              <w:rPr>
                <w:rFonts w:ascii="宋体" w:hAnsi="宋体" w:cs="黑体"/>
                <w:snapToGrid w:val="0"/>
                <w:color w:val="000000"/>
                <w:szCs w:val="21"/>
              </w:rPr>
            </w:pPr>
          </w:p>
        </w:tc>
        <w:tc>
          <w:tcPr>
            <w:tcW w:w="1012" w:type="dxa"/>
            <w:noWrap w:val="0"/>
            <w:vAlign w:val="center"/>
          </w:tcPr>
          <w:p w14:paraId="1BEEA441">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continue"/>
            <w:noWrap w:val="0"/>
            <w:vAlign w:val="center"/>
          </w:tcPr>
          <w:p w14:paraId="510807B3">
            <w:pPr>
              <w:rPr>
                <w:rFonts w:ascii="宋体" w:hAnsi="宋体"/>
                <w:color w:val="000000"/>
                <w:szCs w:val="21"/>
              </w:rPr>
            </w:pPr>
          </w:p>
        </w:tc>
        <w:tc>
          <w:tcPr>
            <w:tcW w:w="1832" w:type="dxa"/>
            <w:noWrap w:val="0"/>
            <w:vAlign w:val="center"/>
          </w:tcPr>
          <w:p w14:paraId="73FD73F4">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网卡兼容性</w:t>
            </w:r>
          </w:p>
        </w:tc>
        <w:tc>
          <w:tcPr>
            <w:tcW w:w="4068" w:type="dxa"/>
            <w:noWrap w:val="0"/>
            <w:vAlign w:val="center"/>
          </w:tcPr>
          <w:p w14:paraId="253F041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网卡应适配两种或以上厂商产品</w:t>
            </w:r>
          </w:p>
        </w:tc>
        <w:tc>
          <w:tcPr>
            <w:tcW w:w="1525" w:type="dxa"/>
            <w:noWrap w:val="0"/>
            <w:vAlign w:val="center"/>
          </w:tcPr>
          <w:p w14:paraId="5CA18596">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FAD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1" w:type="dxa"/>
            <w:noWrap w:val="0"/>
            <w:vAlign w:val="center"/>
          </w:tcPr>
          <w:p w14:paraId="14B5DF59">
            <w:pPr>
              <w:pStyle w:val="5"/>
              <w:numPr>
                <w:ilvl w:val="0"/>
                <w:numId w:val="5"/>
              </w:numPr>
              <w:kinsoku w:val="0"/>
              <w:adjustRightInd w:val="0"/>
              <w:snapToGrid w:val="0"/>
              <w:spacing w:before="288" w:line="184" w:lineRule="auto"/>
              <w:ind w:firstLineChars="0"/>
              <w:textAlignment w:val="baseline"/>
              <w:rPr>
                <w:rFonts w:ascii="宋体" w:hAnsi="宋体" w:cs="黑体"/>
                <w:snapToGrid w:val="0"/>
                <w:color w:val="000000"/>
                <w:szCs w:val="21"/>
              </w:rPr>
            </w:pPr>
          </w:p>
        </w:tc>
        <w:tc>
          <w:tcPr>
            <w:tcW w:w="1012" w:type="dxa"/>
            <w:noWrap w:val="0"/>
            <w:vAlign w:val="center"/>
          </w:tcPr>
          <w:p w14:paraId="6794970B">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continue"/>
            <w:noWrap w:val="0"/>
            <w:vAlign w:val="center"/>
          </w:tcPr>
          <w:p w14:paraId="53F4083C">
            <w:pPr>
              <w:rPr>
                <w:rFonts w:ascii="宋体" w:hAnsi="宋体"/>
                <w:color w:val="000000"/>
                <w:szCs w:val="21"/>
              </w:rPr>
            </w:pPr>
          </w:p>
        </w:tc>
        <w:tc>
          <w:tcPr>
            <w:tcW w:w="1832" w:type="dxa"/>
            <w:noWrap w:val="0"/>
            <w:vAlign w:val="center"/>
          </w:tcPr>
          <w:p w14:paraId="6662D07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功能卡兼容性</w:t>
            </w:r>
          </w:p>
        </w:tc>
        <w:tc>
          <w:tcPr>
            <w:tcW w:w="4068" w:type="dxa"/>
            <w:noWrap w:val="0"/>
            <w:vAlign w:val="center"/>
          </w:tcPr>
          <w:p w14:paraId="71C881E6">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内置或适配符合 PCIe 的功能卡，如：网络功能卡、存储功能卡及图形显示功能卡</w:t>
            </w:r>
          </w:p>
        </w:tc>
        <w:tc>
          <w:tcPr>
            <w:tcW w:w="1525" w:type="dxa"/>
            <w:noWrap w:val="0"/>
            <w:vAlign w:val="center"/>
          </w:tcPr>
          <w:p w14:paraId="008737E4">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543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1" w:type="dxa"/>
            <w:noWrap w:val="0"/>
            <w:vAlign w:val="center"/>
          </w:tcPr>
          <w:p w14:paraId="3FE9AB75">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0EB57B87">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noWrap w:val="0"/>
            <w:vAlign w:val="center"/>
          </w:tcPr>
          <w:p w14:paraId="0EF07F07">
            <w:pPr>
              <w:kinsoku w:val="0"/>
              <w:adjustRightInd w:val="0"/>
              <w:snapToGrid w:val="0"/>
              <w:spacing w:before="260" w:line="222" w:lineRule="auto"/>
              <w:textAlignment w:val="baseline"/>
              <w:rPr>
                <w:rFonts w:ascii="宋体" w:hAnsi="宋体" w:cs="黑体"/>
                <w:snapToGrid w:val="0"/>
                <w:color w:val="000000"/>
                <w:szCs w:val="21"/>
              </w:rPr>
            </w:pPr>
            <w:r>
              <w:rPr>
                <w:rFonts w:ascii="宋体" w:hAnsi="宋体" w:cs="黑体"/>
                <w:snapToGrid w:val="0"/>
                <w:color w:val="000000"/>
                <w:spacing w:val="-1"/>
                <w:szCs w:val="21"/>
              </w:rPr>
              <w:t>外设</w:t>
            </w:r>
            <w:r>
              <w:rPr>
                <w:rFonts w:ascii="宋体" w:hAnsi="宋体" w:cs="黑体"/>
                <w:snapToGrid w:val="0"/>
                <w:color w:val="000000"/>
                <w:spacing w:val="-5"/>
                <w:szCs w:val="21"/>
              </w:rPr>
              <w:t>兼容</w:t>
            </w:r>
            <w:r>
              <w:rPr>
                <w:rFonts w:ascii="宋体" w:hAnsi="宋体" w:cs="黑体"/>
                <w:snapToGrid w:val="0"/>
                <w:color w:val="000000"/>
                <w:szCs w:val="21"/>
              </w:rPr>
              <w:t>性</w:t>
            </w:r>
          </w:p>
        </w:tc>
        <w:tc>
          <w:tcPr>
            <w:tcW w:w="1832" w:type="dxa"/>
            <w:noWrap w:val="0"/>
            <w:vAlign w:val="center"/>
          </w:tcPr>
          <w:p w14:paraId="5F9012C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外设兼容性</w:t>
            </w:r>
          </w:p>
        </w:tc>
        <w:tc>
          <w:tcPr>
            <w:tcW w:w="4068" w:type="dxa"/>
            <w:noWrap w:val="0"/>
            <w:vAlign w:val="center"/>
          </w:tcPr>
          <w:p w14:paraId="78CCAA0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兼容多种主流生产商的外部设备，包括显示器、键盘、鼠标、闪存盘、移动硬盘、USB 光驱及 KVM 等，要求使用不同厂商的外部设备时，系统均能正常识别和安装驱动</w:t>
            </w:r>
          </w:p>
        </w:tc>
        <w:tc>
          <w:tcPr>
            <w:tcW w:w="1525" w:type="dxa"/>
            <w:noWrap w:val="0"/>
            <w:vAlign w:val="center"/>
          </w:tcPr>
          <w:p w14:paraId="54D80507">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BA7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1" w:type="dxa"/>
            <w:noWrap w:val="0"/>
            <w:vAlign w:val="center"/>
          </w:tcPr>
          <w:p w14:paraId="4A0904BE">
            <w:pPr>
              <w:pStyle w:val="5"/>
              <w:numPr>
                <w:ilvl w:val="0"/>
                <w:numId w:val="5"/>
              </w:numPr>
              <w:kinsoku w:val="0"/>
              <w:adjustRightInd w:val="0"/>
              <w:snapToGrid w:val="0"/>
              <w:spacing w:before="171" w:line="185" w:lineRule="auto"/>
              <w:ind w:firstLineChars="0"/>
              <w:textAlignment w:val="baseline"/>
              <w:rPr>
                <w:rFonts w:ascii="宋体" w:hAnsi="宋体" w:cs="黑体"/>
                <w:snapToGrid w:val="0"/>
                <w:color w:val="000000"/>
                <w:szCs w:val="21"/>
              </w:rPr>
            </w:pPr>
          </w:p>
        </w:tc>
        <w:tc>
          <w:tcPr>
            <w:tcW w:w="1012" w:type="dxa"/>
            <w:noWrap w:val="0"/>
            <w:vAlign w:val="center"/>
          </w:tcPr>
          <w:p w14:paraId="0BD01F29">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restart"/>
            <w:noWrap w:val="0"/>
            <w:vAlign w:val="center"/>
          </w:tcPr>
          <w:p w14:paraId="25A67DB6">
            <w:pPr>
              <w:kinsoku w:val="0"/>
              <w:adjustRightInd w:val="0"/>
              <w:snapToGrid w:val="0"/>
              <w:spacing w:before="58" w:line="222" w:lineRule="auto"/>
              <w:textAlignment w:val="baseline"/>
              <w:rPr>
                <w:rFonts w:ascii="宋体" w:hAnsi="宋体" w:cs="黑体"/>
                <w:snapToGrid w:val="0"/>
                <w:color w:val="000000"/>
                <w:szCs w:val="21"/>
              </w:rPr>
            </w:pPr>
            <w:r>
              <w:rPr>
                <w:rFonts w:ascii="宋体" w:hAnsi="宋体" w:cs="黑体"/>
                <w:snapToGrid w:val="0"/>
                <w:color w:val="000000"/>
                <w:spacing w:val="-1"/>
                <w:szCs w:val="21"/>
              </w:rPr>
              <w:t>软件</w:t>
            </w:r>
            <w:r>
              <w:rPr>
                <w:rFonts w:ascii="宋体" w:hAnsi="宋体" w:cs="黑体"/>
                <w:snapToGrid w:val="0"/>
                <w:color w:val="000000"/>
                <w:spacing w:val="-5"/>
                <w:szCs w:val="21"/>
              </w:rPr>
              <w:t>兼容</w:t>
            </w:r>
            <w:r>
              <w:rPr>
                <w:rFonts w:ascii="宋体" w:hAnsi="宋体" w:cs="黑体"/>
                <w:snapToGrid w:val="0"/>
                <w:color w:val="000000"/>
                <w:szCs w:val="21"/>
              </w:rPr>
              <w:t>性</w:t>
            </w:r>
          </w:p>
        </w:tc>
        <w:tc>
          <w:tcPr>
            <w:tcW w:w="1832" w:type="dxa"/>
            <w:noWrap w:val="0"/>
            <w:vAlign w:val="center"/>
          </w:tcPr>
          <w:p w14:paraId="53A8B66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数据库兼容</w:t>
            </w:r>
          </w:p>
        </w:tc>
        <w:tc>
          <w:tcPr>
            <w:tcW w:w="4068" w:type="dxa"/>
            <w:noWrap w:val="0"/>
            <w:vAlign w:val="center"/>
          </w:tcPr>
          <w:p w14:paraId="758EC55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 3 个及以上厂商的数据库产品</w:t>
            </w:r>
          </w:p>
        </w:tc>
        <w:tc>
          <w:tcPr>
            <w:tcW w:w="1525" w:type="dxa"/>
            <w:noWrap w:val="0"/>
            <w:vAlign w:val="center"/>
          </w:tcPr>
          <w:p w14:paraId="2B6CA050">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CCA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6A3EE2F0">
            <w:pPr>
              <w:pStyle w:val="5"/>
              <w:numPr>
                <w:ilvl w:val="0"/>
                <w:numId w:val="5"/>
              </w:numPr>
              <w:kinsoku w:val="0"/>
              <w:adjustRightInd w:val="0"/>
              <w:snapToGrid w:val="0"/>
              <w:spacing w:before="179" w:line="185" w:lineRule="auto"/>
              <w:ind w:firstLineChars="0"/>
              <w:textAlignment w:val="baseline"/>
              <w:rPr>
                <w:rFonts w:ascii="宋体" w:hAnsi="宋体" w:cs="黑体"/>
                <w:snapToGrid w:val="0"/>
                <w:color w:val="000000"/>
                <w:szCs w:val="21"/>
              </w:rPr>
            </w:pPr>
          </w:p>
        </w:tc>
        <w:tc>
          <w:tcPr>
            <w:tcW w:w="1012" w:type="dxa"/>
            <w:noWrap w:val="0"/>
            <w:vAlign w:val="center"/>
          </w:tcPr>
          <w:p w14:paraId="2CA4C0F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continue"/>
            <w:noWrap w:val="0"/>
            <w:vAlign w:val="center"/>
          </w:tcPr>
          <w:p w14:paraId="17F51840">
            <w:pPr>
              <w:rPr>
                <w:rFonts w:ascii="宋体" w:hAnsi="宋体"/>
                <w:color w:val="000000"/>
                <w:szCs w:val="21"/>
              </w:rPr>
            </w:pPr>
          </w:p>
        </w:tc>
        <w:tc>
          <w:tcPr>
            <w:tcW w:w="1832" w:type="dxa"/>
            <w:noWrap w:val="0"/>
            <w:vAlign w:val="center"/>
          </w:tcPr>
          <w:p w14:paraId="0F93DCD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中间件兼容</w:t>
            </w:r>
          </w:p>
        </w:tc>
        <w:tc>
          <w:tcPr>
            <w:tcW w:w="4068" w:type="dxa"/>
            <w:noWrap w:val="0"/>
            <w:vAlign w:val="center"/>
          </w:tcPr>
          <w:p w14:paraId="0A5DA4E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 3 个及以上厂商的中间件产品</w:t>
            </w:r>
          </w:p>
        </w:tc>
        <w:tc>
          <w:tcPr>
            <w:tcW w:w="1525" w:type="dxa"/>
            <w:noWrap w:val="0"/>
            <w:vAlign w:val="center"/>
          </w:tcPr>
          <w:p w14:paraId="295BA2F3">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481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114800A">
            <w:pPr>
              <w:pStyle w:val="5"/>
              <w:numPr>
                <w:ilvl w:val="0"/>
                <w:numId w:val="5"/>
              </w:numPr>
              <w:kinsoku w:val="0"/>
              <w:adjustRightInd w:val="0"/>
              <w:snapToGrid w:val="0"/>
              <w:spacing w:before="179" w:line="185" w:lineRule="auto"/>
              <w:ind w:firstLineChars="0"/>
              <w:textAlignment w:val="baseline"/>
              <w:rPr>
                <w:rFonts w:ascii="宋体" w:hAnsi="宋体" w:cs="黑体"/>
                <w:snapToGrid w:val="0"/>
                <w:color w:val="000000"/>
                <w:szCs w:val="21"/>
              </w:rPr>
            </w:pPr>
          </w:p>
        </w:tc>
        <w:tc>
          <w:tcPr>
            <w:tcW w:w="1012" w:type="dxa"/>
            <w:noWrap w:val="0"/>
            <w:vAlign w:val="center"/>
          </w:tcPr>
          <w:p w14:paraId="3A90AB16">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兼容要求</w:t>
            </w:r>
          </w:p>
        </w:tc>
        <w:tc>
          <w:tcPr>
            <w:tcW w:w="1049" w:type="dxa"/>
            <w:vMerge w:val="continue"/>
            <w:noWrap w:val="0"/>
            <w:vAlign w:val="center"/>
          </w:tcPr>
          <w:p w14:paraId="3A58FA90">
            <w:pPr>
              <w:rPr>
                <w:rFonts w:ascii="宋体" w:hAnsi="宋体"/>
                <w:color w:val="000000"/>
                <w:szCs w:val="21"/>
              </w:rPr>
            </w:pPr>
          </w:p>
        </w:tc>
        <w:tc>
          <w:tcPr>
            <w:tcW w:w="1832" w:type="dxa"/>
            <w:noWrap w:val="0"/>
            <w:vAlign w:val="center"/>
          </w:tcPr>
          <w:p w14:paraId="0FF55C1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平台软件兼容</w:t>
            </w:r>
          </w:p>
        </w:tc>
        <w:tc>
          <w:tcPr>
            <w:tcW w:w="4068" w:type="dxa"/>
            <w:noWrap w:val="0"/>
            <w:vAlign w:val="center"/>
          </w:tcPr>
          <w:p w14:paraId="15899E2E">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兼容 3 个及以上厂商的大数据平台</w:t>
            </w:r>
          </w:p>
        </w:tc>
        <w:tc>
          <w:tcPr>
            <w:tcW w:w="1525" w:type="dxa"/>
            <w:noWrap w:val="0"/>
            <w:vAlign w:val="center"/>
          </w:tcPr>
          <w:p w14:paraId="0303D4B3">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3106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51" w:type="dxa"/>
            <w:noWrap w:val="0"/>
            <w:vAlign w:val="center"/>
          </w:tcPr>
          <w:p w14:paraId="50D91039">
            <w:pPr>
              <w:pStyle w:val="5"/>
              <w:numPr>
                <w:ilvl w:val="0"/>
                <w:numId w:val="5"/>
              </w:numPr>
              <w:kinsoku w:val="0"/>
              <w:adjustRightInd w:val="0"/>
              <w:snapToGrid w:val="0"/>
              <w:spacing w:before="299" w:line="185" w:lineRule="auto"/>
              <w:ind w:firstLineChars="0"/>
              <w:textAlignment w:val="baseline"/>
              <w:rPr>
                <w:rFonts w:ascii="宋体" w:hAnsi="宋体" w:cs="黑体"/>
                <w:snapToGrid w:val="0"/>
                <w:color w:val="000000"/>
                <w:szCs w:val="21"/>
              </w:rPr>
            </w:pPr>
          </w:p>
        </w:tc>
        <w:tc>
          <w:tcPr>
            <w:tcW w:w="1012" w:type="dxa"/>
            <w:noWrap w:val="0"/>
            <w:vAlign w:val="center"/>
          </w:tcPr>
          <w:p w14:paraId="29807742">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可靠性要 求</w:t>
            </w:r>
          </w:p>
        </w:tc>
        <w:tc>
          <w:tcPr>
            <w:tcW w:w="1049" w:type="dxa"/>
            <w:vMerge w:val="restart"/>
            <w:noWrap w:val="0"/>
            <w:vAlign w:val="center"/>
          </w:tcPr>
          <w:p w14:paraId="795EA920">
            <w:pPr>
              <w:kinsoku w:val="0"/>
              <w:adjustRightInd w:val="0"/>
              <w:snapToGrid w:val="0"/>
              <w:spacing w:before="58" w:line="224" w:lineRule="auto"/>
              <w:textAlignment w:val="baseline"/>
              <w:rPr>
                <w:rFonts w:ascii="宋体" w:hAnsi="宋体" w:cs="黑体"/>
                <w:snapToGrid w:val="0"/>
                <w:color w:val="000000"/>
                <w:szCs w:val="21"/>
              </w:rPr>
            </w:pPr>
            <w:r>
              <w:rPr>
                <w:rFonts w:ascii="宋体" w:hAnsi="宋体" w:cs="黑体"/>
                <w:snapToGrid w:val="0"/>
                <w:color w:val="000000"/>
                <w:spacing w:val="-1"/>
                <w:szCs w:val="21"/>
              </w:rPr>
              <w:t>整机</w:t>
            </w:r>
            <w:r>
              <w:rPr>
                <w:rFonts w:ascii="宋体" w:hAnsi="宋体" w:cs="黑体"/>
                <w:snapToGrid w:val="0"/>
                <w:color w:val="000000"/>
                <w:spacing w:val="-5"/>
                <w:szCs w:val="21"/>
              </w:rPr>
              <w:t>可靠</w:t>
            </w:r>
            <w:r>
              <w:rPr>
                <w:rFonts w:ascii="宋体" w:hAnsi="宋体" w:cs="黑体"/>
                <w:snapToGrid w:val="0"/>
                <w:color w:val="000000"/>
                <w:spacing w:val="-4"/>
                <w:szCs w:val="21"/>
              </w:rPr>
              <w:t>性要</w:t>
            </w:r>
            <w:r>
              <w:rPr>
                <w:rFonts w:ascii="宋体" w:hAnsi="宋体" w:cs="黑体"/>
                <w:snapToGrid w:val="0"/>
                <w:color w:val="000000"/>
                <w:szCs w:val="21"/>
              </w:rPr>
              <w:t>求</w:t>
            </w:r>
          </w:p>
        </w:tc>
        <w:tc>
          <w:tcPr>
            <w:tcW w:w="1832" w:type="dxa"/>
            <w:noWrap w:val="0"/>
            <w:vAlign w:val="center"/>
          </w:tcPr>
          <w:p w14:paraId="2834282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整机可靠性</w:t>
            </w:r>
          </w:p>
        </w:tc>
        <w:tc>
          <w:tcPr>
            <w:tcW w:w="4068" w:type="dxa"/>
            <w:noWrap w:val="0"/>
            <w:vAlign w:val="center"/>
          </w:tcPr>
          <w:p w14:paraId="3C1FF69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m1 值（MTBF 的不可接受值）不得低于 30000h</w:t>
            </w:r>
          </w:p>
        </w:tc>
        <w:tc>
          <w:tcPr>
            <w:tcW w:w="1525" w:type="dxa"/>
            <w:noWrap w:val="0"/>
            <w:vAlign w:val="center"/>
          </w:tcPr>
          <w:p w14:paraId="7F1CD49E">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6E2D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D5F667D">
            <w:pPr>
              <w:pStyle w:val="5"/>
              <w:numPr>
                <w:ilvl w:val="0"/>
                <w:numId w:val="5"/>
              </w:numPr>
              <w:kinsoku w:val="0"/>
              <w:adjustRightInd w:val="0"/>
              <w:snapToGrid w:val="0"/>
              <w:spacing w:before="178" w:line="185" w:lineRule="auto"/>
              <w:ind w:firstLineChars="0"/>
              <w:textAlignment w:val="baseline"/>
              <w:rPr>
                <w:rFonts w:ascii="宋体" w:hAnsi="宋体" w:cs="黑体"/>
                <w:snapToGrid w:val="0"/>
                <w:color w:val="000000"/>
                <w:szCs w:val="21"/>
              </w:rPr>
            </w:pPr>
          </w:p>
        </w:tc>
        <w:tc>
          <w:tcPr>
            <w:tcW w:w="1012" w:type="dxa"/>
            <w:noWrap w:val="0"/>
            <w:vAlign w:val="center"/>
          </w:tcPr>
          <w:p w14:paraId="0244D969">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可靠性要 求</w:t>
            </w:r>
          </w:p>
        </w:tc>
        <w:tc>
          <w:tcPr>
            <w:tcW w:w="1049" w:type="dxa"/>
            <w:vMerge w:val="continue"/>
            <w:noWrap w:val="0"/>
            <w:vAlign w:val="center"/>
          </w:tcPr>
          <w:p w14:paraId="133808BF">
            <w:pPr>
              <w:rPr>
                <w:rFonts w:ascii="宋体" w:hAnsi="宋体"/>
                <w:color w:val="000000"/>
                <w:szCs w:val="21"/>
              </w:rPr>
            </w:pPr>
          </w:p>
        </w:tc>
        <w:tc>
          <w:tcPr>
            <w:tcW w:w="1832" w:type="dxa"/>
            <w:noWrap w:val="0"/>
            <w:vAlign w:val="center"/>
          </w:tcPr>
          <w:p w14:paraId="50A682F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风扇可靠性</w:t>
            </w:r>
          </w:p>
        </w:tc>
        <w:tc>
          <w:tcPr>
            <w:tcW w:w="4068" w:type="dxa"/>
            <w:noWrap w:val="0"/>
            <w:vAlign w:val="center"/>
          </w:tcPr>
          <w:p w14:paraId="26C48C2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风扇寿命应不低于40000h</w:t>
            </w:r>
          </w:p>
        </w:tc>
        <w:tc>
          <w:tcPr>
            <w:tcW w:w="1525" w:type="dxa"/>
            <w:noWrap w:val="0"/>
            <w:vAlign w:val="center"/>
          </w:tcPr>
          <w:p w14:paraId="28A19541">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E02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1BDEF4BE">
            <w:pPr>
              <w:pStyle w:val="5"/>
              <w:numPr>
                <w:ilvl w:val="0"/>
                <w:numId w:val="5"/>
              </w:numPr>
              <w:kinsoku w:val="0"/>
              <w:adjustRightInd w:val="0"/>
              <w:snapToGrid w:val="0"/>
              <w:spacing w:before="180" w:line="185" w:lineRule="auto"/>
              <w:ind w:firstLineChars="0"/>
              <w:textAlignment w:val="baseline"/>
              <w:rPr>
                <w:rFonts w:ascii="宋体" w:hAnsi="宋体" w:cs="黑体"/>
                <w:snapToGrid w:val="0"/>
                <w:color w:val="000000"/>
                <w:szCs w:val="21"/>
              </w:rPr>
            </w:pPr>
          </w:p>
        </w:tc>
        <w:tc>
          <w:tcPr>
            <w:tcW w:w="1012" w:type="dxa"/>
            <w:noWrap w:val="0"/>
            <w:vAlign w:val="center"/>
          </w:tcPr>
          <w:p w14:paraId="01286FA8">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可靠性要 求</w:t>
            </w:r>
          </w:p>
        </w:tc>
        <w:tc>
          <w:tcPr>
            <w:tcW w:w="1049" w:type="dxa"/>
            <w:vMerge w:val="continue"/>
            <w:noWrap w:val="0"/>
            <w:vAlign w:val="center"/>
          </w:tcPr>
          <w:p w14:paraId="0C33F144">
            <w:pPr>
              <w:rPr>
                <w:rFonts w:ascii="宋体" w:hAnsi="宋体"/>
                <w:color w:val="000000"/>
                <w:szCs w:val="21"/>
              </w:rPr>
            </w:pPr>
          </w:p>
        </w:tc>
        <w:tc>
          <w:tcPr>
            <w:tcW w:w="1832" w:type="dxa"/>
            <w:noWrap w:val="0"/>
            <w:vAlign w:val="center"/>
          </w:tcPr>
          <w:p w14:paraId="2A40C57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部件可靠性</w:t>
            </w:r>
          </w:p>
        </w:tc>
        <w:tc>
          <w:tcPr>
            <w:tcW w:w="4068" w:type="dxa"/>
            <w:noWrap w:val="0"/>
            <w:vAlign w:val="center"/>
          </w:tcPr>
          <w:p w14:paraId="05ECDE0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支持硬盘、电源、风扇热插拔(内置风扇除外)</w:t>
            </w:r>
          </w:p>
        </w:tc>
        <w:tc>
          <w:tcPr>
            <w:tcW w:w="1525" w:type="dxa"/>
            <w:noWrap w:val="0"/>
            <w:vAlign w:val="center"/>
          </w:tcPr>
          <w:p w14:paraId="0E27D717">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F14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1" w:type="dxa"/>
            <w:noWrap w:val="0"/>
            <w:vAlign w:val="center"/>
          </w:tcPr>
          <w:p w14:paraId="4EF6E0F3">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3275CFE8">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包装及运输要求</w:t>
            </w:r>
          </w:p>
        </w:tc>
        <w:tc>
          <w:tcPr>
            <w:tcW w:w="1049" w:type="dxa"/>
            <w:noWrap w:val="0"/>
            <w:vAlign w:val="center"/>
          </w:tcPr>
          <w:p w14:paraId="5C61B4D0">
            <w:pPr>
              <w:kinsoku w:val="0"/>
              <w:adjustRightInd w:val="0"/>
              <w:snapToGrid w:val="0"/>
              <w:spacing w:before="41" w:line="224" w:lineRule="auto"/>
              <w:textAlignment w:val="baseline"/>
              <w:rPr>
                <w:rFonts w:ascii="宋体" w:hAnsi="宋体" w:cs="黑体"/>
                <w:snapToGrid w:val="0"/>
                <w:color w:val="000000"/>
                <w:szCs w:val="21"/>
              </w:rPr>
            </w:pPr>
            <w:r>
              <w:rPr>
                <w:rFonts w:ascii="宋体" w:hAnsi="宋体" w:cs="黑体"/>
                <w:snapToGrid w:val="0"/>
                <w:color w:val="000000"/>
                <w:spacing w:val="-1"/>
                <w:szCs w:val="21"/>
              </w:rPr>
              <w:t>包装</w:t>
            </w:r>
            <w:r>
              <w:rPr>
                <w:rFonts w:ascii="宋体" w:hAnsi="宋体" w:cs="黑体"/>
                <w:snapToGrid w:val="0"/>
                <w:color w:val="000000"/>
                <w:spacing w:val="-4"/>
                <w:szCs w:val="21"/>
              </w:rPr>
              <w:t>及运输要</w:t>
            </w:r>
            <w:r>
              <w:rPr>
                <w:rFonts w:ascii="宋体" w:hAnsi="宋体" w:cs="黑体"/>
                <w:snapToGrid w:val="0"/>
                <w:color w:val="000000"/>
                <w:szCs w:val="21"/>
              </w:rPr>
              <w:t>求</w:t>
            </w:r>
          </w:p>
        </w:tc>
        <w:tc>
          <w:tcPr>
            <w:tcW w:w="1832" w:type="dxa"/>
            <w:noWrap w:val="0"/>
            <w:vAlign w:val="center"/>
          </w:tcPr>
          <w:p w14:paraId="5D77023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标志、包装、运输和贮存</w:t>
            </w:r>
          </w:p>
        </w:tc>
        <w:tc>
          <w:tcPr>
            <w:tcW w:w="4068" w:type="dxa"/>
            <w:noWrap w:val="0"/>
            <w:vAlign w:val="center"/>
          </w:tcPr>
          <w:p w14:paraId="7B581BA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符合GB/T 9813.3 和商品包装政府采购需求标准的相关规定</w:t>
            </w:r>
          </w:p>
        </w:tc>
        <w:tc>
          <w:tcPr>
            <w:tcW w:w="1525" w:type="dxa"/>
            <w:noWrap w:val="0"/>
            <w:vAlign w:val="center"/>
          </w:tcPr>
          <w:p w14:paraId="526DC066">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2187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 w:type="dxa"/>
            <w:noWrap w:val="0"/>
            <w:vAlign w:val="center"/>
          </w:tcPr>
          <w:p w14:paraId="3E2FBF46">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1FCC9FE1">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restart"/>
            <w:noWrap w:val="0"/>
            <w:vAlign w:val="center"/>
          </w:tcPr>
          <w:p w14:paraId="1DDA362A">
            <w:pPr>
              <w:kinsoku w:val="0"/>
              <w:adjustRightInd w:val="0"/>
              <w:snapToGrid w:val="0"/>
              <w:spacing w:before="58" w:line="235"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服务</w:t>
            </w:r>
            <w:r>
              <w:rPr>
                <w:rFonts w:ascii="宋体" w:hAnsi="宋体" w:cs="黑体"/>
                <w:snapToGrid w:val="0"/>
                <w:color w:val="000000"/>
                <w:spacing w:val="-8"/>
                <w:szCs w:val="21"/>
              </w:rPr>
              <w:t>响应</w:t>
            </w:r>
          </w:p>
        </w:tc>
        <w:tc>
          <w:tcPr>
            <w:tcW w:w="1832" w:type="dxa"/>
            <w:noWrap w:val="0"/>
            <w:vAlign w:val="center"/>
          </w:tcPr>
          <w:p w14:paraId="3929352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服务响应</w:t>
            </w:r>
          </w:p>
        </w:tc>
        <w:tc>
          <w:tcPr>
            <w:tcW w:w="4068" w:type="dxa"/>
            <w:noWrap w:val="0"/>
            <w:vAlign w:val="center"/>
          </w:tcPr>
          <w:p w14:paraId="1B34B3D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a) 提供电话、电子邮件、远程连接等多种形式服务；</w:t>
            </w:r>
          </w:p>
          <w:p w14:paraId="0DC77062">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b) 提供同城 </w:t>
            </w:r>
            <w:r>
              <w:rPr>
                <w:rFonts w:hint="eastAsia" w:ascii="宋体" w:hAnsi="宋体" w:cs="黑体"/>
                <w:snapToGrid w:val="0"/>
                <w:color w:val="000000"/>
                <w:spacing w:val="-2"/>
                <w:szCs w:val="21"/>
              </w:rPr>
              <w:t>1</w:t>
            </w:r>
            <w:r>
              <w:rPr>
                <w:rFonts w:ascii="宋体" w:hAnsi="宋体" w:cs="黑体"/>
                <w:snapToGrid w:val="0"/>
                <w:color w:val="000000"/>
                <w:spacing w:val="-2"/>
                <w:szCs w:val="21"/>
              </w:rPr>
              <w:t>h、异地 12h 技术响应服务，</w:t>
            </w:r>
            <w:r>
              <w:rPr>
                <w:rFonts w:hint="eastAsia" w:ascii="宋体" w:hAnsi="宋体" w:cs="黑体"/>
                <w:snapToGrid w:val="0"/>
                <w:color w:val="000000"/>
                <w:spacing w:val="-2"/>
                <w:szCs w:val="21"/>
              </w:rPr>
              <w:t>一般故障6小时内排除、重大故障24小时内排除。</w:t>
            </w:r>
            <w:r>
              <w:rPr>
                <w:rFonts w:ascii="宋体" w:hAnsi="宋体" w:cs="黑体"/>
                <w:snapToGrid w:val="0"/>
                <w:color w:val="000000"/>
                <w:spacing w:val="-2"/>
                <w:szCs w:val="21"/>
              </w:rPr>
              <w:t>对于未能解决的问题和故障应提供可行的升级方案，并提供周转设备；</w:t>
            </w:r>
          </w:p>
          <w:p w14:paraId="03819CC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c) 建立全国技术服务体系和服务   团体，符合专业服务体系标准要求， 提供原厂中文服务；</w:t>
            </w:r>
          </w:p>
          <w:p w14:paraId="6BCF72D4">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d) 服务周期内提供产品的维修、换 件和升级服务</w:t>
            </w:r>
          </w:p>
        </w:tc>
        <w:tc>
          <w:tcPr>
            <w:tcW w:w="1525" w:type="dxa"/>
            <w:noWrap w:val="0"/>
            <w:vAlign w:val="center"/>
          </w:tcPr>
          <w:p w14:paraId="16D7930F">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380D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51" w:type="dxa"/>
            <w:noWrap w:val="0"/>
            <w:vAlign w:val="center"/>
          </w:tcPr>
          <w:p w14:paraId="24B15985">
            <w:pPr>
              <w:pStyle w:val="5"/>
              <w:numPr>
                <w:ilvl w:val="0"/>
                <w:numId w:val="5"/>
              </w:numPr>
              <w:kinsoku w:val="0"/>
              <w:adjustRightInd w:val="0"/>
              <w:snapToGrid w:val="0"/>
              <w:spacing w:before="181" w:line="185" w:lineRule="auto"/>
              <w:ind w:firstLineChars="0"/>
              <w:textAlignment w:val="baseline"/>
              <w:rPr>
                <w:rFonts w:ascii="宋体" w:hAnsi="宋体" w:cs="黑体"/>
                <w:snapToGrid w:val="0"/>
                <w:color w:val="000000"/>
                <w:szCs w:val="21"/>
              </w:rPr>
            </w:pPr>
          </w:p>
        </w:tc>
        <w:tc>
          <w:tcPr>
            <w:tcW w:w="1012" w:type="dxa"/>
            <w:noWrap w:val="0"/>
            <w:vAlign w:val="center"/>
          </w:tcPr>
          <w:p w14:paraId="7BB57BA0">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continue"/>
            <w:noWrap w:val="0"/>
            <w:vAlign w:val="center"/>
          </w:tcPr>
          <w:p w14:paraId="386F45AD">
            <w:pPr>
              <w:rPr>
                <w:rFonts w:ascii="宋体" w:hAnsi="宋体"/>
                <w:color w:val="000000"/>
                <w:szCs w:val="21"/>
              </w:rPr>
            </w:pPr>
          </w:p>
        </w:tc>
        <w:tc>
          <w:tcPr>
            <w:tcW w:w="1832" w:type="dxa"/>
            <w:noWrap w:val="0"/>
            <w:vAlign w:val="center"/>
          </w:tcPr>
          <w:p w14:paraId="55A181A6">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培训服务</w:t>
            </w:r>
          </w:p>
        </w:tc>
        <w:tc>
          <w:tcPr>
            <w:tcW w:w="4068" w:type="dxa"/>
            <w:noWrap w:val="0"/>
            <w:vAlign w:val="center"/>
          </w:tcPr>
          <w:p w14:paraId="5930B3A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供应商提供培训材料、产品手册、 培训视频等培训相关内容</w:t>
            </w:r>
          </w:p>
        </w:tc>
        <w:tc>
          <w:tcPr>
            <w:tcW w:w="1525" w:type="dxa"/>
            <w:noWrap w:val="0"/>
            <w:vAlign w:val="center"/>
          </w:tcPr>
          <w:p w14:paraId="634958F0">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564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 w:type="dxa"/>
            <w:noWrap w:val="0"/>
            <w:vAlign w:val="center"/>
          </w:tcPr>
          <w:p w14:paraId="064E370A">
            <w:pPr>
              <w:pStyle w:val="5"/>
              <w:numPr>
                <w:ilvl w:val="0"/>
                <w:numId w:val="5"/>
              </w:numPr>
              <w:kinsoku w:val="0"/>
              <w:adjustRightInd w:val="0"/>
              <w:snapToGrid w:val="0"/>
              <w:spacing w:before="59" w:line="185" w:lineRule="auto"/>
              <w:ind w:firstLineChars="0"/>
              <w:textAlignment w:val="baseline"/>
              <w:rPr>
                <w:rFonts w:ascii="宋体" w:hAnsi="宋体" w:cs="黑体"/>
                <w:snapToGrid w:val="0"/>
                <w:color w:val="000000"/>
                <w:szCs w:val="21"/>
              </w:rPr>
            </w:pPr>
          </w:p>
        </w:tc>
        <w:tc>
          <w:tcPr>
            <w:tcW w:w="1012" w:type="dxa"/>
            <w:noWrap w:val="0"/>
            <w:vAlign w:val="center"/>
          </w:tcPr>
          <w:p w14:paraId="09F276F3">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noWrap w:val="0"/>
            <w:vAlign w:val="center"/>
          </w:tcPr>
          <w:p w14:paraId="3E251B0C">
            <w:pPr>
              <w:kinsoku w:val="0"/>
              <w:adjustRightInd w:val="0"/>
              <w:snapToGrid w:val="0"/>
              <w:spacing w:before="58" w:line="235"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服务</w:t>
            </w:r>
            <w:r>
              <w:rPr>
                <w:rFonts w:ascii="宋体" w:hAnsi="宋体" w:cs="黑体"/>
                <w:snapToGrid w:val="0"/>
                <w:color w:val="000000"/>
                <w:spacing w:val="-4"/>
                <w:szCs w:val="21"/>
              </w:rPr>
              <w:t>周期</w:t>
            </w:r>
          </w:p>
        </w:tc>
        <w:tc>
          <w:tcPr>
            <w:tcW w:w="1832" w:type="dxa"/>
            <w:noWrap w:val="0"/>
            <w:vAlign w:val="center"/>
          </w:tcPr>
          <w:p w14:paraId="24948A1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服务周期</w:t>
            </w:r>
          </w:p>
        </w:tc>
        <w:tc>
          <w:tcPr>
            <w:tcW w:w="4068" w:type="dxa"/>
            <w:noWrap w:val="0"/>
            <w:vAlign w:val="center"/>
          </w:tcPr>
          <w:p w14:paraId="20B229DB">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 xml:space="preserve">a) 产品免费服务周期（含换件和维修）应不小于 </w:t>
            </w:r>
            <w:r>
              <w:rPr>
                <w:rFonts w:hint="eastAsia" w:ascii="宋体" w:hAnsi="宋体" w:cs="黑体"/>
                <w:snapToGrid w:val="0"/>
                <w:color w:val="000000"/>
                <w:spacing w:val="-2"/>
                <w:szCs w:val="21"/>
              </w:rPr>
              <w:t>5</w:t>
            </w:r>
            <w:r>
              <w:rPr>
                <w:rFonts w:ascii="宋体" w:hAnsi="宋体" w:cs="黑体"/>
                <w:snapToGrid w:val="0"/>
                <w:color w:val="000000"/>
                <w:spacing w:val="-2"/>
                <w:szCs w:val="21"/>
              </w:rPr>
              <w:t xml:space="preserve"> 年；</w:t>
            </w:r>
          </w:p>
          <w:p w14:paraId="2398025C">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b) 设备停产后继续提供质量保障  服务（含备品备件），服务终止时间与最后一批设备交付时间间隔不低于 6 年；</w:t>
            </w:r>
          </w:p>
          <w:p w14:paraId="3B3D651D">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c) 产品停止服务时间应提前 1 年告知客户；</w:t>
            </w:r>
          </w:p>
          <w:p w14:paraId="189FA73A">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ascii="宋体" w:hAnsi="宋体" w:cs="黑体"/>
                <w:snapToGrid w:val="0"/>
                <w:color w:val="000000"/>
                <w:spacing w:val="-2"/>
                <w:szCs w:val="21"/>
              </w:rPr>
              <w:t>d) 产品发布日期需在随机文件中明确</w:t>
            </w:r>
          </w:p>
        </w:tc>
        <w:tc>
          <w:tcPr>
            <w:tcW w:w="1525" w:type="dxa"/>
            <w:noWrap w:val="0"/>
            <w:vAlign w:val="center"/>
          </w:tcPr>
          <w:p w14:paraId="60F3E04F">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34AF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1" w:type="dxa"/>
            <w:noWrap w:val="0"/>
            <w:vAlign w:val="center"/>
          </w:tcPr>
          <w:p w14:paraId="682CD7C2">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6F22AB64">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restart"/>
            <w:noWrap w:val="0"/>
            <w:vAlign w:val="center"/>
          </w:tcPr>
          <w:p w14:paraId="24B00827">
            <w:pPr>
              <w:kinsoku w:val="0"/>
              <w:adjustRightInd w:val="0"/>
              <w:snapToGrid w:val="0"/>
              <w:spacing w:before="58" w:line="238"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服务</w:t>
            </w:r>
            <w:r>
              <w:rPr>
                <w:rFonts w:ascii="宋体" w:hAnsi="宋体" w:cs="黑体"/>
                <w:snapToGrid w:val="0"/>
                <w:color w:val="000000"/>
                <w:spacing w:val="-3"/>
                <w:szCs w:val="21"/>
              </w:rPr>
              <w:t>工具要求</w:t>
            </w:r>
          </w:p>
        </w:tc>
        <w:tc>
          <w:tcPr>
            <w:tcW w:w="1832" w:type="dxa"/>
            <w:noWrap w:val="0"/>
            <w:vAlign w:val="center"/>
          </w:tcPr>
          <w:p w14:paraId="2D3EDB5F">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工具要求</w:t>
            </w:r>
          </w:p>
        </w:tc>
        <w:tc>
          <w:tcPr>
            <w:tcW w:w="4068" w:type="dxa"/>
            <w:noWrap w:val="0"/>
            <w:vAlign w:val="center"/>
          </w:tcPr>
          <w:p w14:paraId="7769533B">
            <w:pPr>
              <w:kinsoku w:val="0"/>
              <w:adjustRightInd w:val="0"/>
              <w:snapToGrid w:val="0"/>
              <w:spacing w:before="37" w:line="235" w:lineRule="auto"/>
              <w:ind w:right="168"/>
              <w:textAlignment w:val="baseline"/>
              <w:rPr>
                <w:rFonts w:ascii="宋体" w:hAnsi="宋体" w:cs="黑体"/>
                <w:snapToGrid w:val="0"/>
                <w:color w:val="000000"/>
                <w:szCs w:val="21"/>
              </w:rPr>
            </w:pPr>
            <w:r>
              <w:rPr>
                <w:rFonts w:ascii="宋体" w:hAnsi="宋体" w:cs="黑体"/>
                <w:snapToGrid w:val="0"/>
                <w:color w:val="000000"/>
                <w:spacing w:val="-1"/>
                <w:szCs w:val="21"/>
              </w:rPr>
              <w:t>供应商提供设置服务器硬件、辅助操作系统安装等功能的辅助工具和管理软件。且随附软件应具有合法</w:t>
            </w:r>
            <w:r>
              <w:rPr>
                <w:rFonts w:ascii="宋体" w:hAnsi="宋体" w:cs="黑体"/>
                <w:snapToGrid w:val="0"/>
                <w:color w:val="000000"/>
                <w:spacing w:val="-2"/>
                <w:szCs w:val="21"/>
              </w:rPr>
              <w:t>授权或版权</w:t>
            </w:r>
          </w:p>
        </w:tc>
        <w:tc>
          <w:tcPr>
            <w:tcW w:w="1525" w:type="dxa"/>
            <w:noWrap w:val="0"/>
            <w:vAlign w:val="center"/>
          </w:tcPr>
          <w:p w14:paraId="28D45DFE">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0BC2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51" w:type="dxa"/>
            <w:noWrap w:val="0"/>
            <w:vAlign w:val="center"/>
          </w:tcPr>
          <w:p w14:paraId="624C66B3">
            <w:pPr>
              <w:pStyle w:val="5"/>
              <w:numPr>
                <w:ilvl w:val="0"/>
                <w:numId w:val="5"/>
              </w:numPr>
              <w:kinsoku w:val="0"/>
              <w:adjustRightInd w:val="0"/>
              <w:snapToGrid w:val="0"/>
              <w:spacing w:before="58" w:line="185" w:lineRule="auto"/>
              <w:ind w:firstLineChars="0"/>
              <w:textAlignment w:val="baseline"/>
              <w:rPr>
                <w:rFonts w:ascii="宋体" w:hAnsi="宋体" w:cs="黑体"/>
                <w:snapToGrid w:val="0"/>
                <w:color w:val="000000"/>
                <w:szCs w:val="21"/>
              </w:rPr>
            </w:pPr>
          </w:p>
        </w:tc>
        <w:tc>
          <w:tcPr>
            <w:tcW w:w="1012" w:type="dxa"/>
            <w:noWrap w:val="0"/>
            <w:vAlign w:val="center"/>
          </w:tcPr>
          <w:p w14:paraId="7F01309A">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continue"/>
            <w:noWrap w:val="0"/>
            <w:vAlign w:val="center"/>
          </w:tcPr>
          <w:p w14:paraId="700C4F66">
            <w:pPr>
              <w:rPr>
                <w:rFonts w:ascii="宋体" w:hAnsi="宋体"/>
                <w:color w:val="000000"/>
                <w:szCs w:val="21"/>
              </w:rPr>
            </w:pPr>
          </w:p>
        </w:tc>
        <w:tc>
          <w:tcPr>
            <w:tcW w:w="1832" w:type="dxa"/>
            <w:noWrap w:val="0"/>
            <w:vAlign w:val="center"/>
          </w:tcPr>
          <w:p w14:paraId="02FF6125">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驱动安装升级指引</w:t>
            </w:r>
          </w:p>
        </w:tc>
        <w:tc>
          <w:tcPr>
            <w:tcW w:w="4068" w:type="dxa"/>
            <w:noWrap w:val="0"/>
            <w:vAlign w:val="center"/>
          </w:tcPr>
          <w:p w14:paraId="71BFCD44">
            <w:pPr>
              <w:kinsoku w:val="0"/>
              <w:adjustRightInd w:val="0"/>
              <w:snapToGrid w:val="0"/>
              <w:spacing w:before="42" w:line="234" w:lineRule="auto"/>
              <w:ind w:right="168"/>
              <w:textAlignment w:val="baseline"/>
              <w:rPr>
                <w:rFonts w:ascii="宋体" w:hAnsi="宋体" w:cs="黑体"/>
                <w:snapToGrid w:val="0"/>
                <w:color w:val="000000"/>
                <w:szCs w:val="21"/>
              </w:rPr>
            </w:pPr>
            <w:r>
              <w:rPr>
                <w:rFonts w:ascii="宋体" w:hAnsi="宋体" w:cs="黑体"/>
                <w:snapToGrid w:val="0"/>
                <w:color w:val="000000"/>
                <w:spacing w:val="-1"/>
                <w:szCs w:val="21"/>
              </w:rPr>
              <w:t>供应商提供出厂安装的配件所需的</w:t>
            </w:r>
            <w:r>
              <w:rPr>
                <w:rFonts w:ascii="宋体" w:hAnsi="宋体" w:cs="黑体"/>
                <w:snapToGrid w:val="0"/>
                <w:color w:val="000000"/>
                <w:spacing w:val="7"/>
                <w:szCs w:val="21"/>
              </w:rPr>
              <w:t xml:space="preserve"> </w:t>
            </w:r>
            <w:r>
              <w:rPr>
                <w:rFonts w:ascii="宋体" w:hAnsi="宋体" w:cs="黑体"/>
                <w:snapToGrid w:val="0"/>
                <w:color w:val="000000"/>
                <w:spacing w:val="-1"/>
                <w:szCs w:val="21"/>
              </w:rPr>
              <w:t>驱动程序，形式包括但不限于驱动光盘、驱动下载链接等。其他配件</w:t>
            </w:r>
            <w:r>
              <w:rPr>
                <w:rFonts w:ascii="宋体" w:hAnsi="宋体" w:cs="黑体"/>
                <w:snapToGrid w:val="0"/>
                <w:color w:val="000000"/>
                <w:spacing w:val="-2"/>
                <w:szCs w:val="21"/>
              </w:rPr>
              <w:t>应提供指引</w:t>
            </w:r>
          </w:p>
        </w:tc>
        <w:tc>
          <w:tcPr>
            <w:tcW w:w="1525" w:type="dxa"/>
            <w:noWrap w:val="0"/>
            <w:vAlign w:val="center"/>
          </w:tcPr>
          <w:p w14:paraId="7E452E3D">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1086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1" w:type="dxa"/>
            <w:noWrap w:val="0"/>
            <w:vAlign w:val="center"/>
          </w:tcPr>
          <w:p w14:paraId="2983D07F">
            <w:pPr>
              <w:pStyle w:val="5"/>
              <w:numPr>
                <w:ilvl w:val="0"/>
                <w:numId w:val="5"/>
              </w:numPr>
              <w:kinsoku w:val="0"/>
              <w:adjustRightInd w:val="0"/>
              <w:snapToGrid w:val="0"/>
              <w:spacing w:before="292" w:line="185" w:lineRule="auto"/>
              <w:ind w:firstLineChars="0"/>
              <w:textAlignment w:val="baseline"/>
              <w:rPr>
                <w:rFonts w:ascii="宋体" w:hAnsi="宋体" w:cs="黑体"/>
                <w:snapToGrid w:val="0"/>
                <w:color w:val="000000"/>
                <w:szCs w:val="21"/>
              </w:rPr>
            </w:pPr>
          </w:p>
        </w:tc>
        <w:tc>
          <w:tcPr>
            <w:tcW w:w="1012" w:type="dxa"/>
            <w:noWrap w:val="0"/>
            <w:vAlign w:val="center"/>
          </w:tcPr>
          <w:p w14:paraId="500DC46E">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continue"/>
            <w:noWrap w:val="0"/>
            <w:vAlign w:val="center"/>
          </w:tcPr>
          <w:p w14:paraId="57E38117">
            <w:pPr>
              <w:rPr>
                <w:rFonts w:ascii="宋体" w:hAnsi="宋体"/>
                <w:color w:val="000000"/>
                <w:szCs w:val="21"/>
              </w:rPr>
            </w:pPr>
          </w:p>
        </w:tc>
        <w:tc>
          <w:tcPr>
            <w:tcW w:w="1832" w:type="dxa"/>
            <w:noWrap w:val="0"/>
            <w:vAlign w:val="center"/>
          </w:tcPr>
          <w:p w14:paraId="654676A0">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管理软件</w:t>
            </w:r>
          </w:p>
        </w:tc>
        <w:tc>
          <w:tcPr>
            <w:tcW w:w="4068" w:type="dxa"/>
            <w:noWrap w:val="0"/>
            <w:vAlign w:val="center"/>
          </w:tcPr>
          <w:p w14:paraId="2582F373">
            <w:pPr>
              <w:kinsoku w:val="0"/>
              <w:adjustRightInd w:val="0"/>
              <w:snapToGrid w:val="0"/>
              <w:spacing w:before="32" w:line="227" w:lineRule="auto"/>
              <w:ind w:right="168"/>
              <w:textAlignment w:val="baseline"/>
              <w:rPr>
                <w:rFonts w:ascii="宋体" w:hAnsi="宋体" w:cs="黑体"/>
                <w:snapToGrid w:val="0"/>
                <w:color w:val="000000"/>
                <w:szCs w:val="21"/>
              </w:rPr>
            </w:pPr>
            <w:r>
              <w:rPr>
                <w:rFonts w:ascii="宋体" w:hAnsi="宋体" w:cs="黑体"/>
                <w:snapToGrid w:val="0"/>
                <w:color w:val="000000"/>
                <w:spacing w:val="-1"/>
                <w:szCs w:val="21"/>
              </w:rPr>
              <w:t>具备资源管理、系统管理、性能监控、健康监控、基于网络控制、报</w:t>
            </w:r>
            <w:r>
              <w:rPr>
                <w:rFonts w:ascii="宋体" w:hAnsi="宋体" w:cs="黑体"/>
                <w:snapToGrid w:val="0"/>
                <w:color w:val="000000"/>
                <w:spacing w:val="-2"/>
                <w:szCs w:val="21"/>
              </w:rPr>
              <w:t>警设置功能</w:t>
            </w:r>
          </w:p>
        </w:tc>
        <w:tc>
          <w:tcPr>
            <w:tcW w:w="1525" w:type="dxa"/>
            <w:noWrap w:val="0"/>
            <w:vAlign w:val="center"/>
          </w:tcPr>
          <w:p w14:paraId="562BCF78">
            <w:pPr>
              <w:kinsoku w:val="0"/>
              <w:adjustRightInd w:val="0"/>
              <w:snapToGrid w:val="0"/>
              <w:spacing w:before="162" w:line="221" w:lineRule="auto"/>
              <w:jc w:val="center"/>
              <w:textAlignment w:val="baseline"/>
              <w:rPr>
                <w:rFonts w:hint="eastAsia" w:ascii="宋体" w:hAnsi="宋体" w:eastAsia="宋体" w:cs="黑体"/>
                <w:snapToGrid w:val="0"/>
                <w:color w:val="000000"/>
                <w:spacing w:val="-1"/>
                <w:szCs w:val="21"/>
                <w:lang w:eastAsia="zh-CN"/>
              </w:rPr>
            </w:pPr>
            <w:r>
              <w:rPr>
                <w:rFonts w:hint="eastAsia" w:ascii="宋体" w:hAnsi="宋体" w:cs="黑体"/>
                <w:snapToGrid w:val="0"/>
                <w:color w:val="000000"/>
                <w:spacing w:val="-1"/>
                <w:szCs w:val="21"/>
                <w:lang w:eastAsia="zh-CN"/>
              </w:rPr>
              <w:t>须提供承诺函（须加盖投标人公章）</w:t>
            </w:r>
          </w:p>
        </w:tc>
      </w:tr>
      <w:tr w14:paraId="7457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1" w:type="dxa"/>
            <w:noWrap w:val="0"/>
            <w:vAlign w:val="center"/>
          </w:tcPr>
          <w:p w14:paraId="691747C9">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110D95C6">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restart"/>
            <w:noWrap w:val="0"/>
            <w:vAlign w:val="center"/>
          </w:tcPr>
          <w:p w14:paraId="21D9DDD6">
            <w:pPr>
              <w:kinsoku w:val="0"/>
              <w:adjustRightInd w:val="0"/>
              <w:snapToGrid w:val="0"/>
              <w:spacing w:before="58" w:line="234" w:lineRule="auto"/>
              <w:ind w:right="141"/>
              <w:textAlignment w:val="baseline"/>
              <w:rPr>
                <w:rFonts w:ascii="宋体" w:hAnsi="宋体" w:cs="黑体"/>
                <w:snapToGrid w:val="0"/>
                <w:color w:val="000000"/>
                <w:szCs w:val="21"/>
              </w:rPr>
            </w:pPr>
            <w:r>
              <w:rPr>
                <w:rFonts w:ascii="宋体" w:hAnsi="宋体" w:cs="黑体"/>
                <w:snapToGrid w:val="0"/>
                <w:color w:val="000000"/>
                <w:spacing w:val="-1"/>
                <w:szCs w:val="21"/>
              </w:rPr>
              <w:t>增值</w:t>
            </w:r>
            <w:r>
              <w:rPr>
                <w:rFonts w:ascii="宋体" w:hAnsi="宋体" w:cs="黑体"/>
                <w:snapToGrid w:val="0"/>
                <w:color w:val="000000"/>
                <w:spacing w:val="-4"/>
                <w:szCs w:val="21"/>
              </w:rPr>
              <w:t>服务</w:t>
            </w:r>
          </w:p>
        </w:tc>
        <w:tc>
          <w:tcPr>
            <w:tcW w:w="1832" w:type="dxa"/>
            <w:noWrap w:val="0"/>
            <w:vAlign w:val="center"/>
          </w:tcPr>
          <w:p w14:paraId="01B3E57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厂家升级 产品软件与扩容服务</w:t>
            </w:r>
          </w:p>
        </w:tc>
        <w:tc>
          <w:tcPr>
            <w:tcW w:w="4068" w:type="dxa"/>
            <w:noWrap w:val="0"/>
            <w:vAlign w:val="center"/>
          </w:tcPr>
          <w:p w14:paraId="183F23F8">
            <w:pPr>
              <w:kinsoku w:val="0"/>
              <w:adjustRightInd w:val="0"/>
              <w:snapToGrid w:val="0"/>
              <w:spacing w:before="264" w:line="230" w:lineRule="auto"/>
              <w:ind w:right="259"/>
              <w:textAlignment w:val="baseline"/>
              <w:rPr>
                <w:rFonts w:hint="eastAsia" w:ascii="宋体" w:hAnsi="宋体" w:cs="黑体"/>
                <w:snapToGrid w:val="0"/>
                <w:color w:val="000000"/>
                <w:szCs w:val="21"/>
              </w:rPr>
            </w:pPr>
            <w:r>
              <w:rPr>
                <w:rFonts w:ascii="宋体" w:hAnsi="宋体" w:cs="黑体"/>
                <w:snapToGrid w:val="0"/>
                <w:color w:val="000000"/>
                <w:spacing w:val="-1"/>
                <w:szCs w:val="21"/>
              </w:rPr>
              <w:t>供应商提供原厂级的部件/软件产</w:t>
            </w:r>
            <w:r>
              <w:rPr>
                <w:rFonts w:ascii="宋体" w:hAnsi="宋体" w:cs="黑体"/>
                <w:snapToGrid w:val="0"/>
                <w:color w:val="000000"/>
                <w:spacing w:val="-3"/>
                <w:szCs w:val="21"/>
              </w:rPr>
              <w:t>品升级和扩容能力</w:t>
            </w:r>
            <w:r>
              <w:rPr>
                <w:rFonts w:hint="eastAsia" w:ascii="宋体" w:hAnsi="宋体" w:cs="黑体"/>
                <w:snapToGrid w:val="0"/>
                <w:color w:val="000000"/>
                <w:spacing w:val="-3"/>
                <w:szCs w:val="21"/>
              </w:rPr>
              <w:t>。</w:t>
            </w:r>
          </w:p>
        </w:tc>
        <w:tc>
          <w:tcPr>
            <w:tcW w:w="1525" w:type="dxa"/>
            <w:noWrap w:val="0"/>
            <w:vAlign w:val="center"/>
          </w:tcPr>
          <w:p w14:paraId="01790BAF">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6600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1" w:type="dxa"/>
            <w:noWrap w:val="0"/>
            <w:vAlign w:val="center"/>
          </w:tcPr>
          <w:p w14:paraId="6EA5D6ED">
            <w:pPr>
              <w:pStyle w:val="5"/>
              <w:numPr>
                <w:ilvl w:val="0"/>
                <w:numId w:val="5"/>
              </w:numPr>
              <w:kinsoku w:val="0"/>
              <w:adjustRightInd w:val="0"/>
              <w:snapToGrid w:val="0"/>
              <w:spacing w:before="173" w:line="185" w:lineRule="auto"/>
              <w:ind w:firstLineChars="0"/>
              <w:textAlignment w:val="baseline"/>
              <w:rPr>
                <w:rFonts w:ascii="宋体" w:hAnsi="宋体" w:cs="黑体"/>
                <w:snapToGrid w:val="0"/>
                <w:color w:val="000000"/>
                <w:szCs w:val="21"/>
              </w:rPr>
            </w:pPr>
          </w:p>
        </w:tc>
        <w:tc>
          <w:tcPr>
            <w:tcW w:w="1012" w:type="dxa"/>
            <w:noWrap w:val="0"/>
            <w:vAlign w:val="center"/>
          </w:tcPr>
          <w:p w14:paraId="785E3AE4">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服务要求</w:t>
            </w:r>
          </w:p>
        </w:tc>
        <w:tc>
          <w:tcPr>
            <w:tcW w:w="1049" w:type="dxa"/>
            <w:vMerge w:val="continue"/>
            <w:noWrap w:val="0"/>
            <w:vAlign w:val="center"/>
          </w:tcPr>
          <w:p w14:paraId="31E8A00F">
            <w:pPr>
              <w:rPr>
                <w:rFonts w:ascii="宋体" w:hAnsi="宋体"/>
                <w:color w:val="000000"/>
                <w:szCs w:val="21"/>
              </w:rPr>
            </w:pPr>
          </w:p>
        </w:tc>
        <w:tc>
          <w:tcPr>
            <w:tcW w:w="1832" w:type="dxa"/>
            <w:noWrap w:val="0"/>
            <w:vAlign w:val="center"/>
          </w:tcPr>
          <w:p w14:paraId="4919C96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★提供上门服务</w:t>
            </w:r>
          </w:p>
        </w:tc>
        <w:tc>
          <w:tcPr>
            <w:tcW w:w="4068" w:type="dxa"/>
            <w:noWrap w:val="0"/>
            <w:vAlign w:val="center"/>
          </w:tcPr>
          <w:p w14:paraId="6D4E31E8">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质保期内供应商需提供上门服务的能力 (1小时内响应，4小时上门，6小时给出解决问题的方案或者故障恢复，如遇需要更换配件的情况提供，可提供备件服务。)</w:t>
            </w:r>
          </w:p>
        </w:tc>
        <w:tc>
          <w:tcPr>
            <w:tcW w:w="1525" w:type="dxa"/>
            <w:noWrap w:val="0"/>
            <w:vAlign w:val="center"/>
          </w:tcPr>
          <w:p w14:paraId="2F584560">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36AB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51" w:type="dxa"/>
            <w:noWrap w:val="0"/>
            <w:vAlign w:val="center"/>
          </w:tcPr>
          <w:p w14:paraId="5E7D4509">
            <w:pPr>
              <w:pStyle w:val="5"/>
              <w:numPr>
                <w:ilvl w:val="0"/>
                <w:numId w:val="5"/>
              </w:numPr>
              <w:kinsoku w:val="0"/>
              <w:adjustRightInd w:val="0"/>
              <w:snapToGrid w:val="0"/>
              <w:spacing w:before="58" w:line="184" w:lineRule="auto"/>
              <w:ind w:firstLineChars="0"/>
              <w:textAlignment w:val="baseline"/>
              <w:rPr>
                <w:rFonts w:ascii="宋体" w:hAnsi="宋体" w:cs="黑体"/>
                <w:snapToGrid w:val="0"/>
                <w:color w:val="000000"/>
                <w:szCs w:val="21"/>
              </w:rPr>
            </w:pPr>
          </w:p>
        </w:tc>
        <w:tc>
          <w:tcPr>
            <w:tcW w:w="1012" w:type="dxa"/>
            <w:noWrap w:val="0"/>
            <w:vAlign w:val="center"/>
          </w:tcPr>
          <w:p w14:paraId="22EF0FDC">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供保要求</w:t>
            </w:r>
          </w:p>
        </w:tc>
        <w:tc>
          <w:tcPr>
            <w:tcW w:w="1049" w:type="dxa"/>
            <w:vMerge w:val="restart"/>
            <w:noWrap w:val="0"/>
            <w:vAlign w:val="center"/>
          </w:tcPr>
          <w:p w14:paraId="4421920B">
            <w:pPr>
              <w:kinsoku w:val="0"/>
              <w:adjustRightInd w:val="0"/>
              <w:snapToGrid w:val="0"/>
              <w:spacing w:before="58" w:line="223" w:lineRule="auto"/>
              <w:textAlignment w:val="baseline"/>
              <w:rPr>
                <w:rFonts w:ascii="宋体" w:hAnsi="宋体" w:cs="黑体"/>
                <w:snapToGrid w:val="0"/>
                <w:color w:val="000000"/>
                <w:szCs w:val="21"/>
              </w:rPr>
            </w:pPr>
            <w:r>
              <w:rPr>
                <w:rFonts w:ascii="宋体" w:hAnsi="宋体" w:cs="黑体"/>
                <w:snapToGrid w:val="0"/>
                <w:color w:val="000000"/>
                <w:spacing w:val="-1"/>
                <w:szCs w:val="21"/>
              </w:rPr>
              <w:t>供应</w:t>
            </w:r>
            <w:r>
              <w:rPr>
                <w:rFonts w:ascii="宋体" w:hAnsi="宋体" w:cs="黑体"/>
                <w:snapToGrid w:val="0"/>
                <w:color w:val="000000"/>
                <w:spacing w:val="-3"/>
                <w:szCs w:val="21"/>
              </w:rPr>
              <w:t>链质</w:t>
            </w:r>
            <w:r>
              <w:rPr>
                <w:rFonts w:ascii="宋体" w:hAnsi="宋体" w:cs="黑体"/>
                <w:snapToGrid w:val="0"/>
                <w:color w:val="000000"/>
                <w:szCs w:val="21"/>
              </w:rPr>
              <w:t>量</w:t>
            </w:r>
          </w:p>
        </w:tc>
        <w:tc>
          <w:tcPr>
            <w:tcW w:w="1832" w:type="dxa"/>
            <w:noWrap w:val="0"/>
            <w:vAlign w:val="center"/>
          </w:tcPr>
          <w:p w14:paraId="530B5291">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抗干扰性</w:t>
            </w:r>
          </w:p>
        </w:tc>
        <w:tc>
          <w:tcPr>
            <w:tcW w:w="4068" w:type="dxa"/>
            <w:noWrap w:val="0"/>
            <w:vAlign w:val="center"/>
          </w:tcPr>
          <w:p w14:paraId="4D57A62F">
            <w:pPr>
              <w:kinsoku w:val="0"/>
              <w:adjustRightInd w:val="0"/>
              <w:snapToGrid w:val="0"/>
              <w:spacing w:before="40" w:line="234" w:lineRule="auto"/>
              <w:ind w:right="168"/>
              <w:textAlignment w:val="baseline"/>
              <w:rPr>
                <w:rFonts w:ascii="宋体" w:hAnsi="宋体" w:cs="黑体"/>
                <w:snapToGrid w:val="0"/>
                <w:color w:val="000000"/>
                <w:szCs w:val="21"/>
              </w:rPr>
            </w:pPr>
            <w:r>
              <w:rPr>
                <w:rFonts w:ascii="宋体" w:hAnsi="宋体" w:cs="黑体"/>
                <w:snapToGrid w:val="0"/>
                <w:color w:val="000000"/>
                <w:spacing w:val="-2"/>
                <w:szCs w:val="21"/>
              </w:rPr>
              <w:t>当产品部件出现供应风险时，应通</w:t>
            </w:r>
            <w:r>
              <w:rPr>
                <w:rFonts w:ascii="宋体" w:hAnsi="宋体" w:cs="黑体"/>
                <w:snapToGrid w:val="0"/>
                <w:color w:val="000000"/>
                <w:spacing w:val="-1"/>
                <w:szCs w:val="21"/>
              </w:rPr>
              <w:t>知客户并提供风险应对方案确保产品的服务保障，必要时应停止相关</w:t>
            </w:r>
            <w:r>
              <w:rPr>
                <w:rFonts w:ascii="宋体" w:hAnsi="宋体" w:cs="黑体"/>
                <w:snapToGrid w:val="0"/>
                <w:color w:val="000000"/>
                <w:spacing w:val="-2"/>
                <w:szCs w:val="21"/>
              </w:rPr>
              <w:t>受影响产品的销售</w:t>
            </w:r>
            <w:r>
              <w:rPr>
                <w:rFonts w:hint="eastAsia" w:ascii="宋体" w:hAnsi="宋体" w:cs="黑体"/>
                <w:snapToGrid w:val="0"/>
                <w:color w:val="000000"/>
                <w:spacing w:val="-2"/>
                <w:szCs w:val="21"/>
              </w:rPr>
              <w:t>，供应商需提供承诺书。</w:t>
            </w:r>
          </w:p>
        </w:tc>
        <w:tc>
          <w:tcPr>
            <w:tcW w:w="1525" w:type="dxa"/>
            <w:noWrap w:val="0"/>
            <w:vAlign w:val="center"/>
          </w:tcPr>
          <w:p w14:paraId="28722079">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r w14:paraId="465E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51" w:type="dxa"/>
            <w:noWrap w:val="0"/>
            <w:vAlign w:val="center"/>
          </w:tcPr>
          <w:p w14:paraId="3D6E09F3">
            <w:pPr>
              <w:pStyle w:val="5"/>
              <w:numPr>
                <w:ilvl w:val="0"/>
                <w:numId w:val="5"/>
              </w:numPr>
              <w:kinsoku w:val="0"/>
              <w:adjustRightInd w:val="0"/>
              <w:snapToGrid w:val="0"/>
              <w:spacing w:before="59" w:line="184" w:lineRule="auto"/>
              <w:ind w:firstLineChars="0"/>
              <w:textAlignment w:val="baseline"/>
              <w:rPr>
                <w:rFonts w:ascii="宋体" w:hAnsi="宋体" w:cs="黑体"/>
                <w:snapToGrid w:val="0"/>
                <w:color w:val="000000"/>
                <w:szCs w:val="21"/>
              </w:rPr>
            </w:pPr>
          </w:p>
        </w:tc>
        <w:tc>
          <w:tcPr>
            <w:tcW w:w="1012" w:type="dxa"/>
            <w:noWrap w:val="0"/>
            <w:vAlign w:val="center"/>
          </w:tcPr>
          <w:p w14:paraId="0B8BAE8B">
            <w:pPr>
              <w:kinsoku w:val="0"/>
              <w:adjustRightInd w:val="0"/>
              <w:snapToGrid w:val="0"/>
              <w:spacing w:before="59" w:line="223" w:lineRule="auto"/>
              <w:textAlignment w:val="baseline"/>
              <w:rPr>
                <w:rFonts w:ascii="宋体" w:hAnsi="宋体" w:cs="黑体"/>
                <w:snapToGrid w:val="0"/>
                <w:color w:val="000000"/>
                <w:spacing w:val="-2"/>
                <w:szCs w:val="21"/>
              </w:rPr>
            </w:pPr>
            <w:r>
              <w:rPr>
                <w:rFonts w:ascii="宋体" w:hAnsi="宋体" w:cs="黑体"/>
                <w:snapToGrid w:val="0"/>
                <w:color w:val="000000"/>
                <w:spacing w:val="-2"/>
                <w:szCs w:val="21"/>
              </w:rPr>
              <w:t>供保要求</w:t>
            </w:r>
          </w:p>
        </w:tc>
        <w:tc>
          <w:tcPr>
            <w:tcW w:w="1049" w:type="dxa"/>
            <w:vMerge w:val="continue"/>
            <w:noWrap w:val="0"/>
            <w:vAlign w:val="center"/>
          </w:tcPr>
          <w:p w14:paraId="6A33F7FD">
            <w:pPr>
              <w:rPr>
                <w:rFonts w:ascii="宋体" w:hAnsi="宋体"/>
                <w:color w:val="000000"/>
                <w:szCs w:val="21"/>
              </w:rPr>
            </w:pPr>
          </w:p>
        </w:tc>
        <w:tc>
          <w:tcPr>
            <w:tcW w:w="1832" w:type="dxa"/>
            <w:noWrap w:val="0"/>
            <w:vAlign w:val="center"/>
          </w:tcPr>
          <w:p w14:paraId="60545089">
            <w:pPr>
              <w:kinsoku w:val="0"/>
              <w:adjustRightInd w:val="0"/>
              <w:snapToGrid w:val="0"/>
              <w:spacing w:before="159" w:line="238" w:lineRule="auto"/>
              <w:ind w:right="126"/>
              <w:textAlignment w:val="baseline"/>
              <w:rPr>
                <w:rFonts w:ascii="宋体" w:hAnsi="宋体" w:cs="黑体"/>
                <w:snapToGrid w:val="0"/>
                <w:color w:val="000000"/>
                <w:spacing w:val="-2"/>
                <w:szCs w:val="21"/>
              </w:rPr>
            </w:pPr>
            <w:r>
              <w:rPr>
                <w:rFonts w:hint="eastAsia" w:ascii="宋体" w:hAnsi="宋体" w:cs="黑体"/>
                <w:snapToGrid w:val="0"/>
                <w:color w:val="000000"/>
                <w:spacing w:val="-2"/>
                <w:szCs w:val="21"/>
              </w:rPr>
              <w:t>★</w:t>
            </w:r>
            <w:r>
              <w:rPr>
                <w:rFonts w:ascii="宋体" w:hAnsi="宋体" w:cs="黑体"/>
                <w:snapToGrid w:val="0"/>
                <w:color w:val="000000"/>
                <w:spacing w:val="-2"/>
                <w:szCs w:val="21"/>
              </w:rPr>
              <w:t>供应能力证明</w:t>
            </w:r>
          </w:p>
        </w:tc>
        <w:tc>
          <w:tcPr>
            <w:tcW w:w="4068" w:type="dxa"/>
            <w:noWrap w:val="0"/>
            <w:vAlign w:val="center"/>
          </w:tcPr>
          <w:p w14:paraId="1817793F">
            <w:pPr>
              <w:kinsoku w:val="0"/>
              <w:adjustRightInd w:val="0"/>
              <w:snapToGrid w:val="0"/>
              <w:spacing w:before="159" w:line="238" w:lineRule="auto"/>
              <w:ind w:right="126"/>
              <w:textAlignment w:val="baseline"/>
              <w:rPr>
                <w:rFonts w:ascii="宋体" w:hAnsi="宋体" w:cs="黑体"/>
                <w:snapToGrid w:val="0"/>
                <w:color w:val="000000"/>
                <w:szCs w:val="21"/>
              </w:rPr>
            </w:pPr>
            <w:r>
              <w:rPr>
                <w:rFonts w:ascii="宋体" w:hAnsi="宋体" w:cs="黑体"/>
                <w:snapToGrid w:val="0"/>
                <w:color w:val="000000"/>
                <w:spacing w:val="-1"/>
                <w:szCs w:val="21"/>
              </w:rPr>
              <w:t>供应商提供供应链稳定承诺书，确保产品的部件在产品服务周期内稳</w:t>
            </w:r>
            <w:r>
              <w:rPr>
                <w:rFonts w:ascii="宋体" w:hAnsi="宋体" w:cs="黑体"/>
                <w:snapToGrid w:val="0"/>
                <w:color w:val="000000"/>
                <w:spacing w:val="-2"/>
                <w:szCs w:val="21"/>
              </w:rPr>
              <w:t>定供货</w:t>
            </w:r>
            <w:r>
              <w:rPr>
                <w:rFonts w:hint="eastAsia" w:ascii="宋体" w:hAnsi="宋体" w:cs="黑体"/>
                <w:snapToGrid w:val="0"/>
                <w:color w:val="000000"/>
                <w:spacing w:val="-2"/>
                <w:szCs w:val="21"/>
              </w:rPr>
              <w:t>。</w:t>
            </w:r>
          </w:p>
        </w:tc>
        <w:tc>
          <w:tcPr>
            <w:tcW w:w="1525" w:type="dxa"/>
            <w:noWrap w:val="0"/>
            <w:vAlign w:val="center"/>
          </w:tcPr>
          <w:p w14:paraId="6AC7FB59">
            <w:pPr>
              <w:kinsoku w:val="0"/>
              <w:adjustRightInd w:val="0"/>
              <w:snapToGrid w:val="0"/>
              <w:spacing w:before="162" w:line="221" w:lineRule="auto"/>
              <w:jc w:val="center"/>
              <w:textAlignment w:val="baseline"/>
              <w:rPr>
                <w:rFonts w:ascii="宋体" w:hAnsi="宋体" w:cs="黑体"/>
                <w:snapToGrid w:val="0"/>
                <w:color w:val="000000"/>
                <w:spacing w:val="-1"/>
                <w:szCs w:val="21"/>
              </w:rPr>
            </w:pPr>
            <w:r>
              <w:rPr>
                <w:rFonts w:hint="eastAsia" w:ascii="宋体" w:hAnsi="宋体" w:cs="黑体"/>
                <w:snapToGrid w:val="0"/>
                <w:color w:val="000000"/>
                <w:spacing w:val="-1"/>
                <w:szCs w:val="21"/>
              </w:rPr>
              <w:t>是</w:t>
            </w:r>
          </w:p>
        </w:tc>
      </w:tr>
    </w:tbl>
    <w:p w14:paraId="76FB972D">
      <w:pPr>
        <w:widowControl/>
        <w:numPr>
          <w:ilvl w:val="0"/>
          <w:numId w:val="4"/>
        </w:numPr>
        <w:spacing w:line="360" w:lineRule="auto"/>
        <w:contextualSpacing/>
        <w:rPr>
          <w:rFonts w:hint="eastAsia"/>
          <w:sz w:val="24"/>
        </w:rPr>
      </w:pPr>
      <w:r>
        <w:rPr>
          <w:rFonts w:hint="eastAsia"/>
          <w:sz w:val="24"/>
        </w:rPr>
        <w:t>备份一体机</w:t>
      </w:r>
    </w:p>
    <w:p w14:paraId="50E07CBC">
      <w:pPr>
        <w:kinsoku w:val="0"/>
        <w:snapToGrid w:val="0"/>
        <w:spacing w:before="59" w:line="223" w:lineRule="auto"/>
        <w:textAlignment w:val="baseline"/>
        <w:rPr>
          <w:rFonts w:hint="eastAsia"/>
          <w:sz w:val="24"/>
        </w:rPr>
      </w:pPr>
      <w:r>
        <w:rPr>
          <w:rFonts w:ascii="宋体" w:hAnsi="宋体" w:cs="黑体"/>
          <w:b/>
          <w:bCs/>
          <w:snapToGrid w:val="0"/>
          <w:color w:val="000000"/>
          <w:spacing w:val="-2"/>
          <w:szCs w:val="21"/>
        </w:rPr>
        <w:t>指标要求中如有“供应商给出......”等表述要求的，请投标人明确提供响应具体内容。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027"/>
        <w:gridCol w:w="4246"/>
        <w:gridCol w:w="864"/>
        <w:gridCol w:w="974"/>
      </w:tblGrid>
      <w:tr w14:paraId="3D66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026" w:type="dxa"/>
            <w:noWrap w:val="0"/>
            <w:vAlign w:val="top"/>
          </w:tcPr>
          <w:p w14:paraId="57240F4D">
            <w:pPr>
              <w:jc w:val="left"/>
            </w:pPr>
            <w:r>
              <w:rPr>
                <w:b/>
                <w:bCs/>
              </w:rPr>
              <w:t>序号</w:t>
            </w:r>
          </w:p>
        </w:tc>
        <w:tc>
          <w:tcPr>
            <w:tcW w:w="2027" w:type="dxa"/>
            <w:noWrap w:val="0"/>
            <w:vAlign w:val="top"/>
          </w:tcPr>
          <w:p w14:paraId="012640C5">
            <w:pPr>
              <w:jc w:val="left"/>
            </w:pPr>
            <w:r>
              <w:rPr>
                <w:b/>
                <w:bCs/>
              </w:rPr>
              <w:t>标的名称</w:t>
            </w:r>
          </w:p>
        </w:tc>
        <w:tc>
          <w:tcPr>
            <w:tcW w:w="4246" w:type="dxa"/>
            <w:noWrap w:val="0"/>
            <w:vAlign w:val="top"/>
          </w:tcPr>
          <w:p w14:paraId="5FE86E82">
            <w:pPr>
              <w:jc w:val="left"/>
            </w:pPr>
            <w:r>
              <w:rPr>
                <w:rFonts w:hint="eastAsia"/>
                <w:b/>
                <w:bCs/>
              </w:rPr>
              <w:t>招标参数</w:t>
            </w:r>
          </w:p>
        </w:tc>
        <w:tc>
          <w:tcPr>
            <w:tcW w:w="864" w:type="dxa"/>
            <w:noWrap w:val="0"/>
            <w:vAlign w:val="top"/>
          </w:tcPr>
          <w:p w14:paraId="0E17F69D">
            <w:pPr>
              <w:jc w:val="left"/>
              <w:rPr>
                <w:rFonts w:hint="eastAsia"/>
              </w:rPr>
            </w:pPr>
            <w:r>
              <w:rPr>
                <w:rFonts w:hint="eastAsia"/>
                <w:b/>
                <w:bCs/>
              </w:rPr>
              <w:t>数量</w:t>
            </w:r>
          </w:p>
        </w:tc>
        <w:tc>
          <w:tcPr>
            <w:tcW w:w="974" w:type="dxa"/>
            <w:noWrap w:val="0"/>
            <w:vAlign w:val="top"/>
          </w:tcPr>
          <w:p w14:paraId="439EB91B">
            <w:pPr>
              <w:jc w:val="left"/>
              <w:rPr>
                <w:rFonts w:hint="eastAsia"/>
              </w:rPr>
            </w:pPr>
            <w:r>
              <w:rPr>
                <w:rFonts w:hint="eastAsia"/>
                <w:b/>
                <w:bCs/>
              </w:rPr>
              <w:t>单位</w:t>
            </w:r>
          </w:p>
        </w:tc>
      </w:tr>
      <w:tr w14:paraId="5820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026" w:type="dxa"/>
            <w:noWrap w:val="0"/>
            <w:vAlign w:val="top"/>
          </w:tcPr>
          <w:p w14:paraId="5D1D1BB7">
            <w:pPr>
              <w:jc w:val="left"/>
              <w:rPr>
                <w:rFonts w:hint="eastAsia"/>
              </w:rPr>
            </w:pPr>
            <w:r>
              <w:rPr>
                <w:rFonts w:hint="eastAsia"/>
              </w:rPr>
              <w:t>1</w:t>
            </w:r>
          </w:p>
        </w:tc>
        <w:tc>
          <w:tcPr>
            <w:tcW w:w="2027" w:type="dxa"/>
            <w:noWrap w:val="0"/>
            <w:vAlign w:val="top"/>
          </w:tcPr>
          <w:p w14:paraId="259B6C3B">
            <w:pPr>
              <w:jc w:val="left"/>
            </w:pPr>
            <w:r>
              <w:rPr>
                <w:rFonts w:hint="eastAsia"/>
              </w:rPr>
              <w:t>备份一体机</w:t>
            </w:r>
          </w:p>
        </w:tc>
        <w:tc>
          <w:tcPr>
            <w:tcW w:w="4246" w:type="dxa"/>
            <w:noWrap w:val="0"/>
            <w:vAlign w:val="top"/>
          </w:tcPr>
          <w:p w14:paraId="4A94C1CD">
            <w:pPr>
              <w:jc w:val="left"/>
              <w:rPr>
                <w:rFonts w:hint="eastAsia"/>
              </w:rPr>
            </w:pPr>
            <w:r>
              <w:t>★</w:t>
            </w:r>
            <w:r>
              <w:rPr>
                <w:rFonts w:hint="eastAsia"/>
              </w:rPr>
              <w:t>4U机架式，内存≥128GB，</w:t>
            </w:r>
            <w:r>
              <w:rPr>
                <w:rFonts w:hint="eastAsia"/>
                <w:lang w:val="en-US" w:eastAsia="zh-CN"/>
              </w:rPr>
              <w:t>CPU≥</w:t>
            </w:r>
            <w:r>
              <w:rPr>
                <w:rFonts w:hint="eastAsia"/>
              </w:rPr>
              <w:t>2颗，主频≥2.1GHz，</w:t>
            </w:r>
            <w:r>
              <w:rPr>
                <w:rFonts w:hint="eastAsia"/>
                <w:lang w:val="en-US" w:eastAsia="zh-CN"/>
              </w:rPr>
              <w:t>单颗核数≥12核。</w:t>
            </w:r>
            <w:r>
              <w:rPr>
                <w:rFonts w:hint="eastAsia"/>
              </w:rPr>
              <w:t>万兆光口（含光模块）≥6个，千兆网口≥2个， 480GB SSD系统盘≥2块， 7.2K硬盘裸容量≥120TB，电源≥2个；配置≥100TB定时备份功能授权，授权范围内不限备份对象（文件、数据库、虚拟机等）源端数量。</w:t>
            </w:r>
          </w:p>
        </w:tc>
        <w:tc>
          <w:tcPr>
            <w:tcW w:w="864" w:type="dxa"/>
            <w:noWrap w:val="0"/>
            <w:vAlign w:val="top"/>
          </w:tcPr>
          <w:p w14:paraId="639AABED">
            <w:pPr>
              <w:jc w:val="left"/>
            </w:pPr>
            <w:r>
              <w:rPr>
                <w:rFonts w:hint="eastAsia"/>
              </w:rPr>
              <w:t>1</w:t>
            </w:r>
          </w:p>
        </w:tc>
        <w:tc>
          <w:tcPr>
            <w:tcW w:w="974" w:type="dxa"/>
            <w:noWrap w:val="0"/>
            <w:vAlign w:val="top"/>
          </w:tcPr>
          <w:p w14:paraId="3B03226D">
            <w:pPr>
              <w:jc w:val="left"/>
            </w:pPr>
            <w:r>
              <w:rPr>
                <w:rFonts w:hint="eastAsia"/>
              </w:rPr>
              <w:t>台</w:t>
            </w:r>
          </w:p>
        </w:tc>
      </w:tr>
    </w:tbl>
    <w:p w14:paraId="106B13A7">
      <w:pPr>
        <w:widowControl/>
        <w:spacing w:line="360" w:lineRule="auto"/>
        <w:contextualSpacing/>
        <w:rPr>
          <w:rFonts w:hint="eastAsia"/>
          <w:sz w:val="24"/>
        </w:rPr>
      </w:pPr>
    </w:p>
    <w:p w14:paraId="497450D2">
      <w:pPr>
        <w:widowControl/>
        <w:spacing w:line="360" w:lineRule="auto"/>
        <w:ind w:firstLine="480" w:firstLineChars="200"/>
        <w:contextualSpacing/>
        <w:rPr>
          <w:sz w:val="24"/>
        </w:rPr>
      </w:pPr>
      <w:r>
        <w:rPr>
          <w:sz w:val="24"/>
        </w:rPr>
        <w:t>2.2采购标的需满足的服务标准、期限、效率等要求</w:t>
      </w:r>
    </w:p>
    <w:tbl>
      <w:tblPr>
        <w:tblStyle w:val="3"/>
        <w:tblW w:w="0" w:type="auto"/>
        <w:tblInd w:w="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Layout w:type="fixed"/>
        <w:tblCellMar>
          <w:top w:w="0" w:type="dxa"/>
          <w:left w:w="108" w:type="dxa"/>
          <w:bottom w:w="0" w:type="dxa"/>
          <w:right w:w="108" w:type="dxa"/>
        </w:tblCellMar>
      </w:tblPr>
      <w:tblGrid>
        <w:gridCol w:w="427"/>
        <w:gridCol w:w="524"/>
        <w:gridCol w:w="456"/>
        <w:gridCol w:w="7965"/>
        <w:gridCol w:w="763"/>
      </w:tblGrid>
      <w:tr w14:paraId="39EBF18A">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427" w:type="dxa"/>
            <w:noWrap w:val="0"/>
            <w:vAlign w:val="top"/>
          </w:tcPr>
          <w:p w14:paraId="57DE7AA6">
            <w:pPr>
              <w:jc w:val="left"/>
            </w:pPr>
            <w:r>
              <w:rPr>
                <w:b/>
                <w:bCs/>
              </w:rPr>
              <w:t>序号</w:t>
            </w:r>
          </w:p>
        </w:tc>
        <w:tc>
          <w:tcPr>
            <w:tcW w:w="524" w:type="dxa"/>
            <w:noWrap w:val="0"/>
            <w:vAlign w:val="top"/>
          </w:tcPr>
          <w:p w14:paraId="1673031D">
            <w:pPr>
              <w:jc w:val="left"/>
            </w:pPr>
            <w:r>
              <w:rPr>
                <w:b/>
                <w:bCs/>
              </w:rPr>
              <w:t>内容</w:t>
            </w:r>
          </w:p>
        </w:tc>
        <w:tc>
          <w:tcPr>
            <w:tcW w:w="456" w:type="dxa"/>
            <w:noWrap w:val="0"/>
            <w:vAlign w:val="top"/>
          </w:tcPr>
          <w:p w14:paraId="1BE88704">
            <w:pPr>
              <w:jc w:val="left"/>
            </w:pPr>
            <w:r>
              <w:rPr>
                <w:b/>
                <w:bCs/>
              </w:rPr>
              <w:t>重要性</w:t>
            </w:r>
          </w:p>
        </w:tc>
        <w:tc>
          <w:tcPr>
            <w:tcW w:w="7965" w:type="dxa"/>
            <w:noWrap w:val="0"/>
            <w:vAlign w:val="top"/>
          </w:tcPr>
          <w:p w14:paraId="20482331">
            <w:pPr>
              <w:jc w:val="left"/>
            </w:pPr>
            <w:r>
              <w:rPr>
                <w:b/>
                <w:bCs/>
              </w:rPr>
              <w:t>服务要求标注</w:t>
            </w:r>
          </w:p>
        </w:tc>
        <w:tc>
          <w:tcPr>
            <w:tcW w:w="763" w:type="dxa"/>
            <w:noWrap w:val="0"/>
            <w:vAlign w:val="top"/>
          </w:tcPr>
          <w:p w14:paraId="1A0C5E38">
            <w:pPr>
              <w:jc w:val="left"/>
            </w:pPr>
            <w:r>
              <w:rPr>
                <w:b/>
                <w:bCs/>
              </w:rPr>
              <w:t>证明材料要求</w:t>
            </w:r>
          </w:p>
        </w:tc>
      </w:tr>
      <w:tr w14:paraId="4F8CC407">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427" w:type="dxa"/>
            <w:noWrap w:val="0"/>
            <w:vAlign w:val="top"/>
          </w:tcPr>
          <w:p w14:paraId="2C56044B">
            <w:pPr>
              <w:jc w:val="left"/>
            </w:pPr>
            <w:r>
              <w:t>1</w:t>
            </w:r>
          </w:p>
        </w:tc>
        <w:tc>
          <w:tcPr>
            <w:tcW w:w="524" w:type="dxa"/>
            <w:noWrap w:val="0"/>
            <w:vAlign w:val="top"/>
          </w:tcPr>
          <w:p w14:paraId="11ED5B89">
            <w:pPr>
              <w:jc w:val="left"/>
            </w:pPr>
            <w:r>
              <w:t>实施费用</w:t>
            </w:r>
          </w:p>
        </w:tc>
        <w:tc>
          <w:tcPr>
            <w:tcW w:w="456" w:type="dxa"/>
            <w:noWrap w:val="0"/>
            <w:vAlign w:val="top"/>
          </w:tcPr>
          <w:p w14:paraId="4B939978">
            <w:pPr>
              <w:jc w:val="left"/>
            </w:pPr>
            <w:r>
              <w:t>★</w:t>
            </w:r>
          </w:p>
        </w:tc>
        <w:tc>
          <w:tcPr>
            <w:tcW w:w="7965" w:type="dxa"/>
            <w:noWrap w:val="0"/>
            <w:vAlign w:val="top"/>
          </w:tcPr>
          <w:p w14:paraId="5613DC62">
            <w:pPr>
              <w:jc w:val="left"/>
            </w:pPr>
            <w:r>
              <w:t>本项目涉及</w:t>
            </w:r>
            <w:bookmarkStart w:id="5" w:name="OLE_LINK4"/>
            <w:r>
              <w:rPr>
                <w:rFonts w:hint="eastAsia"/>
              </w:rPr>
              <w:t>采购人</w:t>
            </w:r>
            <w:bookmarkEnd w:id="5"/>
            <w:r>
              <w:t>业务、数据的迁移，包括异构系统适配、数据清洗转换、业务逻辑重构，需要中标方进行实施，由此产生的实施费用，需中标</w:t>
            </w:r>
            <w:r>
              <w:rPr>
                <w:rFonts w:hint="eastAsia"/>
              </w:rPr>
              <w:t>人</w:t>
            </w:r>
            <w:r>
              <w:t>自行承担。（提供书面承诺函）</w:t>
            </w:r>
          </w:p>
        </w:tc>
        <w:tc>
          <w:tcPr>
            <w:tcW w:w="763" w:type="dxa"/>
            <w:noWrap w:val="0"/>
            <w:vAlign w:val="top"/>
          </w:tcPr>
          <w:p w14:paraId="03865065">
            <w:pPr>
              <w:jc w:val="left"/>
            </w:pPr>
            <w:r>
              <w:t>是</w:t>
            </w:r>
          </w:p>
        </w:tc>
      </w:tr>
      <w:tr w14:paraId="7F253E37">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427" w:type="dxa"/>
            <w:noWrap w:val="0"/>
            <w:vAlign w:val="top"/>
          </w:tcPr>
          <w:p w14:paraId="72917AB1">
            <w:pPr>
              <w:jc w:val="left"/>
            </w:pPr>
            <w:r>
              <w:t>2</w:t>
            </w:r>
          </w:p>
        </w:tc>
        <w:tc>
          <w:tcPr>
            <w:tcW w:w="524" w:type="dxa"/>
            <w:noWrap w:val="0"/>
            <w:vAlign w:val="top"/>
          </w:tcPr>
          <w:p w14:paraId="0A31A634">
            <w:pPr>
              <w:jc w:val="left"/>
            </w:pPr>
            <w:r>
              <w:t>业务迁移</w:t>
            </w:r>
          </w:p>
        </w:tc>
        <w:tc>
          <w:tcPr>
            <w:tcW w:w="456" w:type="dxa"/>
            <w:noWrap w:val="0"/>
            <w:vAlign w:val="top"/>
          </w:tcPr>
          <w:p w14:paraId="3A16319F">
            <w:pPr>
              <w:jc w:val="left"/>
            </w:pPr>
            <w:r>
              <w:t>★</w:t>
            </w:r>
          </w:p>
        </w:tc>
        <w:tc>
          <w:tcPr>
            <w:tcW w:w="7965" w:type="dxa"/>
            <w:noWrap w:val="0"/>
            <w:vAlign w:val="top"/>
          </w:tcPr>
          <w:p w14:paraId="6F6B6F0C">
            <w:pPr>
              <w:jc w:val="left"/>
            </w:pPr>
            <w:r>
              <w:t>中标</w:t>
            </w:r>
            <w:r>
              <w:rPr>
                <w:rFonts w:hint="eastAsia"/>
              </w:rPr>
              <w:t>人</w:t>
            </w:r>
            <w:r>
              <w:t>需确保核心业务系统及关键数据在迁移全程保持在线可用状态，不能中断。若未能达到</w:t>
            </w:r>
            <w:r>
              <w:rPr>
                <w:rFonts w:hint="eastAsia"/>
              </w:rPr>
              <w:t>采购人</w:t>
            </w:r>
            <w:r>
              <w:t>要求，对</w:t>
            </w:r>
            <w:r>
              <w:rPr>
                <w:rFonts w:hint="eastAsia"/>
              </w:rPr>
              <w:t>采购人</w:t>
            </w:r>
            <w:r>
              <w:t>业务造成的损失，中标</w:t>
            </w:r>
            <w:r>
              <w:rPr>
                <w:rFonts w:hint="eastAsia"/>
              </w:rPr>
              <w:t>人</w:t>
            </w:r>
            <w:r>
              <w:t>承担相应赔偿责任。（提供书面承诺函）</w:t>
            </w:r>
          </w:p>
        </w:tc>
        <w:tc>
          <w:tcPr>
            <w:tcW w:w="763" w:type="dxa"/>
            <w:noWrap w:val="0"/>
            <w:vAlign w:val="top"/>
          </w:tcPr>
          <w:p w14:paraId="2477F7B1">
            <w:pPr>
              <w:jc w:val="left"/>
            </w:pPr>
            <w:r>
              <w:t>是</w:t>
            </w:r>
          </w:p>
        </w:tc>
      </w:tr>
      <w:tr w14:paraId="4A913BE7">
        <w:tblPrEx>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top w:w="0" w:type="dxa"/>
            <w:left w:w="108" w:type="dxa"/>
            <w:bottom w:w="0" w:type="dxa"/>
            <w:right w:w="108" w:type="dxa"/>
          </w:tblCellMar>
        </w:tblPrEx>
        <w:trPr>
          <w:trHeight w:val="756" w:hRule="atLeast"/>
        </w:trPr>
        <w:tc>
          <w:tcPr>
            <w:tcW w:w="427" w:type="dxa"/>
            <w:noWrap w:val="0"/>
            <w:vAlign w:val="top"/>
          </w:tcPr>
          <w:p w14:paraId="7DDCA0AE">
            <w:pPr>
              <w:jc w:val="left"/>
            </w:pPr>
            <w:r>
              <w:t>3</w:t>
            </w:r>
          </w:p>
        </w:tc>
        <w:tc>
          <w:tcPr>
            <w:tcW w:w="524" w:type="dxa"/>
            <w:noWrap w:val="0"/>
            <w:vAlign w:val="top"/>
          </w:tcPr>
          <w:p w14:paraId="1E037081">
            <w:pPr>
              <w:jc w:val="left"/>
            </w:pPr>
            <w:r>
              <w:t>实施规划</w:t>
            </w:r>
          </w:p>
        </w:tc>
        <w:tc>
          <w:tcPr>
            <w:tcW w:w="456" w:type="dxa"/>
            <w:noWrap w:val="0"/>
            <w:vAlign w:val="top"/>
          </w:tcPr>
          <w:p w14:paraId="3905AC4F">
            <w:pPr>
              <w:jc w:val="left"/>
            </w:pPr>
            <w:r>
              <w:t>★</w:t>
            </w:r>
          </w:p>
        </w:tc>
        <w:tc>
          <w:tcPr>
            <w:tcW w:w="7965" w:type="dxa"/>
            <w:noWrap w:val="0"/>
            <w:vAlign w:val="top"/>
          </w:tcPr>
          <w:p w14:paraId="4FD3BE6D">
            <w:pPr>
              <w:jc w:val="left"/>
            </w:pPr>
            <w:r>
              <w:t>本迁移工程实施周期需遵循</w:t>
            </w:r>
            <w:r>
              <w:rPr>
                <w:rFonts w:hint="eastAsia"/>
              </w:rPr>
              <w:t>采购人</w:t>
            </w:r>
            <w:r>
              <w:t>信息化建设总体规划，中标</w:t>
            </w:r>
            <w:r>
              <w:rPr>
                <w:rFonts w:hint="eastAsia"/>
              </w:rPr>
              <w:t>人</w:t>
            </w:r>
            <w:r>
              <w:t>应于中标后10日内提交详细的系统割接方案。（提供书面承诺函）</w:t>
            </w:r>
          </w:p>
        </w:tc>
        <w:tc>
          <w:tcPr>
            <w:tcW w:w="763" w:type="dxa"/>
            <w:noWrap w:val="0"/>
            <w:vAlign w:val="top"/>
          </w:tcPr>
          <w:p w14:paraId="580D04AC">
            <w:pPr>
              <w:jc w:val="left"/>
            </w:pPr>
            <w:r>
              <w:t>是</w:t>
            </w:r>
          </w:p>
        </w:tc>
      </w:tr>
    </w:tbl>
    <w:p w14:paraId="77167F51">
      <w:pPr>
        <w:widowControl/>
        <w:spacing w:line="360" w:lineRule="auto"/>
        <w:ind w:firstLine="480" w:firstLineChars="200"/>
        <w:contextualSpacing/>
        <w:rPr>
          <w:sz w:val="24"/>
        </w:rPr>
      </w:pPr>
    </w:p>
    <w:p w14:paraId="3F711511">
      <w:pPr>
        <w:widowControl/>
        <w:spacing w:line="360" w:lineRule="auto"/>
        <w:ind w:firstLine="480" w:firstLineChars="200"/>
        <w:contextualSpacing/>
        <w:rPr>
          <w:sz w:val="24"/>
        </w:rPr>
      </w:pPr>
      <w:r>
        <w:rPr>
          <w:sz w:val="24"/>
        </w:rPr>
        <w:t>2.3为落实政府采购政策需满足的要求</w:t>
      </w:r>
    </w:p>
    <w:p w14:paraId="067AF2F2">
      <w:pPr>
        <w:widowControl/>
        <w:spacing w:line="360" w:lineRule="auto"/>
        <w:ind w:firstLine="480" w:firstLineChars="200"/>
        <w:contextualSpacing/>
        <w:rPr>
          <w:rFonts w:hint="eastAsia"/>
          <w:sz w:val="24"/>
        </w:rPr>
      </w:pPr>
      <w:r>
        <w:rPr>
          <w:rFonts w:hint="eastAsia"/>
          <w:sz w:val="24"/>
        </w:rPr>
        <w:t>需满足中华人民共和国政府采购法。</w:t>
      </w:r>
    </w:p>
    <w:p w14:paraId="18728434">
      <w:pPr>
        <w:widowControl/>
        <w:spacing w:line="360" w:lineRule="auto"/>
        <w:ind w:firstLine="480" w:firstLineChars="200"/>
        <w:contextualSpacing/>
        <w:rPr>
          <w:sz w:val="24"/>
        </w:rPr>
      </w:pPr>
      <w:r>
        <w:rPr>
          <w:sz w:val="24"/>
        </w:rPr>
        <w:t>2.4采购标的的其他技术、服务等要求</w:t>
      </w:r>
    </w:p>
    <w:p w14:paraId="426FA73D">
      <w:pPr>
        <w:widowControl/>
        <w:spacing w:line="360" w:lineRule="auto"/>
        <w:ind w:firstLine="480" w:firstLineChars="200"/>
        <w:contextualSpacing/>
        <w:rPr>
          <w:rFonts w:hint="eastAsia"/>
          <w:sz w:val="24"/>
        </w:rPr>
      </w:pPr>
      <w:r>
        <w:rPr>
          <w:rFonts w:hint="eastAsia"/>
          <w:sz w:val="24"/>
        </w:rPr>
        <w:t>无</w:t>
      </w:r>
    </w:p>
    <w:p w14:paraId="6CB1EAEB">
      <w:pPr>
        <w:widowControl/>
        <w:spacing w:line="360" w:lineRule="auto"/>
        <w:ind w:firstLine="480" w:firstLineChars="200"/>
        <w:contextualSpacing/>
        <w:rPr>
          <w:sz w:val="24"/>
        </w:rPr>
      </w:pPr>
      <w:r>
        <w:rPr>
          <w:sz w:val="24"/>
        </w:rPr>
        <w:t>2.5需由</w:t>
      </w:r>
      <w:r>
        <w:rPr>
          <w:rFonts w:hint="eastAsia"/>
          <w:sz w:val="24"/>
        </w:rPr>
        <w:t>投标人</w:t>
      </w:r>
      <w:r>
        <w:rPr>
          <w:sz w:val="24"/>
        </w:rPr>
        <w:t>提供设计方案、解决方案或者组织方案的采购项目，应当说明采购标的的功能、应用场景、目标等基本要求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8615"/>
      </w:tblGrid>
      <w:tr w14:paraId="3BB5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133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78C1435">
            <w:pPr>
              <w:jc w:val="center"/>
              <w:rPr>
                <w:rFonts w:hint="eastAsia" w:ascii="宋体" w:hAnsi="宋体" w:cs="宋体"/>
                <w:szCs w:val="21"/>
              </w:rPr>
            </w:pPr>
            <w:r>
              <w:rPr>
                <w:rFonts w:hint="eastAsia" w:ascii="宋体" w:hAnsi="宋体" w:cs="宋体"/>
                <w:szCs w:val="21"/>
              </w:rPr>
              <w:t>技术方案</w:t>
            </w:r>
          </w:p>
        </w:tc>
        <w:tc>
          <w:tcPr>
            <w:tcW w:w="8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BCFDD1">
            <w:pPr>
              <w:rPr>
                <w:rFonts w:ascii="宋体" w:hAnsi="宋体" w:cs="宋体"/>
                <w:szCs w:val="21"/>
              </w:rPr>
            </w:pPr>
            <w:r>
              <w:rPr>
                <w:rFonts w:hint="eastAsia"/>
              </w:rPr>
              <w:t>提供本次项目的技术方案，方案内容包括产品功能、应用场景、培训方案的内容。</w:t>
            </w:r>
          </w:p>
        </w:tc>
      </w:tr>
      <w:tr w14:paraId="3DC1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6"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DD8D25">
            <w:pPr>
              <w:jc w:val="center"/>
              <w:rPr>
                <w:rFonts w:hint="eastAsia" w:ascii="宋体" w:hAnsi="宋体" w:cs="宋体"/>
                <w:szCs w:val="21"/>
              </w:rPr>
            </w:pPr>
            <w:r>
              <w:rPr>
                <w:rFonts w:hint="eastAsia" w:ascii="宋体" w:hAnsi="宋体" w:cs="宋体"/>
                <w:szCs w:val="21"/>
              </w:rPr>
              <w:t>迁移方案</w:t>
            </w:r>
          </w:p>
        </w:tc>
        <w:tc>
          <w:tcPr>
            <w:tcW w:w="8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30F7B1">
            <w:pPr>
              <w:rPr>
                <w:rFonts w:hint="eastAsia" w:ascii="宋体" w:hAnsi="宋体" w:cs="宋体"/>
                <w:szCs w:val="21"/>
              </w:rPr>
            </w:pPr>
            <w:r>
              <w:rPr>
                <w:rFonts w:hint="eastAsia" w:ascii="宋体" w:hAnsi="宋体" w:cs="宋体"/>
                <w:szCs w:val="21"/>
              </w:rPr>
              <w:t>提供完整的数据与业务迁移方案，包括业务连续性保障措施、应急与容灾机制、</w:t>
            </w:r>
            <w:r>
              <w:rPr>
                <w:rFonts w:hint="eastAsia"/>
              </w:rPr>
              <w:t>迁移计划与学校业务的</w:t>
            </w:r>
            <w:r>
              <w:t>贴合度</w:t>
            </w:r>
            <w:r>
              <w:rPr>
                <w:rFonts w:hint="eastAsia" w:ascii="宋体" w:hAnsi="宋体" w:cs="宋体"/>
                <w:szCs w:val="21"/>
              </w:rPr>
              <w:t>。</w:t>
            </w:r>
          </w:p>
        </w:tc>
      </w:tr>
      <w:tr w14:paraId="172E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CFD33">
            <w:pPr>
              <w:jc w:val="center"/>
              <w:rPr>
                <w:rFonts w:hint="eastAsia" w:ascii="宋体" w:hAnsi="宋体" w:cs="宋体"/>
                <w:szCs w:val="21"/>
              </w:rPr>
            </w:pPr>
            <w:r>
              <w:rPr>
                <w:rFonts w:hint="eastAsia" w:ascii="宋体" w:hAnsi="宋体" w:cs="宋体"/>
                <w:szCs w:val="21"/>
              </w:rPr>
              <w:t>深度迁移对接方案策略</w:t>
            </w:r>
          </w:p>
        </w:tc>
        <w:tc>
          <w:tcPr>
            <w:tcW w:w="8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21EC9">
            <w:pPr>
              <w:rPr>
                <w:rFonts w:ascii="宋体" w:hAnsi="宋体" w:cs="宋体"/>
                <w:szCs w:val="21"/>
              </w:rPr>
            </w:pPr>
            <w:r>
              <w:rPr>
                <w:rFonts w:hint="eastAsia" w:ascii="宋体" w:hAnsi="宋体" w:cs="宋体"/>
                <w:szCs w:val="21"/>
              </w:rPr>
              <w:t>提供此次超融合与采购人现有软件厂商对接策略方案，方案内容包括软件对接深度，兼容问题、协调与冲突解决机制</w:t>
            </w:r>
            <w:r>
              <w:rPr>
                <w:rFonts w:hint="eastAsia"/>
              </w:rPr>
              <w:t>等内容</w:t>
            </w:r>
          </w:p>
        </w:tc>
      </w:tr>
    </w:tbl>
    <w:p w14:paraId="41D9F161">
      <w:pPr>
        <w:pStyle w:val="5"/>
        <w:adjustRightInd w:val="0"/>
        <w:spacing w:line="360" w:lineRule="auto"/>
        <w:ind w:firstLine="424" w:firstLineChars="177"/>
        <w:contextualSpacing/>
        <w:jc w:val="left"/>
        <w:rPr>
          <w:rFonts w:ascii="Times New Roman" w:hAnsi="Times New Roman"/>
          <w:sz w:val="24"/>
          <w:szCs w:val="24"/>
        </w:rPr>
      </w:pPr>
    </w:p>
    <w:p w14:paraId="1A070834">
      <w:pPr>
        <w:spacing w:line="360" w:lineRule="auto"/>
        <w:contextualSpacing/>
        <w:rPr>
          <w:sz w:val="24"/>
        </w:rPr>
      </w:pPr>
      <w:r>
        <w:rPr>
          <w:rFonts w:hint="eastAsia"/>
          <w:sz w:val="24"/>
        </w:rPr>
        <w:t xml:space="preserve">3. </w:t>
      </w:r>
      <w:r>
        <w:rPr>
          <w:sz w:val="24"/>
        </w:rPr>
        <w:t>验收标准</w:t>
      </w:r>
    </w:p>
    <w:p w14:paraId="7C469E09">
      <w:pPr>
        <w:numPr>
          <w:ilvl w:val="1"/>
          <w:numId w:val="6"/>
        </w:numPr>
        <w:spacing w:line="360" w:lineRule="auto"/>
        <w:contextualSpacing/>
        <w:rPr>
          <w:rFonts w:hint="eastAsia"/>
          <w:bCs/>
          <w:sz w:val="24"/>
        </w:rPr>
      </w:pPr>
      <w:r>
        <w:rPr>
          <w:rFonts w:hint="eastAsia"/>
          <w:bCs/>
          <w:sz w:val="24"/>
        </w:rPr>
        <w:t>设备进场验收的基本标准：</w:t>
      </w:r>
    </w:p>
    <w:p w14:paraId="3F5A202C">
      <w:pPr>
        <w:numPr>
          <w:ilvl w:val="2"/>
          <w:numId w:val="6"/>
        </w:numPr>
        <w:spacing w:line="360" w:lineRule="auto"/>
        <w:contextualSpacing/>
        <w:rPr>
          <w:rFonts w:hint="eastAsia"/>
          <w:bCs/>
          <w:sz w:val="24"/>
        </w:rPr>
      </w:pPr>
      <w:r>
        <w:rPr>
          <w:rFonts w:hint="eastAsia"/>
          <w:bCs/>
          <w:sz w:val="24"/>
        </w:rPr>
        <w:t>进场的系统设备包装完整无损且符合合同规定；</w:t>
      </w:r>
    </w:p>
    <w:p w14:paraId="1BB156CB">
      <w:pPr>
        <w:numPr>
          <w:ilvl w:val="2"/>
          <w:numId w:val="6"/>
        </w:numPr>
        <w:spacing w:line="360" w:lineRule="auto"/>
        <w:contextualSpacing/>
        <w:rPr>
          <w:rFonts w:hint="eastAsia"/>
          <w:bCs/>
          <w:sz w:val="24"/>
        </w:rPr>
      </w:pPr>
      <w:r>
        <w:rPr>
          <w:rFonts w:hint="eastAsia"/>
          <w:bCs/>
          <w:sz w:val="24"/>
        </w:rPr>
        <w:t>设备的品牌、规格型号、数量与合同约定一致；</w:t>
      </w:r>
    </w:p>
    <w:p w14:paraId="29868EB1">
      <w:pPr>
        <w:numPr>
          <w:ilvl w:val="2"/>
          <w:numId w:val="6"/>
        </w:numPr>
        <w:spacing w:line="360" w:lineRule="auto"/>
        <w:contextualSpacing/>
        <w:rPr>
          <w:rFonts w:hint="eastAsia"/>
          <w:bCs/>
          <w:sz w:val="24"/>
        </w:rPr>
      </w:pPr>
      <w:r>
        <w:rPr>
          <w:rFonts w:hint="eastAsia"/>
          <w:bCs/>
          <w:sz w:val="24"/>
        </w:rPr>
        <w:t>设备开箱后，根据装箱单清点核对全部零、部件、附属材料和专用工具，并检查说明书、合格证、检验记录和必要的装配图及技术文件是否齐全；</w:t>
      </w:r>
    </w:p>
    <w:p w14:paraId="4CB59898">
      <w:pPr>
        <w:numPr>
          <w:ilvl w:val="2"/>
          <w:numId w:val="6"/>
        </w:numPr>
        <w:spacing w:line="360" w:lineRule="auto"/>
        <w:contextualSpacing/>
        <w:rPr>
          <w:rFonts w:hint="eastAsia"/>
          <w:bCs/>
          <w:sz w:val="24"/>
        </w:rPr>
      </w:pPr>
      <w:r>
        <w:rPr>
          <w:rFonts w:hint="eastAsia"/>
          <w:bCs/>
          <w:sz w:val="24"/>
        </w:rPr>
        <w:t>设备及其零、部件表面无缺损和锈蚀等情况。</w:t>
      </w:r>
    </w:p>
    <w:p w14:paraId="4FCF3E11">
      <w:pPr>
        <w:numPr>
          <w:ilvl w:val="1"/>
          <w:numId w:val="6"/>
        </w:numPr>
        <w:spacing w:line="360" w:lineRule="auto"/>
        <w:contextualSpacing/>
        <w:rPr>
          <w:rFonts w:hint="eastAsia"/>
          <w:bCs/>
          <w:sz w:val="24"/>
        </w:rPr>
      </w:pPr>
      <w:r>
        <w:rPr>
          <w:rFonts w:hint="eastAsia"/>
          <w:bCs/>
          <w:sz w:val="24"/>
        </w:rPr>
        <w:t>项目实施验收的基本标准：</w:t>
      </w:r>
    </w:p>
    <w:p w14:paraId="608F44A2">
      <w:pPr>
        <w:numPr>
          <w:ilvl w:val="2"/>
          <w:numId w:val="6"/>
        </w:numPr>
        <w:spacing w:line="360" w:lineRule="auto"/>
        <w:contextualSpacing/>
        <w:rPr>
          <w:rFonts w:hint="eastAsia"/>
          <w:bCs/>
          <w:sz w:val="24"/>
        </w:rPr>
      </w:pPr>
      <w:r>
        <w:rPr>
          <w:rFonts w:hint="eastAsia"/>
          <w:bCs/>
          <w:sz w:val="24"/>
        </w:rPr>
        <w:t>项目资料完整，符合相应的国家标准和规范；</w:t>
      </w:r>
    </w:p>
    <w:p w14:paraId="0EEF7C1A">
      <w:pPr>
        <w:numPr>
          <w:ilvl w:val="2"/>
          <w:numId w:val="6"/>
        </w:numPr>
        <w:spacing w:line="360" w:lineRule="auto"/>
        <w:contextualSpacing/>
        <w:rPr>
          <w:rFonts w:hint="eastAsia"/>
          <w:bCs/>
          <w:sz w:val="24"/>
        </w:rPr>
      </w:pPr>
      <w:r>
        <w:rPr>
          <w:rFonts w:hint="eastAsia"/>
          <w:bCs/>
          <w:sz w:val="24"/>
        </w:rPr>
        <w:t>硬件设备在机柜中安装部署与机柜部署图一致，安装紧固、并对设备进行便于识别和维护的标识。</w:t>
      </w:r>
    </w:p>
    <w:p w14:paraId="35C4E29A">
      <w:pPr>
        <w:numPr>
          <w:ilvl w:val="2"/>
          <w:numId w:val="6"/>
        </w:numPr>
        <w:spacing w:line="360" w:lineRule="auto"/>
        <w:contextualSpacing/>
        <w:rPr>
          <w:bCs/>
          <w:sz w:val="24"/>
        </w:rPr>
      </w:pPr>
      <w:r>
        <w:rPr>
          <w:rFonts w:hint="eastAsia"/>
          <w:bCs/>
          <w:sz w:val="24"/>
        </w:rPr>
        <w:t>项目实施符合设计文件要求；</w:t>
      </w:r>
    </w:p>
    <w:p w14:paraId="414ACFA1">
      <w:pPr>
        <w:ind w:firstLine="720" w:firstLineChars="300"/>
      </w:pPr>
      <w:r>
        <w:rPr>
          <w:rFonts w:hint="eastAsia"/>
          <w:bCs/>
          <w:sz w:val="24"/>
          <w:lang w:eastAsia="zh-CN"/>
        </w:rPr>
        <w:t>④</w:t>
      </w:r>
      <w:r>
        <w:rPr>
          <w:rFonts w:hint="eastAsia"/>
          <w:bCs/>
          <w:sz w:val="24"/>
        </w:rPr>
        <w:t>项目功能满足采购人的实际需求。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00000002"/>
    <w:multiLevelType w:val="multilevel"/>
    <w:tmpl w:val="00000002"/>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00000003"/>
    <w:multiLevelType w:val="multilevel"/>
    <w:tmpl w:val="00000003"/>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00000005"/>
    <w:multiLevelType w:val="multilevel"/>
    <w:tmpl w:val="00000005"/>
    <w:lvl w:ilvl="0" w:tentative="0">
      <w:start w:val="1"/>
      <w:numFmt w:val="decimal"/>
      <w:lvlText w:val="%1、"/>
      <w:lvlJc w:val="left"/>
      <w:pPr>
        <w:ind w:left="670" w:hanging="670"/>
      </w:pPr>
      <w:rPr>
        <w:rFonts w:hint="eastAsia"/>
      </w:rPr>
    </w:lvl>
    <w:lvl w:ilvl="1" w:tentative="0">
      <w:start w:val="1"/>
      <w:numFmt w:val="lowerLetter"/>
      <w:lvlText w:val="%2)"/>
      <w:lvlJc w:val="left"/>
      <w:pPr>
        <w:ind w:left="1090" w:hanging="420"/>
      </w:pPr>
    </w:lvl>
    <w:lvl w:ilvl="2" w:tentative="0">
      <w:start w:val="1"/>
      <w:numFmt w:val="lowerRoman"/>
      <w:lvlText w:val="%3."/>
      <w:lvlJc w:val="right"/>
      <w:pPr>
        <w:ind w:left="1510" w:hanging="420"/>
      </w:pPr>
    </w:lvl>
    <w:lvl w:ilvl="3" w:tentative="0">
      <w:start w:val="1"/>
      <w:numFmt w:val="decimal"/>
      <w:lvlText w:val="%4."/>
      <w:lvlJc w:val="left"/>
      <w:pPr>
        <w:ind w:left="1930" w:hanging="420"/>
      </w:pPr>
    </w:lvl>
    <w:lvl w:ilvl="4" w:tentative="0">
      <w:start w:val="1"/>
      <w:numFmt w:val="lowerLetter"/>
      <w:lvlText w:val="%5)"/>
      <w:lvlJc w:val="left"/>
      <w:pPr>
        <w:ind w:left="2350" w:hanging="420"/>
      </w:pPr>
    </w:lvl>
    <w:lvl w:ilvl="5" w:tentative="0">
      <w:start w:val="1"/>
      <w:numFmt w:val="lowerRoman"/>
      <w:lvlText w:val="%6."/>
      <w:lvlJc w:val="right"/>
      <w:pPr>
        <w:ind w:left="2770" w:hanging="420"/>
      </w:pPr>
    </w:lvl>
    <w:lvl w:ilvl="6" w:tentative="0">
      <w:start w:val="1"/>
      <w:numFmt w:val="decimal"/>
      <w:lvlText w:val="%7."/>
      <w:lvlJc w:val="left"/>
      <w:pPr>
        <w:ind w:left="3190" w:hanging="420"/>
      </w:pPr>
    </w:lvl>
    <w:lvl w:ilvl="7" w:tentative="0">
      <w:start w:val="1"/>
      <w:numFmt w:val="lowerLetter"/>
      <w:lvlText w:val="%8)"/>
      <w:lvlJc w:val="left"/>
      <w:pPr>
        <w:ind w:left="3610" w:hanging="420"/>
      </w:pPr>
    </w:lvl>
    <w:lvl w:ilvl="8" w:tentative="0">
      <w:start w:val="1"/>
      <w:numFmt w:val="lowerRoman"/>
      <w:lvlText w:val="%9."/>
      <w:lvlJc w:val="right"/>
      <w:pPr>
        <w:ind w:left="4030" w:hanging="420"/>
      </w:pPr>
    </w:lvl>
  </w:abstractNum>
  <w:abstractNum w:abstractNumId="5">
    <w:nsid w:val="00000006"/>
    <w:multiLevelType w:val="multilevel"/>
    <w:tmpl w:val="00000006"/>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048D4"/>
    <w:rsid w:val="3690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2025-06-17T07:00:00Z</dcterms:created>
  <dc:creator>柠檬不萌</dc:creator>
  <cp:lastModifiedBy>柠檬不萌</cp:lastModifiedBy>
  <dcterms:modified xsi:type="dcterms:W3CDTF">2025-06-17T07:01:37Z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3A47A80DA6E942D3A6E84F140B3650E8_11</vt:lpwstr>
  </property>
  <property fmtid="{D5CDD505-2E9C-101B-9397-08002B2CF9AE}" pid="4" name="KSOTemplateDocerSaveRecord">
    <vt:lpwstr>eyJoZGlkIjoiZTljYTM5NzU5NjdjYmQxMzFlODI2NzI5ZTQ0Njg4NGMiLCJ1c2VySWQiOiIzNDcyNzI1OTkifQ==</vt:lpwstr>
  </property>
</Properties>
</file>