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highlight w:val="none"/>
        </w:rPr>
      </w:pPr>
      <w:bookmarkStart w:id="0" w:name="OLE_LINK14"/>
      <w:r>
        <w:rPr>
          <w:b/>
          <w:sz w:val="36"/>
          <w:szCs w:val="36"/>
          <w:highlight w:val="none"/>
        </w:rPr>
        <w:t>采购需求</w:t>
      </w:r>
    </w:p>
    <w:p>
      <w:pPr>
        <w:pStyle w:val="2"/>
        <w:numPr>
          <w:ilvl w:val="1"/>
          <w:numId w:val="1"/>
        </w:numPr>
        <w:jc w:val="left"/>
        <w:rPr>
          <w:rFonts w:ascii="宋体" w:hAnsi="宋体" w:eastAsia="宋体" w:cs="宋体"/>
          <w:sz w:val="24"/>
          <w:szCs w:val="24"/>
          <w:highlight w:val="none"/>
        </w:rPr>
      </w:pPr>
      <w:r>
        <w:rPr>
          <w:rFonts w:hint="eastAsia" w:ascii="宋体" w:hAnsi="宋体" w:eastAsia="宋体" w:cs="宋体"/>
          <w:sz w:val="24"/>
          <w:szCs w:val="24"/>
          <w:highlight w:val="none"/>
        </w:rPr>
        <w:t>项目背景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本项目为进一步提升现有系统能力建设，采购服务器端操作系统、数据库基础软件，完成操作系统、数据库基础软件部署安装及配合业务系统适配改造过程的调优、排错、技术支持服务等。</w:t>
      </w:r>
    </w:p>
    <w:p>
      <w:pPr>
        <w:pStyle w:val="2"/>
        <w:numPr>
          <w:ilvl w:val="1"/>
          <w:numId w:val="1"/>
        </w:numPr>
        <w:jc w:val="left"/>
        <w:rPr>
          <w:rFonts w:ascii="宋体" w:hAnsi="宋体" w:eastAsia="宋体" w:cs="宋体"/>
          <w:sz w:val="24"/>
          <w:szCs w:val="24"/>
          <w:highlight w:val="none"/>
        </w:rPr>
      </w:pPr>
      <w:r>
        <w:rPr>
          <w:rFonts w:hint="eastAsia" w:ascii="宋体" w:hAnsi="宋体" w:eastAsia="宋体" w:cs="宋体"/>
          <w:sz w:val="24"/>
          <w:szCs w:val="24"/>
          <w:highlight w:val="none"/>
        </w:rPr>
        <w:t>采购标的（本项目不接受进口产品）</w:t>
      </w:r>
    </w:p>
    <w:tbl>
      <w:tblPr>
        <w:tblStyle w:val="4"/>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2549"/>
        <w:gridCol w:w="683"/>
        <w:gridCol w:w="565"/>
        <w:gridCol w:w="2863"/>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6" w:type="dxa"/>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序号</w:t>
            </w:r>
          </w:p>
        </w:tc>
        <w:tc>
          <w:tcPr>
            <w:tcW w:w="2549" w:type="dxa"/>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采购标的名称</w:t>
            </w:r>
          </w:p>
        </w:tc>
        <w:tc>
          <w:tcPr>
            <w:tcW w:w="683" w:type="dxa"/>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w:t>
            </w:r>
          </w:p>
        </w:tc>
        <w:tc>
          <w:tcPr>
            <w:tcW w:w="565" w:type="dxa"/>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单位</w:t>
            </w:r>
          </w:p>
        </w:tc>
        <w:tc>
          <w:tcPr>
            <w:tcW w:w="2863" w:type="dxa"/>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中小企业划分标准所属行业</w:t>
            </w:r>
          </w:p>
        </w:tc>
        <w:tc>
          <w:tcPr>
            <w:tcW w:w="1064" w:type="dxa"/>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备注（核心产品）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6" w:type="dxa"/>
            <w:noWrap/>
            <w:vAlign w:val="center"/>
          </w:tcPr>
          <w:p>
            <w:pPr>
              <w:widowControl/>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2549" w:type="dxa"/>
            <w:noWrap/>
            <w:vAlign w:val="center"/>
          </w:tcPr>
          <w:p>
            <w:pPr>
              <w:widowControl/>
              <w:rPr>
                <w:rFonts w:ascii="宋体" w:hAnsi="宋体" w:cs="宋体"/>
                <w:color w:val="000000"/>
                <w:kern w:val="0"/>
                <w:sz w:val="24"/>
                <w:highlight w:val="none"/>
              </w:rPr>
            </w:pPr>
            <w:r>
              <w:rPr>
                <w:rFonts w:hint="eastAsia" w:ascii="宋体" w:hAnsi="宋体" w:cs="宋体"/>
                <w:color w:val="000000"/>
                <w:kern w:val="0"/>
                <w:sz w:val="24"/>
                <w:highlight w:val="none"/>
              </w:rPr>
              <w:t>服务器操作系统1</w:t>
            </w:r>
          </w:p>
        </w:tc>
        <w:tc>
          <w:tcPr>
            <w:tcW w:w="683" w:type="dxa"/>
            <w:noWrap/>
            <w:vAlign w:val="center"/>
          </w:tcPr>
          <w:p>
            <w:pPr>
              <w:widowControl/>
              <w:rPr>
                <w:rFonts w:ascii="宋体" w:hAnsi="宋体" w:cs="宋体"/>
                <w:color w:val="000000"/>
                <w:kern w:val="0"/>
                <w:sz w:val="24"/>
                <w:highlight w:val="none"/>
              </w:rPr>
            </w:pPr>
            <w:r>
              <w:rPr>
                <w:rFonts w:ascii="宋体" w:hAnsi="宋体" w:cs="宋体"/>
                <w:color w:val="000000"/>
                <w:kern w:val="0"/>
                <w:sz w:val="24"/>
                <w:highlight w:val="none"/>
              </w:rPr>
              <w:t>94</w:t>
            </w:r>
          </w:p>
        </w:tc>
        <w:tc>
          <w:tcPr>
            <w:tcW w:w="565" w:type="dxa"/>
            <w:noWrap/>
            <w:vAlign w:val="center"/>
          </w:tcPr>
          <w:p>
            <w:pPr>
              <w:widowControl/>
              <w:rPr>
                <w:rFonts w:ascii="宋体" w:hAnsi="宋体" w:cs="宋体"/>
                <w:color w:val="000000"/>
                <w:kern w:val="0"/>
                <w:sz w:val="24"/>
                <w:highlight w:val="none"/>
              </w:rPr>
            </w:pPr>
            <w:r>
              <w:rPr>
                <w:rFonts w:hint="eastAsia" w:ascii="宋体" w:hAnsi="宋体" w:cs="宋体"/>
                <w:color w:val="000000"/>
                <w:kern w:val="0"/>
                <w:sz w:val="24"/>
                <w:highlight w:val="none"/>
              </w:rPr>
              <w:t>套</w:t>
            </w:r>
          </w:p>
        </w:tc>
        <w:tc>
          <w:tcPr>
            <w:tcW w:w="2863" w:type="dxa"/>
            <w:noWrap/>
            <w:vAlign w:val="center"/>
          </w:tcPr>
          <w:p>
            <w:pPr>
              <w:widowControl/>
              <w:rPr>
                <w:rFonts w:ascii="宋体" w:hAnsi="宋体" w:cs="宋体"/>
                <w:color w:val="000000"/>
                <w:kern w:val="0"/>
                <w:sz w:val="24"/>
                <w:highlight w:val="none"/>
              </w:rPr>
            </w:pPr>
            <w:r>
              <w:rPr>
                <w:rFonts w:hint="eastAsia" w:ascii="宋体" w:hAnsi="宋体" w:cs="宋体"/>
                <w:color w:val="000000"/>
                <w:kern w:val="0"/>
                <w:sz w:val="24"/>
                <w:highlight w:val="none"/>
              </w:rPr>
              <w:t>软件和信息技术服务业</w:t>
            </w:r>
          </w:p>
        </w:tc>
        <w:tc>
          <w:tcPr>
            <w:tcW w:w="1064" w:type="dxa"/>
            <w:noWrap/>
            <w:vAlign w:val="center"/>
          </w:tcPr>
          <w:p>
            <w:pPr>
              <w:widowControl/>
              <w:rPr>
                <w:rFonts w:ascii="宋体" w:hAnsi="宋体" w:cs="宋体"/>
                <w:color w:val="000000"/>
                <w:kern w:val="0"/>
                <w:sz w:val="24"/>
                <w:highlight w:val="none"/>
              </w:rPr>
            </w:pPr>
            <w:r>
              <w:rPr>
                <w:rFonts w:hint="eastAsia" w:ascii="宋体" w:hAnsi="宋体" w:cs="宋体"/>
                <w:color w:val="000000"/>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6" w:type="dxa"/>
            <w:noWrap/>
            <w:vAlign w:val="center"/>
          </w:tcPr>
          <w:p>
            <w:pPr>
              <w:widowControl/>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2549" w:type="dxa"/>
            <w:noWrap/>
            <w:vAlign w:val="center"/>
          </w:tcPr>
          <w:p>
            <w:pPr>
              <w:widowControl/>
              <w:rPr>
                <w:rFonts w:ascii="宋体" w:hAnsi="宋体" w:cs="宋体"/>
                <w:color w:val="000000"/>
                <w:kern w:val="0"/>
                <w:sz w:val="24"/>
                <w:highlight w:val="none"/>
              </w:rPr>
            </w:pPr>
            <w:r>
              <w:rPr>
                <w:rFonts w:hint="eastAsia" w:ascii="宋体" w:hAnsi="宋体" w:cs="宋体"/>
                <w:color w:val="000000"/>
                <w:kern w:val="0"/>
                <w:sz w:val="24"/>
                <w:highlight w:val="none"/>
              </w:rPr>
              <w:t>服务器操作系统</w:t>
            </w:r>
            <w:r>
              <w:rPr>
                <w:rFonts w:ascii="宋体" w:hAnsi="宋体" w:cs="宋体"/>
                <w:color w:val="000000"/>
                <w:kern w:val="0"/>
                <w:sz w:val="24"/>
                <w:highlight w:val="none"/>
              </w:rPr>
              <w:t>2</w:t>
            </w:r>
          </w:p>
        </w:tc>
        <w:tc>
          <w:tcPr>
            <w:tcW w:w="683" w:type="dxa"/>
            <w:noWrap/>
            <w:vAlign w:val="center"/>
          </w:tcPr>
          <w:p>
            <w:pPr>
              <w:widowControl/>
              <w:rPr>
                <w:rFonts w:ascii="宋体" w:hAnsi="宋体" w:cs="宋体"/>
                <w:color w:val="000000"/>
                <w:kern w:val="0"/>
                <w:sz w:val="24"/>
                <w:highlight w:val="none"/>
              </w:rPr>
            </w:pPr>
            <w:r>
              <w:rPr>
                <w:rFonts w:hint="eastAsia" w:ascii="宋体" w:hAnsi="宋体" w:cs="宋体"/>
                <w:color w:val="000000"/>
                <w:kern w:val="0"/>
                <w:sz w:val="24"/>
                <w:highlight w:val="none"/>
              </w:rPr>
              <w:t>8</w:t>
            </w:r>
            <w:r>
              <w:rPr>
                <w:rFonts w:ascii="宋体" w:hAnsi="宋体" w:cs="宋体"/>
                <w:color w:val="000000"/>
                <w:kern w:val="0"/>
                <w:sz w:val="24"/>
                <w:highlight w:val="none"/>
              </w:rPr>
              <w:t>3</w:t>
            </w:r>
          </w:p>
        </w:tc>
        <w:tc>
          <w:tcPr>
            <w:tcW w:w="565" w:type="dxa"/>
            <w:noWrap/>
            <w:vAlign w:val="center"/>
          </w:tcPr>
          <w:p>
            <w:pPr>
              <w:widowControl/>
              <w:rPr>
                <w:rFonts w:ascii="宋体" w:hAnsi="宋体" w:cs="宋体"/>
                <w:color w:val="000000"/>
                <w:kern w:val="0"/>
                <w:sz w:val="24"/>
                <w:highlight w:val="none"/>
              </w:rPr>
            </w:pPr>
            <w:r>
              <w:rPr>
                <w:rFonts w:hint="eastAsia" w:ascii="宋体" w:hAnsi="宋体" w:cs="宋体"/>
                <w:color w:val="000000"/>
                <w:kern w:val="0"/>
                <w:sz w:val="24"/>
                <w:highlight w:val="none"/>
              </w:rPr>
              <w:t>套</w:t>
            </w:r>
          </w:p>
        </w:tc>
        <w:tc>
          <w:tcPr>
            <w:tcW w:w="2863" w:type="dxa"/>
            <w:noWrap/>
            <w:vAlign w:val="center"/>
          </w:tcPr>
          <w:p>
            <w:pPr>
              <w:widowControl/>
              <w:rPr>
                <w:rFonts w:ascii="宋体" w:hAnsi="宋体" w:cs="宋体"/>
                <w:color w:val="000000"/>
                <w:kern w:val="0"/>
                <w:sz w:val="24"/>
                <w:highlight w:val="none"/>
              </w:rPr>
            </w:pPr>
            <w:r>
              <w:rPr>
                <w:rFonts w:hint="eastAsia" w:ascii="宋体" w:hAnsi="宋体" w:cs="宋体"/>
                <w:color w:val="000000"/>
                <w:kern w:val="0"/>
                <w:sz w:val="24"/>
                <w:highlight w:val="none"/>
              </w:rPr>
              <w:t>软件和信息技术服务业</w:t>
            </w:r>
          </w:p>
        </w:tc>
        <w:tc>
          <w:tcPr>
            <w:tcW w:w="1064" w:type="dxa"/>
            <w:noWrap/>
            <w:vAlign w:val="center"/>
          </w:tcPr>
          <w:p>
            <w:pPr>
              <w:widowControl/>
              <w:rPr>
                <w:rFonts w:ascii="宋体" w:hAnsi="宋体" w:cs="宋体"/>
                <w:color w:val="000000"/>
                <w:kern w:val="0"/>
                <w:sz w:val="24"/>
                <w:highlight w:val="none"/>
              </w:rPr>
            </w:pPr>
            <w:r>
              <w:rPr>
                <w:rFonts w:hint="eastAsia" w:ascii="宋体" w:hAnsi="宋体" w:cs="宋体"/>
                <w:color w:val="000000"/>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6" w:type="dxa"/>
            <w:noWrap/>
            <w:vAlign w:val="center"/>
          </w:tcPr>
          <w:p>
            <w:pPr>
              <w:widowControl/>
              <w:rPr>
                <w:rFonts w:ascii="宋体" w:hAnsi="宋体" w:cs="宋体"/>
                <w:color w:val="000000"/>
                <w:kern w:val="0"/>
                <w:sz w:val="24"/>
              </w:rPr>
            </w:pPr>
            <w:r>
              <w:rPr>
                <w:rFonts w:ascii="宋体" w:hAnsi="宋体" w:cs="宋体"/>
                <w:color w:val="000000"/>
                <w:kern w:val="0"/>
                <w:sz w:val="24"/>
              </w:rPr>
              <w:t>3</w:t>
            </w:r>
          </w:p>
        </w:tc>
        <w:tc>
          <w:tcPr>
            <w:tcW w:w="2549" w:type="dxa"/>
            <w:noWrap/>
            <w:vAlign w:val="center"/>
          </w:tcPr>
          <w:p>
            <w:pPr>
              <w:widowControl/>
              <w:rPr>
                <w:rFonts w:ascii="宋体" w:hAnsi="宋体" w:cs="宋体"/>
                <w:color w:val="000000"/>
                <w:kern w:val="0"/>
                <w:sz w:val="24"/>
              </w:rPr>
            </w:pPr>
            <w:r>
              <w:rPr>
                <w:rFonts w:hint="eastAsia" w:ascii="宋体" w:hAnsi="宋体" w:cs="宋体"/>
                <w:color w:val="000000"/>
                <w:kern w:val="0"/>
                <w:sz w:val="24"/>
              </w:rPr>
              <w:t>集中式数据库1</w:t>
            </w:r>
          </w:p>
        </w:tc>
        <w:tc>
          <w:tcPr>
            <w:tcW w:w="683" w:type="dxa"/>
            <w:noWrap/>
            <w:vAlign w:val="center"/>
          </w:tcPr>
          <w:p>
            <w:pPr>
              <w:widowControl/>
              <w:rPr>
                <w:rFonts w:ascii="宋体" w:hAnsi="宋体" w:cs="宋体"/>
                <w:color w:val="000000"/>
                <w:kern w:val="0"/>
                <w:sz w:val="24"/>
              </w:rPr>
            </w:pPr>
            <w:r>
              <w:rPr>
                <w:rFonts w:ascii="宋体" w:hAnsi="宋体" w:cs="宋体"/>
                <w:color w:val="000000"/>
                <w:kern w:val="0"/>
                <w:sz w:val="24"/>
              </w:rPr>
              <w:t>11</w:t>
            </w:r>
          </w:p>
        </w:tc>
        <w:tc>
          <w:tcPr>
            <w:tcW w:w="565" w:type="dxa"/>
            <w:noWrap/>
            <w:vAlign w:val="center"/>
          </w:tcPr>
          <w:p>
            <w:pPr>
              <w:widowControl/>
              <w:rPr>
                <w:rFonts w:ascii="宋体" w:hAnsi="宋体" w:cs="宋体"/>
                <w:color w:val="000000"/>
                <w:kern w:val="0"/>
                <w:sz w:val="24"/>
              </w:rPr>
            </w:pPr>
            <w:r>
              <w:rPr>
                <w:rFonts w:hint="eastAsia" w:ascii="宋体" w:hAnsi="宋体" w:cs="宋体"/>
                <w:color w:val="000000"/>
                <w:kern w:val="0"/>
                <w:sz w:val="24"/>
              </w:rPr>
              <w:t>套</w:t>
            </w:r>
          </w:p>
        </w:tc>
        <w:tc>
          <w:tcPr>
            <w:tcW w:w="2863" w:type="dxa"/>
            <w:noWrap/>
            <w:vAlign w:val="center"/>
          </w:tcPr>
          <w:p>
            <w:pPr>
              <w:widowControl/>
              <w:rPr>
                <w:rFonts w:ascii="宋体" w:hAnsi="宋体" w:cs="宋体"/>
                <w:color w:val="000000"/>
                <w:kern w:val="0"/>
                <w:sz w:val="24"/>
              </w:rPr>
            </w:pPr>
            <w:r>
              <w:rPr>
                <w:rFonts w:hint="eastAsia" w:ascii="宋体" w:hAnsi="宋体" w:cs="宋体"/>
                <w:color w:val="000000"/>
                <w:kern w:val="0"/>
                <w:sz w:val="24"/>
              </w:rPr>
              <w:t>软件和信息技术服务业</w:t>
            </w:r>
          </w:p>
        </w:tc>
        <w:tc>
          <w:tcPr>
            <w:tcW w:w="1064" w:type="dxa"/>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6" w:type="dxa"/>
            <w:noWrap/>
            <w:vAlign w:val="center"/>
          </w:tcPr>
          <w:p>
            <w:pPr>
              <w:widowControl/>
              <w:rPr>
                <w:rFonts w:ascii="宋体" w:hAnsi="宋体" w:cs="宋体"/>
                <w:color w:val="000000"/>
                <w:kern w:val="0"/>
                <w:sz w:val="24"/>
              </w:rPr>
            </w:pPr>
            <w:r>
              <w:rPr>
                <w:rFonts w:hint="eastAsia" w:ascii="宋体" w:hAnsi="宋体" w:cs="宋体"/>
                <w:color w:val="000000"/>
                <w:kern w:val="0"/>
                <w:sz w:val="24"/>
              </w:rPr>
              <w:t>4</w:t>
            </w:r>
          </w:p>
        </w:tc>
        <w:tc>
          <w:tcPr>
            <w:tcW w:w="2549" w:type="dxa"/>
            <w:noWrap/>
            <w:vAlign w:val="center"/>
          </w:tcPr>
          <w:p>
            <w:pPr>
              <w:widowControl/>
              <w:rPr>
                <w:rFonts w:ascii="宋体" w:hAnsi="宋体" w:cs="宋体"/>
                <w:color w:val="000000"/>
                <w:kern w:val="0"/>
                <w:sz w:val="24"/>
              </w:rPr>
            </w:pPr>
            <w:r>
              <w:rPr>
                <w:rFonts w:hint="eastAsia" w:ascii="宋体" w:hAnsi="宋体" w:cs="宋体"/>
                <w:color w:val="000000"/>
                <w:kern w:val="0"/>
                <w:sz w:val="24"/>
              </w:rPr>
              <w:t>集中式数据库</w:t>
            </w:r>
            <w:r>
              <w:rPr>
                <w:rFonts w:ascii="宋体" w:hAnsi="宋体" w:cs="宋体"/>
                <w:color w:val="000000"/>
                <w:kern w:val="0"/>
                <w:sz w:val="24"/>
              </w:rPr>
              <w:t>2</w:t>
            </w:r>
          </w:p>
        </w:tc>
        <w:tc>
          <w:tcPr>
            <w:tcW w:w="683" w:type="dxa"/>
            <w:noWrap/>
            <w:vAlign w:val="center"/>
          </w:tcPr>
          <w:p>
            <w:pPr>
              <w:widowControl/>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6</w:t>
            </w:r>
          </w:p>
        </w:tc>
        <w:tc>
          <w:tcPr>
            <w:tcW w:w="565" w:type="dxa"/>
            <w:noWrap/>
            <w:vAlign w:val="center"/>
          </w:tcPr>
          <w:p>
            <w:pPr>
              <w:widowControl/>
              <w:rPr>
                <w:rFonts w:ascii="宋体" w:hAnsi="宋体" w:cs="宋体"/>
                <w:color w:val="000000"/>
                <w:kern w:val="0"/>
                <w:sz w:val="24"/>
              </w:rPr>
            </w:pPr>
            <w:r>
              <w:rPr>
                <w:rFonts w:hint="eastAsia" w:ascii="宋体" w:hAnsi="宋体" w:cs="宋体"/>
                <w:color w:val="000000"/>
                <w:kern w:val="0"/>
                <w:sz w:val="24"/>
              </w:rPr>
              <w:t>套</w:t>
            </w:r>
          </w:p>
        </w:tc>
        <w:tc>
          <w:tcPr>
            <w:tcW w:w="2863" w:type="dxa"/>
            <w:noWrap/>
            <w:vAlign w:val="center"/>
          </w:tcPr>
          <w:p>
            <w:pPr>
              <w:widowControl/>
              <w:rPr>
                <w:rFonts w:ascii="宋体" w:hAnsi="宋体" w:cs="宋体"/>
                <w:color w:val="000000"/>
                <w:kern w:val="0"/>
                <w:sz w:val="24"/>
              </w:rPr>
            </w:pPr>
            <w:r>
              <w:rPr>
                <w:rFonts w:hint="eastAsia" w:ascii="宋体" w:hAnsi="宋体" w:cs="宋体"/>
                <w:color w:val="000000"/>
                <w:kern w:val="0"/>
                <w:sz w:val="24"/>
              </w:rPr>
              <w:t>软件和信息技术服务业</w:t>
            </w:r>
          </w:p>
        </w:tc>
        <w:tc>
          <w:tcPr>
            <w:tcW w:w="1064" w:type="dxa"/>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是</w:t>
            </w:r>
          </w:p>
        </w:tc>
      </w:tr>
    </w:tbl>
    <w:p>
      <w:pPr>
        <w:spacing w:line="360" w:lineRule="auto"/>
        <w:ind w:firstLine="480" w:firstLineChars="200"/>
        <w:rPr>
          <w:rFonts w:ascii="宋体" w:hAnsi="宋体" w:cs="宋体"/>
          <w:sz w:val="24"/>
        </w:rPr>
      </w:pPr>
    </w:p>
    <w:p>
      <w:pPr>
        <w:pStyle w:val="2"/>
        <w:numPr>
          <w:ilvl w:val="1"/>
          <w:numId w:val="1"/>
        </w:numPr>
        <w:jc w:val="left"/>
        <w:rPr>
          <w:rFonts w:ascii="宋体" w:hAnsi="宋体" w:eastAsia="宋体" w:cs="宋体"/>
          <w:sz w:val="24"/>
          <w:szCs w:val="24"/>
        </w:rPr>
      </w:pPr>
      <w:r>
        <w:rPr>
          <w:rFonts w:hint="eastAsia" w:ascii="宋体" w:hAnsi="宋体" w:eastAsia="宋体" w:cs="宋体"/>
          <w:sz w:val="24"/>
          <w:szCs w:val="24"/>
        </w:rPr>
        <w:t>技术参数</w:t>
      </w:r>
    </w:p>
    <w:p>
      <w:pPr>
        <w:spacing w:line="560" w:lineRule="exact"/>
        <w:ind w:firstLine="482" w:firstLineChars="200"/>
        <w:contextualSpacing/>
        <w:rPr>
          <w:rFonts w:ascii="宋体" w:hAnsi="宋体" w:cs="宋体"/>
          <w:b/>
          <w:bCs/>
          <w:color w:val="FF0000"/>
          <w:sz w:val="24"/>
        </w:rPr>
      </w:pPr>
      <w:r>
        <w:rPr>
          <w:rFonts w:hint="eastAsia" w:ascii="宋体" w:hAnsi="宋体" w:cs="宋体"/>
          <w:b/>
          <w:bCs/>
          <w:color w:val="FF0000"/>
          <w:sz w:val="24"/>
        </w:rPr>
        <w:t>指标要求中如有“供应商应给出......”等表述要求的，请投标人明确提供响应具体内容。</w:t>
      </w:r>
    </w:p>
    <w:p>
      <w:r>
        <w:rPr>
          <w:rFonts w:hint="eastAsia" w:ascii="宋体" w:hAnsi="宋体" w:cs="宋体"/>
          <w:b/>
          <w:bCs/>
          <w:sz w:val="24"/>
        </w:rPr>
        <w:t>★</w:t>
      </w:r>
      <w:r>
        <w:rPr>
          <w:rFonts w:hint="eastAsia" w:ascii="宋体" w:hAnsi="宋体" w:cs="宋体"/>
          <w:sz w:val="24"/>
        </w:rPr>
        <w:t>代表实质性指标，不允许负偏离，不满足该指标项将导致响应被拒绝；</w:t>
      </w:r>
    </w:p>
    <w:p>
      <w:pPr>
        <w:pStyle w:val="3"/>
        <w:numPr>
          <w:ilvl w:val="2"/>
          <w:numId w:val="1"/>
        </w:numPr>
        <w:rPr>
          <w:rFonts w:hAnsi="宋体" w:cs="宋体"/>
          <w:szCs w:val="24"/>
        </w:rPr>
      </w:pPr>
      <w:r>
        <w:rPr>
          <w:rFonts w:hint="eastAsia" w:hAnsi="宋体" w:cs="宋体"/>
          <w:szCs w:val="24"/>
        </w:rPr>
        <w:t>服务器操作系统通用参数</w:t>
      </w:r>
    </w:p>
    <w:tbl>
      <w:tblPr>
        <w:tblStyle w:val="4"/>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28"/>
        <w:gridCol w:w="1071"/>
        <w:gridCol w:w="1519"/>
        <w:gridCol w:w="4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b/>
                <w:bCs/>
                <w:kern w:val="0"/>
                <w:sz w:val="24"/>
              </w:rPr>
              <w:t>序号</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b/>
                <w:bCs/>
                <w:kern w:val="0"/>
                <w:sz w:val="24"/>
              </w:rPr>
              <w:t>分类</w:t>
            </w:r>
          </w:p>
        </w:tc>
        <w:tc>
          <w:tcPr>
            <w:tcW w:w="1071" w:type="dxa"/>
            <w:noWrap w:val="0"/>
            <w:vAlign w:val="center"/>
          </w:tcPr>
          <w:p>
            <w:pPr>
              <w:widowControl/>
              <w:jc w:val="center"/>
              <w:rPr>
                <w:rFonts w:ascii="宋体" w:hAnsi="宋体" w:cs="Arial"/>
                <w:color w:val="000000"/>
                <w:kern w:val="0"/>
                <w:sz w:val="24"/>
              </w:rPr>
            </w:pPr>
            <w:r>
              <w:fldChar w:fldCharType="begin"/>
            </w:r>
            <w:r>
              <w:instrText xml:space="preserve"> HYPERLINK "file:///C:\\Users\\Miles\\Downloads\\操作系统标准.xlsx" \l "RANGE!A1" </w:instrText>
            </w:r>
            <w:r>
              <w:fldChar w:fldCharType="separate"/>
            </w:r>
            <w:r>
              <w:rPr>
                <w:rFonts w:hint="eastAsia" w:ascii="宋体" w:hAnsi="宋体" w:cs="Arial"/>
                <w:b/>
                <w:bCs/>
                <w:kern w:val="0"/>
                <w:sz w:val="24"/>
              </w:rPr>
              <w:t>一级指标</w:t>
            </w:r>
            <w:r>
              <w:rPr>
                <w:rFonts w:hint="eastAsia" w:ascii="宋体" w:hAnsi="宋体" w:cs="Arial"/>
                <w:b/>
                <w:bCs/>
                <w:kern w:val="0"/>
                <w:sz w:val="24"/>
              </w:rPr>
              <w:fldChar w:fldCharType="end"/>
            </w:r>
          </w:p>
        </w:tc>
        <w:tc>
          <w:tcPr>
            <w:tcW w:w="1519" w:type="dxa"/>
            <w:noWrap w:val="0"/>
            <w:vAlign w:val="center"/>
          </w:tcPr>
          <w:p>
            <w:pPr>
              <w:widowControl/>
              <w:jc w:val="center"/>
              <w:rPr>
                <w:rFonts w:ascii="宋体" w:hAnsi="宋体" w:cs="Arial"/>
                <w:b/>
                <w:bCs/>
                <w:kern w:val="0"/>
                <w:sz w:val="24"/>
              </w:rPr>
            </w:pPr>
            <w:r>
              <w:rPr>
                <w:rFonts w:hint="eastAsia" w:ascii="宋体" w:hAnsi="宋体" w:cs="Arial"/>
                <w:b/>
                <w:bCs/>
                <w:kern w:val="0"/>
                <w:sz w:val="24"/>
              </w:rPr>
              <w:t>二级指标</w:t>
            </w:r>
          </w:p>
        </w:tc>
        <w:tc>
          <w:tcPr>
            <w:tcW w:w="4145" w:type="dxa"/>
            <w:noWrap w:val="0"/>
            <w:vAlign w:val="center"/>
          </w:tcPr>
          <w:p>
            <w:pPr>
              <w:widowControl/>
              <w:jc w:val="center"/>
              <w:rPr>
                <w:rFonts w:ascii="宋体" w:hAnsi="宋体" w:cs="Arial"/>
                <w:color w:val="000000"/>
                <w:kern w:val="0"/>
                <w:sz w:val="24"/>
              </w:rPr>
            </w:pPr>
            <w:r>
              <w:rPr>
                <w:rFonts w:hint="eastAsia" w:ascii="宋体" w:hAnsi="宋体" w:cs="Arial"/>
                <w:b/>
                <w:bCs/>
                <w:kern w:val="0"/>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w:t>
            </w:r>
          </w:p>
        </w:tc>
        <w:tc>
          <w:tcPr>
            <w:tcW w:w="928" w:type="dxa"/>
            <w:noWrap w:val="0"/>
            <w:vAlign w:val="center"/>
          </w:tcPr>
          <w:p>
            <w:pPr>
              <w:widowControl/>
              <w:jc w:val="center"/>
              <w:rPr>
                <w:rFonts w:ascii="宋体" w:hAnsi="宋体" w:cs="Arial"/>
                <w:kern w:val="0"/>
                <w:sz w:val="24"/>
              </w:rPr>
            </w:pPr>
            <w:r>
              <w:rPr>
                <w:rFonts w:hint="eastAsia" w:ascii="宋体" w:hAnsi="宋体" w:cs="Arial"/>
                <w:kern w:val="0"/>
                <w:sz w:val="24"/>
              </w:rPr>
              <w:t>功能要求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操作系统支持多CPU架构</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★同源兼容多CPU平台架构</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操作系统支持同源兼容ARM、LoongArch、c86架构的CPU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操作系统支持CPU内置功能</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★多核支持</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操作系统支持双核及多核处理器，包括核间负载均衡、线程绑定等，并提供接口，通过访问接口获取运行状态和控制多核调度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★CPU虚拟化支持</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操作系统支持CPU虚拟化技术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★动态调节CPU运行频率</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操作系统根据负载情况，自动调节CPU的运行频率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★支持多CPU</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支持跨路内存访问，支持CPU间负载均衡，支持并优化NUMA体系架构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★支持CPU内置安全功能</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操作系统支持CPU硬件密码运算与随机数生成等功能；提供编程接口供应用程序调用；支持通过硬件指令判别临界区冲突；支持调用CPU指令，实现自旋锁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安装部署</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★安装方式</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操作系统支持光盘安装、USB闪存盘安装、网络安装和无人值守安装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★安装模式</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操作系统支持图形或文本安装模式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★安装过程配置</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安装界面文种设置、逻辑分区配置（如LVM）、自定义分区设置、安装组件设置、时区设置、键盘布局设置、初始用户设置、计算机名设置和网络设置，支持通过USB闪存盘等方式加载硬件驱动、支持设置加密文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★系统引导</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a)操作系统应支持UEFI2.0及以上规范固件引导，当计算机以UEFI模式启动安装时，安装程序应分配ESP，并在ESP中放置启动引导文件，使系统能以UEFI模式引导；b)支持bootloader引导，支持MBR及GPT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★引导修复</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操作系统安装媒体提供系统引导修复功能，当已安装的系统引导被破坏时，可重建系统引导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★引导参数编辑</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操作系统支持用户编辑引导参数，支持GRUB口令保护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★数据保护</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安装程序在安装执行前明确提示用户可能会删除已有数据，并提供退出/取消功能，当用户取消安装时，不改变硬盘上已有数据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★分辨率自适应</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操作系统安装完成后应自动适配显示器最佳分辨率(文本模式除外)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★安装配置正确性校验</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操作系统安装和配置过程中，如用户自定义的某些配置可能会影响系统启动或正常使用，予以明确提示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系统内核</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★内核要求</w:t>
            </w:r>
          </w:p>
        </w:tc>
        <w:tc>
          <w:tcPr>
            <w:tcW w:w="4145" w:type="dxa"/>
            <w:noWrap w:val="0"/>
            <w:vAlign w:val="center"/>
          </w:tcPr>
          <w:p>
            <w:pPr>
              <w:widowControl/>
              <w:numPr>
                <w:ilvl w:val="0"/>
                <w:numId w:val="2"/>
              </w:numPr>
              <w:jc w:val="left"/>
              <w:rPr>
                <w:rFonts w:ascii="宋体" w:hAnsi="宋体" w:cs="Arial"/>
                <w:color w:val="000000"/>
                <w:kern w:val="0"/>
                <w:sz w:val="24"/>
              </w:rPr>
            </w:pPr>
            <w:r>
              <w:rPr>
                <w:rFonts w:hint="eastAsia" w:ascii="宋体" w:hAnsi="宋体" w:cs="Arial"/>
                <w:color w:val="000000"/>
                <w:kern w:val="0"/>
                <w:sz w:val="24"/>
              </w:rPr>
              <w:t>若操作系统是基于Linux内核的服务器操作系统应兼容4.19版内核</w:t>
            </w:r>
          </w:p>
          <w:p>
            <w:pPr>
              <w:widowControl/>
              <w:jc w:val="left"/>
              <w:rPr>
                <w:rFonts w:ascii="宋体" w:hAnsi="宋体" w:cs="Arial"/>
                <w:color w:val="000000"/>
                <w:kern w:val="0"/>
                <w:sz w:val="24"/>
              </w:rPr>
            </w:pPr>
            <w:r>
              <w:rPr>
                <w:rFonts w:hint="eastAsia" w:ascii="宋体" w:hAnsi="宋体" w:cs="Arial"/>
                <w:color w:val="000000"/>
                <w:kern w:val="0"/>
                <w:sz w:val="24"/>
              </w:rPr>
              <w:t>b)若操作系统属于其他类型内核不做要求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进程、线程调度</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★NUMA</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操作系统支持基于NUMA的亲和调度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★多核轮询</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操作系统支持CPU多核轮询调度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★进程调度</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操作系统具备进程优先级动态调整能力，允许在进程运行时对优先级进行调整；区分实时进程与非实时进程，分别进行调度；支持进程运行状态检查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内存管理</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★内存容量</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操作系统支持最大内存不小于4TB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★内存大页管理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操作系统允许应用申请内存大页降低页表转换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★NUMA</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操作系统支持NUMA近节点优化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内存超分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操作系统支持虚拟内存超分，提升内存的使用率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存储管理</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★RAID支持</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操作系统支持硬RAID和软RAID，支持软RAID级别0、1、5、6、10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★虚拟文件系统</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操作系统支持将不同功能的外部设备抽象为统一的文件操作接口，包括存储、输入输出设备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★文件管理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操作系统支持文件存储、检索和共享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★可移动存储</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操作系统支持对可移动外部存储的管理，包括启停、禁用、恢复等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★外部独立存储</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操作系统支持使用外部独立存储设备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29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★多路径聚合</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操作系统支持存储多路径聚合及I/O动态负载均衡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★故障检测</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操作系统支持硬盘损坏或老化检测及信息收集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★虚拟内存</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操作系统支持将硬盘的特定分区或文件作为虚拟扩展内存用于存放内存数据，支持虚拟内存压缩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★网络块设备挂载</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操作系统支持FCoE、iSCSI，支持将Ceph块设备视为常规存储设备挂载到某个目录并作为标准文件系统使用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存储缓存</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操作系统支持快速块设备作为慢速块设备缓存以加速I/O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网络管理</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★网络链路检测</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操作系统支持网络链路故障检测、链路事件通知和链路状态查询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★TCP卸载引擎</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操作系统支持运行TCP协议卸载引擎的网卡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功能</w:t>
            </w:r>
            <w:r>
              <w:rPr>
                <w:rFonts w:hint="eastAsia" w:ascii="宋体" w:hAnsi="宋体" w:cs="Arial"/>
                <w:color w:val="000000"/>
                <w:kern w:val="0"/>
                <w:sz w:val="24"/>
              </w:rPr>
              <w:t>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★网络协议</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操作系统支持IPv4、IPv6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★多网卡绑定</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操作系统支持多网卡绑定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用户态TCP/IP协议栈</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操作系统支持用户态TCP/IP协议栈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39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文件系统</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★文件系统支持</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操作系统支持XFS、EXT3、EXT4、NTFS、FAT32等文件系统，支持相应格式分区创建、删除、格式化等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★日志式文件系统</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操作系统支持日志式文件系统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★文件处理能力</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操作系统支持最大文件不小于4TB，最大分区与文件系统不小于10PB，最大文件名长度不小于255字节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★分区大小调整</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操作系统支持动态调整分区大小，对系统分区容量进行改变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授权激活</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产品许可机制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a)操作系统支持序列号授权、批量激活服务、场地授权等方式；未激活期间，系统不得频繁提示干扰用户正常使用；未激活系统不得影响用户数据安全与完整性；b)免激活的系统不适用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应用开发运行环境</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★集成开发环境/开发框架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操作系统通过内置、软件仓库或附加光盘等方式提供开发环境，包括Qt、Eclipse、VSCode等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★开发工具库</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操作系统通过内置、软件仓库或附加光盘等方式提供开发库，包括GNUC、GNUC++、Java、Qt、Gtk+、Cairo、OpenGL、Perl、Python、Ruby、Rust、Golang、JS等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★编译器开发工具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操作系统通过内置、软件仓库或附加光盘等方式提供编译开发工具，包括GCC、G++、Binutils、GDB、Make、CMake等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★文本编辑工具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操作系统通过内置、软件仓库或附加光盘等方式提供文本编辑工具，包括Emacs、Vim等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★软件包管理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操作系统支持查询软件包描述和包含文件，以及软件包依赖；支持在安装时自动提示并下载安装缺失的依赖软件包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49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★开发文档</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供应商应提供软件开发参考文档、驱动开发参考文档、应用移植开发文档、API文档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服务支持</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★网络服务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操作系统支持TCP/UDP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★网络共享</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操作系统支持基于NFS、SMB、FTP、CIFS等协议的数据网络共享服务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★WEB服务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操作系统支持基于HTTP、HTTPS、FastCGI等协议WEB服务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★加密传输服务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操作系统支持基于IPSec和SSL协议的隧道加密传输服务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★数字证书服务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操作系统支持基于PKI体系的数字证书服务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★访问控制服务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操作系统支持基于RBAC(基于角色的访问控制)机制的访问控制服务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★网络管理服务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操作系统支持基于SNMP、NETCONF、RESTCONF等协议的网络管理服务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★时间同步服务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操作系统支持基于NTP协议网络时间同步服务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功能</w:t>
            </w:r>
            <w:r>
              <w:rPr>
                <w:rFonts w:hint="eastAsia" w:ascii="宋体" w:hAnsi="宋体" w:cs="Arial"/>
                <w:color w:val="000000"/>
                <w:kern w:val="0"/>
                <w:sz w:val="24"/>
              </w:rPr>
              <w:t>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★远程连接服务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操作系统支持RPC、rsync、SSH等远程服务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59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★邮件服务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操作系统支持基于SMTP、POP3、IMAP等的邮件服务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★身份鉴别服务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操作系统支持基于轻量级目录访问协议的统一身份鉴别服务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vMerge w:val="restart"/>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★数据存储和查询服务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操作系统支持结构化和非结构化格式数据的存储和查询服务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vMerge w:val="continue"/>
            <w:noWrap w:val="0"/>
            <w:vAlign w:val="center"/>
          </w:tcPr>
          <w:p>
            <w:pPr>
              <w:widowControl/>
              <w:jc w:val="left"/>
              <w:rPr>
                <w:rFonts w:ascii="宋体" w:hAnsi="宋体" w:cs="Arial"/>
                <w:color w:val="000000"/>
                <w:kern w:val="0"/>
                <w:sz w:val="24"/>
              </w:rPr>
            </w:pP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操作系统支持块、文件、对象等类型的数据存储服务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vMerge w:val="continue"/>
            <w:noWrap w:val="0"/>
            <w:vAlign w:val="center"/>
          </w:tcPr>
          <w:p>
            <w:pPr>
              <w:widowControl/>
              <w:jc w:val="left"/>
              <w:rPr>
                <w:rFonts w:ascii="宋体" w:hAnsi="宋体" w:cs="Arial"/>
                <w:color w:val="000000"/>
                <w:kern w:val="0"/>
                <w:sz w:val="24"/>
              </w:rPr>
            </w:pP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操作系统支持SQL、NoSQL、键值等类型的数据库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★存储服务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操作系统支持多种传输速率和存储协议的SAN和NAS存储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vMerge w:val="restart"/>
            <w:noWrap w:val="0"/>
            <w:vAlign w:val="center"/>
          </w:tcPr>
          <w:p>
            <w:pPr>
              <w:widowControl/>
              <w:jc w:val="left"/>
              <w:rPr>
                <w:rFonts w:ascii="宋体" w:hAnsi="宋体" w:cs="Arial"/>
                <w:color w:val="000000"/>
                <w:kern w:val="0"/>
                <w:sz w:val="24"/>
              </w:rPr>
            </w:pPr>
            <w:r>
              <w:rPr>
                <w:rFonts w:hint="eastAsia" w:ascii="宋体" w:hAnsi="宋体" w:cs="Arial"/>
                <w:kern w:val="0"/>
                <w:sz w:val="24"/>
              </w:rPr>
              <w:t>★集群支持</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操作系统支持服务基于主备机制的分布式集群、高可用集群的部署模式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vMerge w:val="continue"/>
            <w:noWrap w:val="0"/>
            <w:vAlign w:val="center"/>
          </w:tcPr>
          <w:p>
            <w:pPr>
              <w:widowControl/>
              <w:jc w:val="left"/>
              <w:rPr>
                <w:rFonts w:ascii="宋体" w:hAnsi="宋体" w:cs="Arial"/>
                <w:color w:val="000000"/>
                <w:kern w:val="0"/>
                <w:sz w:val="24"/>
              </w:rPr>
            </w:pP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操作系统支持服务基于分布式通信协议的分布式集群、高可用集群的部署模式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vMerge w:val="continue"/>
            <w:noWrap w:val="0"/>
            <w:vAlign w:val="center"/>
          </w:tcPr>
          <w:p>
            <w:pPr>
              <w:widowControl/>
              <w:jc w:val="left"/>
              <w:rPr>
                <w:rFonts w:ascii="宋体" w:hAnsi="宋体" w:cs="Arial"/>
                <w:color w:val="000000"/>
                <w:kern w:val="0"/>
                <w:sz w:val="24"/>
              </w:rPr>
            </w:pP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操作系统支持基于虚拟路由器冗余协议的高可用集群部署模式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★分布式服务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操作系统支持基于同步、异步请求处理机制的分布式服务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69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vMerge w:val="restart"/>
            <w:noWrap w:val="0"/>
            <w:vAlign w:val="center"/>
          </w:tcPr>
          <w:p>
            <w:pPr>
              <w:widowControl/>
              <w:jc w:val="left"/>
              <w:rPr>
                <w:rFonts w:ascii="宋体" w:hAnsi="宋体" w:cs="Arial"/>
                <w:color w:val="000000"/>
                <w:kern w:val="0"/>
                <w:sz w:val="24"/>
              </w:rPr>
            </w:pPr>
            <w:r>
              <w:rPr>
                <w:rFonts w:hint="eastAsia" w:ascii="宋体" w:hAnsi="宋体" w:cs="Arial"/>
                <w:kern w:val="0"/>
                <w:sz w:val="24"/>
              </w:rPr>
              <w:t>★负载均衡模式</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操作系统支持基于OSI模型的4/7层和链路层的负载均衡模式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vMerge w:val="continue"/>
            <w:noWrap w:val="0"/>
            <w:vAlign w:val="center"/>
          </w:tcPr>
          <w:p>
            <w:pPr>
              <w:widowControl/>
              <w:jc w:val="left"/>
              <w:rPr>
                <w:rFonts w:ascii="宋体" w:hAnsi="宋体" w:cs="Arial"/>
                <w:color w:val="000000"/>
                <w:kern w:val="0"/>
                <w:sz w:val="24"/>
              </w:rPr>
            </w:pP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操作系统支持基于不同调度算法的负载均衡模式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★高可用服务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操作系统提供对HA的支持，支持多种集群配置模式，包括主主模式、主备模式、N+1模式和N+M模式，支持资源及节点故障检测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kern w:val="0"/>
                <w:sz w:val="24"/>
              </w:rPr>
            </w:pPr>
            <w:r>
              <w:rPr>
                <w:rFonts w:hint="eastAsia" w:ascii="宋体" w:hAnsi="宋体" w:cs="Arial"/>
                <w:kern w:val="0"/>
                <w:sz w:val="24"/>
              </w:rPr>
              <w:t>开源组件</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开源数据库</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供应商可通过安装镜像内置、软件仓库或附加光盘等方式提供开源数据库，并对提供的开源组件进行签名认证，确保组件的安全性、稳定性、可靠性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开源中间件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供应商可通过安装镜像内置、软件仓库或附加光盘等方式提供开源中间件，并对提供的开源组件进行签名认证，确保组件的安全性、稳定性、可靠性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单机虚拟化管理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供应商可通过安装镜像内置、软件仓库或附加光盘等方式提供开源单机虚拟化管理软件，并对提供的开源组件进行签名认证，确保组件的安全性、稳定性、可靠性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容器虚拟化软件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供应商可通过安装镜像内置、软件仓库或附加光盘等方式提供开源容器虚拟化软件，并对提供的开源组件进行签名认证，确保组件的安全性、稳定性、可靠性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容器管理工具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供应商可通过安装镜像内置、软件仓库或附加光盘等方式提供开源容器管理工具，并对提供的开源组件进行签名认证，确保组件的安全性、稳定性、可靠性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分布式存储软件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供应商可通过安装镜像内置、软件仓库或附加光盘等方式提供开源分布式存储软件，并对提供的开源组件进行签名认证，确保组件的安全性、稳定性、可靠性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云计算管理平台</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供应商可通过安装镜像内置、软件仓库或附加光盘等方式提供开源云计算管理平台，并对提供的开源组件进行签名认证，确保组件的安全性、稳定性、可靠性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79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虚拟化</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★虚拟化部署</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操作系统支持在KVM、Xen、Hyper-V虚拟机上安装部署操作系统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★内核虚拟化(KVM)</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KVM虚拟化：对虚拟机进行启、停等管理操作；对虚拟机硬盘做快照并从快照恢复；兼容qemu、libvirt标准接口；支持UEFI或legacyBIOS方式启动；支持虚拟时钟arch-timer；支持虚拟鼠标、键盘、触控板、声卡、显卡、硬盘、CDROM、串口pty/pipe/file等设备；支持Virtio协议下的虚拟设备，包括串口、blk驱动硬盘、SCSI驱动硬盘、不同后端控制器类型的Virtio网卡(包括内核态、用户态、qemu)、GPU、vsock设备等；支持硬盘和网卡选择类型VFIO设备；支持虚拟机CPU、内存、网卡、硬盘等离线调整；支持虚拟机网卡、硬盘、USB设备热插拔；支持PCI/PCIE设备直通；支持虚拟机热迁移和加密传输；支持虚拟机远程访问；支持虚拟机CPU和I/O线程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★KVM虚拟机管理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虚拟机对主机的访问控制；虚拟机可以拥有独立的物理资源，且各个虚拟机之间严格隔离；支持大页内存运行虚拟机；支持三种CPU型号模拟模式，包括直通、宿主模型、自定义；支持虚拟机资源调配控制，包括Numa、CPU、内存、I/O、网卡；支持CPU拓扑模拟和透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容器</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★容器虚拟化</w:t>
            </w:r>
          </w:p>
        </w:tc>
        <w:tc>
          <w:tcPr>
            <w:tcW w:w="4145" w:type="dxa"/>
            <w:noWrap w:val="0"/>
            <w:vAlign w:val="center"/>
          </w:tcPr>
          <w:p>
            <w:pPr>
              <w:widowControl/>
              <w:jc w:val="left"/>
              <w:rPr>
                <w:rFonts w:ascii="宋体" w:hAnsi="宋体" w:cs="Arial"/>
                <w:kern w:val="0"/>
                <w:sz w:val="24"/>
              </w:rPr>
            </w:pPr>
            <w:r>
              <w:rPr>
                <w:rFonts w:hint="eastAsia" w:ascii="宋体" w:hAnsi="宋体" w:cs="Arial"/>
                <w:kern w:val="0"/>
                <w:sz w:val="24"/>
              </w:rPr>
              <w:t>操作系统支持OCI；支持进程命名空间隔离技术包括不限于mnt、pid、ipc、uts、user、network等；支持在同CPU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CNI；支持容器获取物理节点资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★容器镜像和存储管理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操作系统支持容器镜像导入、导出；支持容器镜像分层保存、导入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功能要求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★容器资源隔离和调配</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容器资源在线调整，包括CPU资源、内存资源、I/O资源等；支持文件配额分配、存储带宽资源使用量监控等机制，实现容器级I/O控制能力；支持面向容器的网络带宽调度策略，实现容器级网络带宽分配、使用量监控等机制；支持面向容器的存储空间使用监控、分配机制；支持容器CPU核独占；支持面向容器的CPU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中文支持</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★字符编码集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操作系统应符合GB18030的要求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★中文帮助文档</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操作系统内置中文帮助文档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多语言图形界面</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操作系统的多文种图形用户界面应支持GB18030规定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中文图形界面</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操作系统支持中文图形操作界面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89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管理工具</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★系统信息查看工具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操作系统支持查看系统版本、内核版本、内存容量、CPU型号等信息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★网络管理工具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操作系统支持多网口自动连接、网络地址（常被称为“IP地址”）设置、DNS设置、路由设置；支持多网卡链路聚合，模式类型包括但不仅限于轮询、主备、802.3AD动态链路聚合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★日期和时间管理工具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操作系统可设置时间同步服务器地址，支持局域网和广域网的同步设置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★日志服务管理工具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操作系统支持收集系统日志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★帐户管理工具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操作系统支持帐户添加、删除、属性修改等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★用户操作审计工具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操作系统支持用户操作痕迹查询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★存储管理工具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操作系统支持EXT、XFS、NTFS、FAT、SWAP等多种格式的分区管理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★SNMP协议工具包</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操作系统支持SNMP设备和操作信息检索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★文本终端连接工具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操作系统支持多终端协同管理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★服务管理工具集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操作系统支持服务启动与停止，查看服务状态及日志，查询服务启动顺序及依赖关系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99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★配置管理工具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操作系统提供配置管理工具，可以简化任务配置及服务管理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★监控管理工具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操作系统支持监控系统资源使用情况，包含CPU、内存、存储I/O、网络I/O等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易用性要求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★守护进程</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操作系统支持按需启动守护进程，用户可自定义设定需求守护的进程，如遇异常可重新加载，实现应用持续运行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基础组件兼容</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★版本兼容</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操作系统基础运行库或开发环境向后（向下）兼容，即系统版本升级后，能兼容上一版本所运行的软件与设备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★兼容周期</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操作系统主版本兼容维护时间自发布之日起不低于5年，包括但不限于安全修复、功能升级、新硬件支持等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兼容方式</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操作系统支持以增量升级包的方式实现版本更新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运行环境</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★文件系统层次结构</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供应商应给出长期兼容支持的文件系统层次结构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★运行库</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供应商应给出长期兼容支持的运行库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bookmarkStart w:id="1" w:name="OLE_LINK6"/>
            <w:r>
              <w:rPr>
                <w:rFonts w:hint="eastAsia" w:ascii="宋体" w:hAnsi="宋体" w:cs="Arial"/>
                <w:kern w:val="0"/>
                <w:sz w:val="24"/>
              </w:rPr>
              <w:t>★</w:t>
            </w:r>
            <w:bookmarkEnd w:id="1"/>
            <w:r>
              <w:rPr>
                <w:rFonts w:hint="eastAsia" w:ascii="宋体" w:hAnsi="宋体" w:cs="Arial"/>
                <w:kern w:val="0"/>
                <w:sz w:val="24"/>
              </w:rPr>
              <w:t>命令</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供应商应给出长期兼容支持的常用命令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软件包格式</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软件包格式转换</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操作系统支持RPM或DEB格式的软件包，当系统不支持RPM或DEB格式的软件包时，提供工具对软件包格式进行转换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109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软件兼容</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★集群软件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供应商提供兼容的集群软件清单，且至少兼容一款产品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★虚拟化云平台</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供应商提供兼容的虚拟化平台软件清单，且至少兼容三款产品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★容器云</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供应商提供兼容的容器云软件清单，且至少兼容三款产品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★存储软件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供应商提供兼容的存储软件清单，且至少兼容一款产品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w:t>
            </w:r>
            <w:r>
              <w:rPr>
                <w:rFonts w:hint="eastAsia" w:ascii="宋体" w:hAnsi="宋体" w:cs="Arial"/>
                <w:color w:val="000000"/>
                <w:kern w:val="0"/>
                <w:sz w:val="24"/>
              </w:rPr>
              <w:t>数据库管理系统</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供应商提供兼容的数据库软件清单，且至少兼容三款产品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★中间件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供应商提供兼容的中间件软件清单，且至少兼容三款产品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115</w:t>
            </w:r>
          </w:p>
        </w:tc>
        <w:tc>
          <w:tcPr>
            <w:tcW w:w="928" w:type="dxa"/>
            <w:noWrap w:val="0"/>
            <w:vAlign w:val="center"/>
          </w:tcPr>
          <w:p>
            <w:pPr>
              <w:widowControl/>
              <w:jc w:val="center"/>
              <w:rPr>
                <w:rFonts w:ascii="宋体" w:hAnsi="宋体" w:cs="Arial"/>
                <w:kern w:val="0"/>
                <w:sz w:val="24"/>
              </w:rPr>
            </w:pPr>
            <w:r>
              <w:rPr>
                <w:rFonts w:hint="eastAsia" w:ascii="宋体" w:hAnsi="宋体" w:cs="Arial"/>
                <w:kern w:val="0"/>
                <w:sz w:val="24"/>
              </w:rPr>
              <w:t>兼容</w:t>
            </w:r>
          </w:p>
          <w:p>
            <w:pPr>
              <w:widowControl/>
              <w:jc w:val="center"/>
              <w:rPr>
                <w:rFonts w:ascii="宋体" w:hAnsi="宋体" w:cs="Arial"/>
                <w:color w:val="000000"/>
                <w:kern w:val="0"/>
                <w:sz w:val="24"/>
              </w:rPr>
            </w:pPr>
            <w:r>
              <w:rPr>
                <w:rFonts w:hint="eastAsia" w:ascii="宋体" w:hAnsi="宋体" w:cs="Arial"/>
                <w:color w:val="000000"/>
                <w:kern w:val="0"/>
                <w:sz w:val="24"/>
              </w:rPr>
              <w:t>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★运维平台</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供应商提供兼容的运维平台软件清单，且至少兼容一款产品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★备份软件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供应商提供兼容的备份恢复软件清单，且至少兼容一款产品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★大数据平台</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供应商提供兼容的大数据平台软件清单，且至少兼容一款产品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★终端防护及杀毒</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供应商提供兼容的终端防护及杀毒软件清单，且至少兼容一款产品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119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★网络防护</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供应商提供兼容的网络防护软件清单，且至少兼容一款产品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★身份认证</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供应商提供兼容的身份认证软件清单，且至少兼容一款产品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硬件兼容</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★服务器整机</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供应商提供兼容的服务器整机品牌及型号清单，且至少兼容一款产品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★AI服务器</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供应商提供兼容的AI服务器整机品牌及型号清单，且至少兼容一款产品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★存储</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供应商提供兼容的存储服务器整机品牌及型号清单，且至少兼容一款产品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兼容性要求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★部件兼容</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供应商提供兼容的系统总线、HBA卡、RAID卡、网卡、光纤卡、AI加速卡、GPU、NPU等品牌及型号清单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可靠性要求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稳定性</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★操作系统连续运行168小时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操作系统高负载下连续常态运行168小时无故障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可靠性要求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备份还原</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★备份还原</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操作系统提供备份还原功能，支持生成系统状态快照及恢复系统状态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可靠性要求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内存纠错</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★内存纠错</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操作系统支持DDR3、DDR4等内存上的ECC查错、纠错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可靠性要求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热插拔</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CPU热插拔</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硬件支持时，操作系统支持CPU热插拔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129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可靠性要求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内存热插拔</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硬件支持时，操作系统支持内存热插拔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可靠性要求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★硬盘热插拔</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硬件支持时，操作系统支持硬盘热插拔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维护工具</w:t>
            </w:r>
          </w:p>
          <w:p>
            <w:pPr>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★远程维护</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操作系统提供远程控制管理工具，支持RDP、SSH、SPICE、VNC等协议，方便用户进行文本或图形化形式的远程连接及维护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continue"/>
            <w:noWrap w:val="0"/>
            <w:vAlign w:val="center"/>
          </w:tcPr>
          <w:p>
            <w:pPr>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★文件完整检查</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操作系统提供文件系统检查工具，对文件系统完整性进行检测和修复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continue"/>
            <w:noWrap w:val="0"/>
            <w:vAlign w:val="center"/>
          </w:tcPr>
          <w:p>
            <w:pPr>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★内核分析</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操作系统提供内核性能分析工具，提供性能分析框架，支持对内核函数层面进行分析；提供内核探测工具，支持对内核及用户态程序动态追踪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continue"/>
            <w:noWrap w:val="0"/>
            <w:vAlign w:val="top"/>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集中管可控</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操作系统提供集中管控工具，支持对区域内服务器操作系统进行集中管理维护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兼容性评价</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操作系统提供软硬件兼容性检查工具，自动分析应用软件、硬件兼容性，定位兼容性问题；提供操作系统跨版本兼容性分析工具，在迁移前检查分析软硬件，定位兼容性问题。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性能调优</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操作系统提供性能测试调优工具，按系统工作特点（如计算为主、存储为主等）自动优化系统配置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日志管理</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★日志记录与存储</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对安全事件的日志记录，包括帐户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★日志处理与分析</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操作系统提供系统错误问题回溯分析工具，对系统崩溃问题及错误问题进行回溯；支持日志切分、一键收集、转储、同步机制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139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脆弱性管理</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★脆弱性管理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CPU、内存及PCIe设备等硬件的故障；支持诊断/响应组件动态加载机制；提供或支持第三方远程诊断框架及调测工具集，实现远程诊断及调试断点功能；支持物理机、虚拟机中操作系统的故障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热补丁</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★热补丁</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系统升级</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★升级内容</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操作系统支持系统增量升级功能，对系统部件、安全补丁等升级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★升级方式</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操作系统支持在线升级和离线升级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★数据保护</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操作系统升级不得修改破坏用户数据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★兼容性</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操作系统升级不得影响原有软硬件兼容性，如有影响应显式的提示告知用户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可维护性要求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★回退</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操作系统提供升级回退机制，能卸载已升级的软件包，恢复系统原有状态，如升级为不可回退，则系统升级前以显式的提示告知用户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交付方式</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★交付方式</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供应商提供光盘、USB闪存盘、镜像文件（下载）等交付方式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服务周期</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★产品维护周期</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产品自发布之日起至产品停止功能升级（包含不限于新特性、新硬件支持、问题修复、安全补丁等）之日止≥5年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★产品延伸服务周期</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产品停止功能升级之日起至产品停止功能维护（包括问题修复、安全补丁等）之日止≥5年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149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★产品延伸安全服务周期</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★售后服务最小保障期</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售后服务</w:t>
            </w:r>
          </w:p>
        </w:tc>
        <w:tc>
          <w:tcPr>
            <w:tcW w:w="1519" w:type="dxa"/>
            <w:noWrap w:val="0"/>
            <w:vAlign w:val="center"/>
          </w:tcPr>
          <w:p>
            <w:pPr>
              <w:widowControl/>
              <w:jc w:val="left"/>
              <w:rPr>
                <w:rFonts w:ascii="宋体" w:hAnsi="宋体" w:cs="Arial"/>
                <w:color w:val="000000"/>
                <w:kern w:val="0"/>
                <w:sz w:val="24"/>
              </w:rPr>
            </w:pPr>
            <w:bookmarkStart w:id="2" w:name="OLE_LINK7"/>
            <w:r>
              <w:rPr>
                <w:rFonts w:hint="eastAsia" w:ascii="宋体" w:hAnsi="宋体" w:cs="Arial"/>
                <w:kern w:val="0"/>
                <w:sz w:val="24"/>
              </w:rPr>
              <w:t>★</w:t>
            </w:r>
            <w:bookmarkEnd w:id="2"/>
            <w:r>
              <w:rPr>
                <w:rFonts w:hint="eastAsia" w:ascii="宋体" w:hAnsi="宋体" w:cs="Arial"/>
                <w:kern w:val="0"/>
                <w:sz w:val="24"/>
              </w:rPr>
              <w:t>原厂服务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服务由操作系统厂商的正式员工提供，不由代理商提供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★服务热线电话</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操作系统厂商为最终用户提供工作日每日不少于8h（覆盖一般工作时间，具体时间由企业标准给出）中文技术服务热线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★技术服务标准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操作系统厂商提供工作日每日不少于8h技术支持服务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定制优化增值服务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操作系统厂商提供代码级定制优化服务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★技术服务时效</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操作系统厂商满足同城4h、异地12h响要求，两个工作日解决问题，对于未能解决的问题和故障提供可行的升级方案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★技术服务保障</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发生非人为因素故障，在七日内由操作系统厂商原厂人员免费对产品进行补充或更换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现场交付与安装调试</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★现场安装调试</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操作系统厂商提供产品安装与现场调试，并提供安装与调试所需的工具和设备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★配套资料</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交付产品时操作系统厂商提供配套的技术资料，包括但不限于系统说明文件、用户手册（用户安装、操作、维护、故障排除）等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159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系统更换</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★系统更换</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服务期内，操作系统厂商支持版本免费更换（注：更换后不延长服务期）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服务要求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厂商能力要求</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★服务团队</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操作系统厂商建立全国技术服务体系和服务团队，为客户提供专业的原厂中文服务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供应保障要求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数据安全保障</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★数据收集安全保障</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除用户授权采集的信息外不采集其他数据，相关信息采集无安全风险，相关数据存储在大陆境内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供应保障要求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★数据供给安全保障</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涉及数据下载的线上服务物理服务器不出境，包括代码仓库、系统补丁、安全补丁、服务网站等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供应保障要求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代码无风险</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★代码无风险</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操作系统厂商提供源代码，源代码可供第三方机构审查，开源许可合规，代码知识产权无风险，无恶意安全漏洞或后门，代码可追溯、可重构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供应保障要求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工程构建体系</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工程构建体系</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操作系统厂商具备统一的工程构建体系，能用一套操作系统源码构建用于云侧计算、边侧计算场景中部署运行的操作系统，降低部署后系统维护、使用复杂度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基本要求</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★基本要求</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操作系统应当符合安全可靠测评要求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密码算法支持</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★密码算法实现</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操作系统支持GM/T0002、GM/T0003和GM/T0004规定的密码算法运算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★随机数生成</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操作系统随机数质量符合GM/T0005《随机性检测规范》或GB/T32915《信息安全技术二元序列随机性检测方法》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★内置数字证书</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操作系统内置国家电子认证根CA的根证书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169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★密码协议实现</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操作系统支持符合GB/T38636—2020的TLCP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安全管理</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★防火墙</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操作系统提供防火墙配置管理工具，支持基于协议、网络地址、端口的访问控制规则配置，规则修改后立即生效；支持关闭指定服务和端口，包括但不限于关闭远程访问、共享访问等；支持防止ARP欺骗攻击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171</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★安全框架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kern w:val="0"/>
                <w:sz w:val="24"/>
              </w:rPr>
              <w:t>操作系统提供统一访问控制安全框架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172</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三员管理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操作系统支持系统管理员、安全管理员、审计管理员分权管理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173</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文件完整性</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操作系统支持静态文件度量（如IMA）和动态内存度量，保障特定文件及内存中运行程序的完整性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174</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可信计算</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操作系统支持机密计算框架，提供机密计算SDK，能接入1种以上可信执行环境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175</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内核保护</w:t>
            </w:r>
          </w:p>
        </w:tc>
        <w:tc>
          <w:tcPr>
            <w:tcW w:w="4145" w:type="dxa"/>
            <w:noWrap w:val="0"/>
            <w:vAlign w:val="center"/>
          </w:tcPr>
          <w:p>
            <w:pPr>
              <w:widowControl/>
              <w:jc w:val="left"/>
              <w:rPr>
                <w:rFonts w:ascii="宋体" w:hAnsi="宋体" w:cs="Arial"/>
                <w:kern w:val="0"/>
                <w:sz w:val="24"/>
              </w:rPr>
            </w:pPr>
            <w:r>
              <w:rPr>
                <w:rFonts w:hint="eastAsia" w:ascii="宋体" w:hAnsi="宋体" w:cs="Arial"/>
                <w:kern w:val="0"/>
                <w:sz w:val="24"/>
              </w:rPr>
              <w:t>操作系统支持内核完整性保护，保障内核不被非授权改变；提供内核模块加载黑名单机制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176</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身份鉴别</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★身份鉴别服务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用户标识使用帐户名和帐户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帐户（root）远程登录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177</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restart"/>
            <w:noWrap w:val="0"/>
            <w:vAlign w:val="center"/>
          </w:tcPr>
          <w:p>
            <w:pPr>
              <w:widowControl/>
              <w:jc w:val="center"/>
              <w:rPr>
                <w:rFonts w:ascii="宋体" w:hAnsi="宋体" w:cs="Arial"/>
                <w:color w:val="000000"/>
                <w:kern w:val="0"/>
                <w:sz w:val="24"/>
              </w:rPr>
            </w:pPr>
            <w:r>
              <w:rPr>
                <w:rFonts w:hint="eastAsia" w:ascii="宋体" w:hAnsi="宋体" w:cs="Arial"/>
                <w:kern w:val="0"/>
                <w:sz w:val="24"/>
              </w:rPr>
              <w:t>访问控制</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★自主访问控制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178</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★强制访问控制</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操作系统支持对应用程序的访问控制与资源限制，包括对文件、网络等客体的访问控制；支持应用安装控制、应用执行控制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179</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vMerge w:val="continue"/>
            <w:noWrap w:val="0"/>
            <w:vAlign w:val="center"/>
          </w:tcPr>
          <w:p>
            <w:pPr>
              <w:widowControl/>
              <w:jc w:val="left"/>
              <w:rPr>
                <w:rFonts w:ascii="宋体" w:hAnsi="宋体" w:cs="Arial"/>
                <w:color w:val="000000"/>
                <w:kern w:val="0"/>
                <w:sz w:val="24"/>
              </w:rPr>
            </w:pP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★安全审计</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trPr>
        <w:tc>
          <w:tcPr>
            <w:tcW w:w="627"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180</w:t>
            </w:r>
          </w:p>
        </w:tc>
        <w:tc>
          <w:tcPr>
            <w:tcW w:w="928" w:type="dxa"/>
            <w:noWrap w:val="0"/>
            <w:vAlign w:val="center"/>
          </w:tcPr>
          <w:p>
            <w:pPr>
              <w:widowControl/>
              <w:jc w:val="center"/>
              <w:rPr>
                <w:rFonts w:ascii="宋体" w:hAnsi="宋体" w:cs="Arial"/>
                <w:color w:val="000000"/>
                <w:kern w:val="0"/>
                <w:sz w:val="24"/>
              </w:rPr>
            </w:pPr>
            <w:r>
              <w:rPr>
                <w:rFonts w:hint="eastAsia" w:ascii="宋体" w:hAnsi="宋体" w:cs="Arial"/>
                <w:color w:val="000000"/>
                <w:kern w:val="0"/>
                <w:sz w:val="24"/>
              </w:rPr>
              <w:t>安全要求</w:t>
            </w:r>
          </w:p>
        </w:tc>
        <w:tc>
          <w:tcPr>
            <w:tcW w:w="1071" w:type="dxa"/>
            <w:noWrap w:val="0"/>
            <w:vAlign w:val="center"/>
          </w:tcPr>
          <w:p>
            <w:pPr>
              <w:widowControl/>
              <w:jc w:val="center"/>
              <w:rPr>
                <w:rFonts w:ascii="宋体" w:hAnsi="宋体" w:cs="Arial"/>
                <w:color w:val="000000"/>
                <w:kern w:val="0"/>
                <w:sz w:val="24"/>
              </w:rPr>
            </w:pPr>
            <w:r>
              <w:rPr>
                <w:rFonts w:hint="eastAsia" w:ascii="宋体" w:hAnsi="宋体" w:cs="Arial"/>
                <w:kern w:val="0"/>
                <w:sz w:val="24"/>
              </w:rPr>
              <w:t>漏洞管理</w:t>
            </w:r>
          </w:p>
        </w:tc>
        <w:tc>
          <w:tcPr>
            <w:tcW w:w="1519" w:type="dxa"/>
            <w:noWrap w:val="0"/>
            <w:vAlign w:val="center"/>
          </w:tcPr>
          <w:p>
            <w:pPr>
              <w:widowControl/>
              <w:jc w:val="left"/>
              <w:rPr>
                <w:rFonts w:ascii="宋体" w:hAnsi="宋体" w:cs="Arial"/>
                <w:color w:val="000000"/>
                <w:kern w:val="0"/>
                <w:sz w:val="24"/>
              </w:rPr>
            </w:pPr>
            <w:r>
              <w:rPr>
                <w:rFonts w:hint="eastAsia" w:ascii="宋体" w:hAnsi="宋体" w:cs="Arial"/>
                <w:kern w:val="0"/>
                <w:sz w:val="24"/>
              </w:rPr>
              <w:t>★漏洞管理</w:t>
            </w:r>
          </w:p>
        </w:tc>
        <w:tc>
          <w:tcPr>
            <w:tcW w:w="4145" w:type="dxa"/>
            <w:noWrap w:val="0"/>
            <w:vAlign w:val="center"/>
          </w:tcPr>
          <w:p>
            <w:pPr>
              <w:widowControl/>
              <w:jc w:val="left"/>
              <w:rPr>
                <w:rFonts w:ascii="宋体" w:hAnsi="宋体" w:cs="Arial"/>
                <w:color w:val="000000"/>
                <w:kern w:val="0"/>
                <w:sz w:val="24"/>
              </w:rPr>
            </w:pPr>
            <w:r>
              <w:rPr>
                <w:rFonts w:hint="eastAsia" w:ascii="宋体" w:hAnsi="宋体" w:cs="Arial"/>
                <w:color w:val="000000"/>
                <w:kern w:val="0"/>
                <w:sz w:val="24"/>
              </w:rPr>
              <w:t>操作系统支持漏洞编号，每个漏洞独立编号，可直接使用NVDB、CNVD或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r>
    </w:tbl>
    <w:p/>
    <w:p>
      <w:pPr>
        <w:pStyle w:val="3"/>
        <w:numPr>
          <w:ilvl w:val="3"/>
          <w:numId w:val="1"/>
        </w:numPr>
        <w:rPr>
          <w:rFonts w:hAnsi="宋体" w:cs="宋体"/>
          <w:szCs w:val="24"/>
        </w:rPr>
      </w:pPr>
      <w:r>
        <w:rPr>
          <w:rFonts w:hint="eastAsia" w:hAnsi="宋体" w:cs="宋体"/>
          <w:color w:val="000000"/>
          <w:lang w:val="en-US" w:eastAsia="zh-CN"/>
        </w:rPr>
        <w:t>在满足通用参数基础上</w:t>
      </w:r>
      <w:r>
        <w:rPr>
          <w:rFonts w:hint="eastAsia" w:hAnsi="宋体" w:cs="宋体"/>
          <w:szCs w:val="24"/>
        </w:rPr>
        <w:t>服务器操作系统1</w:t>
      </w:r>
      <w:r>
        <w:rPr>
          <w:rFonts w:hint="eastAsia" w:hAnsi="宋体" w:cs="宋体"/>
          <w:szCs w:val="24"/>
          <w:lang w:val="en-US" w:eastAsia="zh-CN"/>
        </w:rPr>
        <w:t>需满足的其他</w:t>
      </w:r>
      <w:r>
        <w:rPr>
          <w:rFonts w:hint="eastAsia" w:hAnsi="宋体" w:cs="宋体"/>
          <w:szCs w:val="24"/>
        </w:rPr>
        <w:t>参数</w:t>
      </w:r>
      <w:r>
        <w:rPr>
          <w:rFonts w:hint="eastAsia" w:hAnsi="宋体" w:cs="宋体"/>
          <w:szCs w:val="24"/>
          <w:lang w:val="en-US" w:eastAsia="zh-CN"/>
        </w:rPr>
        <w:t>要求</w:t>
      </w:r>
    </w:p>
    <w:tbl>
      <w:tblPr>
        <w:tblStyle w:val="4"/>
        <w:tblW w:w="8290" w:type="dxa"/>
        <w:tblInd w:w="0" w:type="dxa"/>
        <w:tblLayout w:type="fixed"/>
        <w:tblCellMar>
          <w:top w:w="0" w:type="dxa"/>
          <w:left w:w="108" w:type="dxa"/>
          <w:bottom w:w="0" w:type="dxa"/>
          <w:right w:w="108" w:type="dxa"/>
        </w:tblCellMar>
      </w:tblPr>
      <w:tblGrid>
        <w:gridCol w:w="736"/>
        <w:gridCol w:w="1244"/>
        <w:gridCol w:w="6310"/>
      </w:tblGrid>
      <w:tr>
        <w:tblPrEx>
          <w:tblLayout w:type="fixed"/>
          <w:tblCellMar>
            <w:top w:w="0" w:type="dxa"/>
            <w:left w:w="108" w:type="dxa"/>
            <w:bottom w:w="0" w:type="dxa"/>
            <w:right w:w="108" w:type="dxa"/>
          </w:tblCellMar>
        </w:tblPrEx>
        <w:trPr>
          <w:trHeight w:val="285"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序号</w:t>
            </w:r>
          </w:p>
        </w:tc>
        <w:tc>
          <w:tcPr>
            <w:tcW w:w="12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分类</w:t>
            </w:r>
          </w:p>
        </w:tc>
        <w:tc>
          <w:tcPr>
            <w:tcW w:w="63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指标要求</w:t>
            </w:r>
          </w:p>
        </w:tc>
      </w:tr>
      <w:tr>
        <w:tblPrEx>
          <w:tblLayout w:type="fixed"/>
          <w:tblCellMar>
            <w:top w:w="0" w:type="dxa"/>
            <w:left w:w="108" w:type="dxa"/>
            <w:bottom w:w="0" w:type="dxa"/>
            <w:right w:w="108" w:type="dxa"/>
          </w:tblCellMar>
        </w:tblPrEx>
        <w:trPr>
          <w:trHeight w:val="810"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44" w:type="dxa"/>
            <w:vMerge w:val="restart"/>
            <w:tcBorders>
              <w:top w:val="nil"/>
              <w:left w:val="nil"/>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p>
          <w:p>
            <w:pPr>
              <w:jc w:val="center"/>
              <w:rPr>
                <w:rFonts w:ascii="宋体" w:hAnsi="宋体" w:cs="宋体"/>
                <w:color w:val="000000"/>
                <w:kern w:val="0"/>
                <w:sz w:val="22"/>
                <w:szCs w:val="22"/>
              </w:rPr>
            </w:pPr>
            <w:r>
              <w:rPr>
                <w:rFonts w:hint="eastAsia" w:ascii="宋体" w:hAnsi="宋体" w:cs="宋体"/>
                <w:color w:val="000000"/>
                <w:kern w:val="0"/>
                <w:sz w:val="22"/>
                <w:szCs w:val="22"/>
              </w:rPr>
              <w:t>功能要求</w:t>
            </w:r>
          </w:p>
        </w:tc>
        <w:tc>
          <w:tcPr>
            <w:tcW w:w="631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#具备所投服务器操作系统同品牌系统通用性能评分套件软件和系统通用压力分析套件软件。（提供软件著作权复印件并加盖投标人公章）</w:t>
            </w:r>
          </w:p>
        </w:tc>
      </w:tr>
      <w:tr>
        <w:tblPrEx>
          <w:tblLayout w:type="fixed"/>
          <w:tblCellMar>
            <w:top w:w="0" w:type="dxa"/>
            <w:left w:w="108" w:type="dxa"/>
            <w:bottom w:w="0" w:type="dxa"/>
            <w:right w:w="108" w:type="dxa"/>
          </w:tblCellMar>
        </w:tblPrEx>
        <w:trPr>
          <w:trHeight w:val="825" w:hRule="atLeast"/>
        </w:trPr>
        <w:tc>
          <w:tcPr>
            <w:tcW w:w="7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1244"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631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#支持商用密码内核模块，签名机制支持SM2/3/4算法，禁止未签名模块加载至内核。（提供测试结果截图证明）</w:t>
            </w:r>
          </w:p>
        </w:tc>
      </w:tr>
      <w:tr>
        <w:tblPrEx>
          <w:tblLayout w:type="fixed"/>
          <w:tblCellMar>
            <w:top w:w="0" w:type="dxa"/>
            <w:left w:w="108" w:type="dxa"/>
            <w:bottom w:w="0" w:type="dxa"/>
            <w:right w:w="108" w:type="dxa"/>
          </w:tblCellMar>
        </w:tblPrEx>
        <w:trPr>
          <w:trHeight w:val="1095" w:hRule="atLeast"/>
        </w:trPr>
        <w:tc>
          <w:tcPr>
            <w:tcW w:w="7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124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631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bookmarkStart w:id="3" w:name="OLE_LINK12"/>
            <w:r>
              <w:rPr>
                <w:rFonts w:hint="eastAsia" w:ascii="宋体" w:hAnsi="宋体" w:cs="宋体"/>
                <w:color w:val="000000"/>
                <w:kern w:val="0"/>
                <w:sz w:val="22"/>
                <w:szCs w:val="22"/>
              </w:rPr>
              <w:t>#支持OpenSSL、Libgcrypt、Gnulib、Nettle、Hashes、libkcapi、OpenSSH等常见商用密码算法库，OpenSSL须支持X509、PKCS#7证书。（提供功能要求相关测试步骤及测试结果截图证明）</w:t>
            </w:r>
            <w:bookmarkEnd w:id="3"/>
          </w:p>
        </w:tc>
      </w:tr>
      <w:tr>
        <w:tblPrEx>
          <w:tblLayout w:type="fixed"/>
          <w:tblCellMar>
            <w:top w:w="0" w:type="dxa"/>
            <w:left w:w="108" w:type="dxa"/>
            <w:bottom w:w="0" w:type="dxa"/>
            <w:right w:w="108" w:type="dxa"/>
          </w:tblCellMar>
        </w:tblPrEx>
        <w:trPr>
          <w:trHeight w:val="810" w:hRule="atLeast"/>
        </w:trPr>
        <w:tc>
          <w:tcPr>
            <w:tcW w:w="7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12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桌面环境</w:t>
            </w:r>
          </w:p>
        </w:tc>
        <w:tc>
          <w:tcPr>
            <w:tcW w:w="631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#系统默认集成自研DDE桌面环境。包括设备管理器、启动盘制作工具、窗口管理器、安全中心等功能组成。（需提供功能截图和软件著作权复印件并加盖投标人公章）</w:t>
            </w:r>
          </w:p>
        </w:tc>
      </w:tr>
    </w:tbl>
    <w:p>
      <w:pPr>
        <w:spacing w:line="360" w:lineRule="auto"/>
        <w:ind w:firstLine="480" w:firstLineChars="200"/>
        <w:rPr>
          <w:rFonts w:ascii="宋体" w:hAnsi="宋体" w:cs="宋体"/>
          <w:sz w:val="24"/>
        </w:rPr>
      </w:pPr>
    </w:p>
    <w:p>
      <w:pPr>
        <w:pStyle w:val="3"/>
        <w:numPr>
          <w:ilvl w:val="3"/>
          <w:numId w:val="1"/>
        </w:numPr>
        <w:rPr>
          <w:rFonts w:hAnsi="宋体" w:cs="宋体"/>
          <w:szCs w:val="24"/>
        </w:rPr>
      </w:pPr>
      <w:r>
        <w:rPr>
          <w:rFonts w:hint="eastAsia" w:hAnsi="宋体" w:cs="宋体"/>
          <w:color w:val="000000"/>
          <w:lang w:val="en-US" w:eastAsia="zh-CN"/>
        </w:rPr>
        <w:t>在满足通用参数基础上</w:t>
      </w:r>
      <w:r>
        <w:rPr>
          <w:rFonts w:hint="eastAsia" w:hAnsi="宋体" w:cs="宋体"/>
          <w:szCs w:val="24"/>
        </w:rPr>
        <w:t>服务器操作系统</w:t>
      </w:r>
      <w:r>
        <w:rPr>
          <w:rFonts w:hint="eastAsia" w:hAnsi="宋体" w:cs="宋体"/>
          <w:szCs w:val="24"/>
          <w:lang w:val="en-US" w:eastAsia="zh-CN"/>
        </w:rPr>
        <w:t>2需满足的其他</w:t>
      </w:r>
      <w:r>
        <w:rPr>
          <w:rFonts w:hint="eastAsia" w:hAnsi="宋体" w:cs="宋体"/>
          <w:szCs w:val="24"/>
        </w:rPr>
        <w:t>参数</w:t>
      </w:r>
      <w:r>
        <w:rPr>
          <w:rFonts w:hint="eastAsia" w:hAnsi="宋体" w:cs="宋体"/>
          <w:szCs w:val="24"/>
          <w:lang w:val="en-US" w:eastAsia="zh-CN"/>
        </w:rPr>
        <w:t>要求</w:t>
      </w:r>
    </w:p>
    <w:tbl>
      <w:tblPr>
        <w:tblStyle w:val="4"/>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44"/>
        <w:gridCol w:w="6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36"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1244"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分类</w:t>
            </w:r>
          </w:p>
        </w:tc>
        <w:tc>
          <w:tcPr>
            <w:tcW w:w="6310"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36" w:type="dxa"/>
            <w:noWrap/>
            <w:vAlign w:val="center"/>
          </w:tcPr>
          <w:p>
            <w:pPr>
              <w:widowControl/>
              <w:jc w:val="center"/>
              <w:rPr>
                <w:rFonts w:ascii="宋体" w:hAnsi="宋体" w:cs="宋体"/>
                <w:kern w:val="0"/>
                <w:sz w:val="22"/>
                <w:szCs w:val="22"/>
              </w:rPr>
            </w:pPr>
            <w:r>
              <w:rPr>
                <w:rFonts w:ascii="宋体" w:hAnsi="宋体" w:cs="宋体"/>
                <w:kern w:val="0"/>
                <w:sz w:val="22"/>
                <w:szCs w:val="22"/>
              </w:rPr>
              <w:t>1</w:t>
            </w:r>
          </w:p>
        </w:tc>
        <w:tc>
          <w:tcPr>
            <w:tcW w:w="1244"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访问控制</w:t>
            </w:r>
          </w:p>
        </w:tc>
        <w:tc>
          <w:tcPr>
            <w:tcW w:w="6310" w:type="dxa"/>
            <w:noWrap w:val="0"/>
            <w:vAlign w:val="center"/>
          </w:tcPr>
          <w:p>
            <w:pPr>
              <w:widowControl/>
              <w:rPr>
                <w:rFonts w:ascii="宋体" w:hAnsi="宋体" w:cs="宋体"/>
                <w:kern w:val="0"/>
                <w:sz w:val="22"/>
                <w:szCs w:val="22"/>
              </w:rPr>
            </w:pPr>
            <w:r>
              <w:rPr>
                <w:rFonts w:hint="eastAsia" w:ascii="宋体" w:hAnsi="宋体" w:cs="宋体"/>
                <w:color w:val="000000"/>
                <w:kern w:val="0"/>
                <w:sz w:val="22"/>
                <w:szCs w:val="22"/>
              </w:rPr>
              <w:t>#系统可支持强制访问控制，并可提供两种或以上强制访问控制模块联合加载，如SELINUX、APPARMOR等。</w:t>
            </w:r>
            <w:r>
              <w:rPr>
                <w:rFonts w:hint="eastAsia" w:ascii="宋体" w:hAnsi="宋体" w:cs="宋体"/>
                <w:kern w:val="0"/>
                <w:sz w:val="22"/>
                <w:szCs w:val="22"/>
              </w:rPr>
              <w:t>（须提供系统截图)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736" w:type="dxa"/>
            <w:noWrap/>
            <w:vAlign w:val="center"/>
          </w:tcPr>
          <w:p>
            <w:pPr>
              <w:widowControl/>
              <w:jc w:val="center"/>
              <w:rPr>
                <w:rFonts w:ascii="宋体" w:hAnsi="宋体" w:cs="宋体"/>
                <w:kern w:val="0"/>
                <w:sz w:val="22"/>
                <w:szCs w:val="22"/>
              </w:rPr>
            </w:pPr>
            <w:r>
              <w:rPr>
                <w:rFonts w:ascii="宋体" w:hAnsi="宋体" w:cs="宋体"/>
                <w:kern w:val="0"/>
                <w:sz w:val="22"/>
                <w:szCs w:val="22"/>
              </w:rPr>
              <w:t>2</w:t>
            </w:r>
          </w:p>
        </w:tc>
        <w:tc>
          <w:tcPr>
            <w:tcW w:w="1244" w:type="dxa"/>
            <w:noWrap w:val="0"/>
            <w:vAlign w:val="center"/>
          </w:tcPr>
          <w:p>
            <w:pPr>
              <w:widowControl/>
              <w:jc w:val="center"/>
              <w:rPr>
                <w:rFonts w:ascii="宋体" w:hAnsi="宋体" w:cs="宋体"/>
                <w:kern w:val="0"/>
                <w:sz w:val="22"/>
                <w:szCs w:val="22"/>
              </w:rPr>
            </w:pPr>
            <w:r>
              <w:rPr>
                <w:rFonts w:hint="eastAsia" w:ascii="宋体" w:hAnsi="宋体" w:cs="宋体"/>
                <w:color w:val="000000"/>
                <w:kern w:val="0"/>
                <w:sz w:val="22"/>
                <w:szCs w:val="22"/>
              </w:rPr>
              <w:t>数据隔离</w:t>
            </w:r>
          </w:p>
        </w:tc>
        <w:tc>
          <w:tcPr>
            <w:tcW w:w="6310" w:type="dxa"/>
            <w:noWrap w:val="0"/>
            <w:vAlign w:val="center"/>
          </w:tcPr>
          <w:p>
            <w:pPr>
              <w:widowControl/>
              <w:rPr>
                <w:rFonts w:ascii="宋体" w:hAnsi="宋体" w:cs="宋体"/>
                <w:kern w:val="0"/>
                <w:sz w:val="22"/>
                <w:szCs w:val="22"/>
              </w:rPr>
            </w:pPr>
            <w:r>
              <w:rPr>
                <w:rFonts w:hint="eastAsia" w:ascii="宋体" w:hAnsi="宋体" w:cs="宋体"/>
                <w:kern w:val="0"/>
                <w:sz w:val="22"/>
                <w:szCs w:val="22"/>
              </w:rPr>
              <w:t>#</w:t>
            </w:r>
            <w:r>
              <w:rPr>
                <w:rFonts w:hint="eastAsia" w:ascii="宋体" w:hAnsi="宋体" w:cs="宋体"/>
                <w:color w:val="000000"/>
                <w:kern w:val="0"/>
                <w:sz w:val="22"/>
                <w:szCs w:val="22"/>
              </w:rPr>
              <w:t>系统内置原生的私有数据隔离保护技术，通过该技术包括管理员在内的任何其他用户都不能进行非授权访问。</w:t>
            </w:r>
            <w:r>
              <w:rPr>
                <w:rFonts w:hint="eastAsia" w:ascii="宋体" w:hAnsi="宋体" w:cs="宋体"/>
                <w:kern w:val="0"/>
                <w:sz w:val="22"/>
                <w:szCs w:val="22"/>
              </w:rPr>
              <w:t>（须提供系统截图)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73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44" w:type="dxa"/>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文件保护箱</w:t>
            </w:r>
          </w:p>
        </w:tc>
        <w:tc>
          <w:tcPr>
            <w:tcW w:w="6310" w:type="dxa"/>
            <w:noWrap w:val="0"/>
            <w:vAlign w:val="center"/>
          </w:tcPr>
          <w:p>
            <w:pPr>
              <w:widowControl/>
              <w:rPr>
                <w:rFonts w:ascii="宋体" w:hAnsi="宋体" w:cs="宋体"/>
                <w:color w:val="000000"/>
                <w:kern w:val="0"/>
                <w:sz w:val="22"/>
                <w:szCs w:val="22"/>
              </w:rPr>
            </w:pPr>
            <w:r>
              <w:rPr>
                <w:rFonts w:hint="eastAsia" w:ascii="宋体" w:hAnsi="宋体" w:cs="宋体"/>
                <w:kern w:val="0"/>
                <w:sz w:val="22"/>
                <w:szCs w:val="22"/>
              </w:rPr>
              <w:t>#</w:t>
            </w:r>
            <w:r>
              <w:rPr>
                <w:rFonts w:hint="eastAsia" w:ascii="宋体" w:hAnsi="宋体" w:cs="宋体"/>
                <w:color w:val="000000"/>
                <w:kern w:val="0"/>
                <w:sz w:val="22"/>
                <w:szCs w:val="22"/>
              </w:rPr>
              <w:t>操作系统可提供原生数据隔离保护BOX机制，具备文件保护箱。</w:t>
            </w:r>
            <w:r>
              <w:rPr>
                <w:rFonts w:hint="eastAsia" w:ascii="宋体" w:hAnsi="宋体" w:cs="宋体"/>
                <w:kern w:val="0"/>
                <w:sz w:val="22"/>
                <w:szCs w:val="22"/>
              </w:rPr>
              <w:t>（须提供系统截图)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736" w:type="dxa"/>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44" w:type="dxa"/>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备份与恢复</w:t>
            </w:r>
          </w:p>
        </w:tc>
        <w:tc>
          <w:tcPr>
            <w:tcW w:w="6310" w:type="dxa"/>
            <w:noWrap w:val="0"/>
            <w:vAlign w:val="center"/>
          </w:tcPr>
          <w:p>
            <w:pPr>
              <w:widowControl/>
              <w:rPr>
                <w:rFonts w:ascii="宋体" w:hAnsi="宋体" w:cs="宋体"/>
                <w:kern w:val="0"/>
                <w:sz w:val="22"/>
                <w:szCs w:val="22"/>
              </w:rPr>
            </w:pPr>
            <w:r>
              <w:rPr>
                <w:rFonts w:hint="eastAsia" w:ascii="宋体" w:hAnsi="宋体" w:cs="宋体"/>
                <w:kern w:val="0"/>
                <w:sz w:val="22"/>
                <w:szCs w:val="22"/>
              </w:rPr>
              <w:t>#</w:t>
            </w:r>
            <w:r>
              <w:rPr>
                <w:rFonts w:hint="eastAsia" w:ascii="宋体" w:hAnsi="宋体" w:cs="宋体"/>
                <w:color w:val="000000"/>
                <w:kern w:val="0"/>
                <w:sz w:val="22"/>
                <w:szCs w:val="22"/>
              </w:rPr>
              <w:t>支持利用系统原生工具生成系统状体快照，支持全量备份、增量备份，支持利用系统本分恢复系统状态。</w:t>
            </w:r>
            <w:r>
              <w:rPr>
                <w:rFonts w:hint="eastAsia" w:ascii="宋体" w:hAnsi="宋体" w:cs="宋体"/>
                <w:kern w:val="0"/>
                <w:sz w:val="22"/>
                <w:szCs w:val="22"/>
              </w:rPr>
              <w:t>（须提供系统截图)</w:t>
            </w:r>
          </w:p>
        </w:tc>
      </w:tr>
    </w:tbl>
    <w:p>
      <w:pPr>
        <w:pStyle w:val="3"/>
        <w:numPr>
          <w:ilvl w:val="2"/>
          <w:numId w:val="1"/>
        </w:numPr>
        <w:rPr>
          <w:rFonts w:hAnsi="宋体" w:cs="宋体"/>
          <w:szCs w:val="24"/>
        </w:rPr>
      </w:pPr>
      <w:r>
        <w:rPr>
          <w:rFonts w:hint="eastAsia" w:hAnsi="宋体" w:cs="宋体"/>
          <w:szCs w:val="24"/>
        </w:rPr>
        <w:t>集中式数据库通用参数</w:t>
      </w:r>
    </w:p>
    <w:tbl>
      <w:tblPr>
        <w:tblStyle w:val="4"/>
        <w:tblW w:w="8290" w:type="dxa"/>
        <w:tblInd w:w="0" w:type="dxa"/>
        <w:tblLayout w:type="fixed"/>
        <w:tblCellMar>
          <w:top w:w="0" w:type="dxa"/>
          <w:left w:w="108" w:type="dxa"/>
          <w:bottom w:w="0" w:type="dxa"/>
          <w:right w:w="108" w:type="dxa"/>
        </w:tblCellMar>
      </w:tblPr>
      <w:tblGrid>
        <w:gridCol w:w="561"/>
        <w:gridCol w:w="711"/>
        <w:gridCol w:w="991"/>
        <w:gridCol w:w="1985"/>
        <w:gridCol w:w="4042"/>
      </w:tblGrid>
      <w:tr>
        <w:tblPrEx>
          <w:tblLayout w:type="fixed"/>
          <w:tblCellMar>
            <w:top w:w="0" w:type="dxa"/>
            <w:left w:w="108" w:type="dxa"/>
            <w:bottom w:w="0" w:type="dxa"/>
            <w:right w:w="108" w:type="dxa"/>
          </w:tblCellMar>
        </w:tblPrEx>
        <w:trPr>
          <w:trHeight w:val="495"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b/>
                <w:bCs/>
                <w:color w:val="000000"/>
                <w:kern w:val="0"/>
                <w:sz w:val="22"/>
                <w:szCs w:val="22"/>
              </w:rPr>
            </w:pPr>
            <w:r>
              <w:rPr>
                <w:rFonts w:hint="eastAsia" w:ascii="宋体" w:hAnsi="宋体" w:cs="Arial"/>
                <w:b/>
                <w:bCs/>
                <w:kern w:val="0"/>
                <w:sz w:val="22"/>
                <w:szCs w:val="22"/>
              </w:rPr>
              <w:t>序号</w:t>
            </w:r>
          </w:p>
        </w:tc>
        <w:tc>
          <w:tcPr>
            <w:tcW w:w="71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指标分类</w:t>
            </w:r>
          </w:p>
        </w:tc>
        <w:tc>
          <w:tcPr>
            <w:tcW w:w="99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22"/>
                <w:szCs w:val="22"/>
              </w:rPr>
            </w:pPr>
            <w:r>
              <w:fldChar w:fldCharType="begin"/>
            </w:r>
            <w:r>
              <w:instrText xml:space="preserve"> HYPERLINK "file:///C:\\Users\\Miles\\Downloads\\数据库标准.xlsx" \l "RANGE!A1" </w:instrText>
            </w:r>
            <w:r>
              <w:fldChar w:fldCharType="separate"/>
            </w:r>
            <w:r>
              <w:rPr>
                <w:rFonts w:hint="eastAsia" w:ascii="宋体" w:hAnsi="宋体" w:cs="Arial"/>
                <w:b/>
                <w:bCs/>
                <w:kern w:val="0"/>
                <w:sz w:val="22"/>
                <w:szCs w:val="22"/>
              </w:rPr>
              <w:t>一级指标</w:t>
            </w:r>
            <w:r>
              <w:rPr>
                <w:rFonts w:hint="eastAsia" w:ascii="宋体" w:hAnsi="宋体" w:cs="Arial"/>
                <w:b/>
                <w:bCs/>
                <w:kern w:val="0"/>
                <w:sz w:val="22"/>
                <w:szCs w:val="22"/>
              </w:rPr>
              <w:fldChar w:fldCharType="end"/>
            </w:r>
          </w:p>
        </w:tc>
        <w:tc>
          <w:tcPr>
            <w:tcW w:w="1985" w:type="dxa"/>
            <w:tcBorders>
              <w:top w:val="single" w:color="000000" w:sz="4" w:space="0"/>
              <w:left w:val="nil"/>
              <w:bottom w:val="single" w:color="000000" w:sz="4" w:space="0"/>
              <w:right w:val="nil"/>
            </w:tcBorders>
            <w:noWrap w:val="0"/>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二级指标</w:t>
            </w:r>
          </w:p>
        </w:tc>
        <w:tc>
          <w:tcPr>
            <w:tcW w:w="4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b/>
                <w:bCs/>
                <w:color w:val="000000"/>
                <w:kern w:val="0"/>
                <w:sz w:val="22"/>
                <w:szCs w:val="22"/>
              </w:rPr>
            </w:pPr>
            <w:r>
              <w:rPr>
                <w:rFonts w:hint="eastAsia" w:ascii="宋体" w:hAnsi="宋体" w:cs="Arial"/>
                <w:b/>
                <w:bCs/>
                <w:kern w:val="0"/>
                <w:sz w:val="22"/>
                <w:szCs w:val="22"/>
              </w:rPr>
              <w:t>指标要求</w:t>
            </w:r>
          </w:p>
        </w:tc>
      </w:tr>
      <w:tr>
        <w:tblPrEx>
          <w:tblLayout w:type="fixed"/>
          <w:tblCellMar>
            <w:top w:w="0" w:type="dxa"/>
            <w:left w:w="108" w:type="dxa"/>
            <w:bottom w:w="0" w:type="dxa"/>
            <w:right w:w="108" w:type="dxa"/>
          </w:tblCellMar>
        </w:tblPrEx>
        <w:trPr>
          <w:trHeight w:val="145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安装与升级</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★数据库安装</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a)支持命令行或图形化的安装；b)支持命令行或图形化的可配置安装能力；c)依据安装环境提供相应的初始化参数配置值；d)提供图形化软件组件管理向导工具</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★数据库重启</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pPr>
            <w:r>
              <w:rPr>
                <w:rFonts w:hint="eastAsia"/>
              </w:rPr>
              <w:t>a)支持命令行或图形化的方式关闭和启动服务；b)关闭服务后，再启动服务，服务正常</w:t>
            </w:r>
          </w:p>
          <w:p>
            <w:pPr>
              <w:pStyle w:val="2"/>
            </w:pPr>
          </w:p>
        </w:tc>
      </w:tr>
      <w:tr>
        <w:tblPrEx>
          <w:tblLayout w:type="fixed"/>
          <w:tblCellMar>
            <w:top w:w="0" w:type="dxa"/>
            <w:left w:w="108" w:type="dxa"/>
            <w:bottom w:w="0" w:type="dxa"/>
            <w:right w:w="108" w:type="dxa"/>
          </w:tblCellMar>
        </w:tblPrEx>
        <w:trPr>
          <w:trHeight w:val="121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★安装配置日志</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a)提供软件安装的日志记录功能；b)记录的软件安装信息完整正确；c)提供安装配置操作的日志记录功能；d)记录的配置操作信息完整正确</w:t>
            </w:r>
          </w:p>
        </w:tc>
      </w:tr>
      <w:tr>
        <w:tblPrEx>
          <w:tblLayout w:type="fixed"/>
          <w:tblCellMar>
            <w:top w:w="0" w:type="dxa"/>
            <w:left w:w="108" w:type="dxa"/>
            <w:bottom w:w="0" w:type="dxa"/>
            <w:right w:w="108" w:type="dxa"/>
          </w:tblCellMar>
        </w:tblPrEx>
        <w:trPr>
          <w:trHeight w:val="121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★升级维护</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a)支持版本升级，保证版本间功能和数据的兼容性；b)厂商提供当前版本与历史版本的差异说明文档，包含新版本对软件和硬件的支持情况</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安装和升级的兼容性</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支持在不同CPU架构的节点上安装配置、升级，且安装配置、升级数据库的命令行或图形界面相同或相似</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节点部署</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a)支持节点安装配置；b)支持通过单一节点发起并将数据库部署在多个节点上</w:t>
            </w:r>
          </w:p>
        </w:tc>
      </w:tr>
      <w:tr>
        <w:tblPrEx>
          <w:tblLayout w:type="fixed"/>
          <w:tblCellMar>
            <w:top w:w="0" w:type="dxa"/>
            <w:left w:w="108" w:type="dxa"/>
            <w:bottom w:w="0" w:type="dxa"/>
            <w:right w:w="108" w:type="dxa"/>
          </w:tblCellMar>
        </w:tblPrEx>
        <w:trPr>
          <w:trHeight w:val="1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数据配置</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★参数配置</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a)依据工作负载和运行环境，提供配置参数修改的能力b)修改数据库配置参数后，配置参数立即生效或数据库重新启动生效，立即生效的配置参数和需要数据库重新启动方可生效的配置参数在相关文档中明确</w:t>
            </w:r>
          </w:p>
        </w:tc>
      </w:tr>
      <w:tr>
        <w:tblPrEx>
          <w:tblLayout w:type="fixed"/>
          <w:tblCellMar>
            <w:top w:w="0" w:type="dxa"/>
            <w:left w:w="108" w:type="dxa"/>
            <w:bottom w:w="0" w:type="dxa"/>
            <w:right w:w="108" w:type="dxa"/>
          </w:tblCellMar>
        </w:tblPrEx>
        <w:trPr>
          <w:trHeight w:val="16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存储配置</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a)提供数据库级物理存储位置、逻辑存储参数配置功能；b)在数据库初始化阶段，提供数据库物理读写块大小的配置功能；c)提供数据库存储对象空间使用参数的配置功能；d)提供索引数据存储参数管理功能</w:t>
            </w:r>
          </w:p>
        </w:tc>
      </w:tr>
      <w:tr>
        <w:tblPrEx>
          <w:tblLayout w:type="fixed"/>
          <w:tblCellMar>
            <w:top w:w="0" w:type="dxa"/>
            <w:left w:w="108" w:type="dxa"/>
            <w:bottom w:w="0" w:type="dxa"/>
            <w:right w:w="108" w:type="dxa"/>
          </w:tblCellMar>
        </w:tblPrEx>
        <w:trPr>
          <w:trHeight w:val="121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内存配置</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a)提供数据库内存规划和配置建议；b)依据物理内存规划数据库可用内存；c)依据可用内存或负载情况，自动设置或向用户建议不同数据缓存区大小</w:t>
            </w:r>
          </w:p>
        </w:tc>
      </w:tr>
      <w:tr>
        <w:tblPrEx>
          <w:tblLayout w:type="fixed"/>
          <w:tblCellMar>
            <w:top w:w="0" w:type="dxa"/>
            <w:left w:w="108" w:type="dxa"/>
            <w:bottom w:w="0" w:type="dxa"/>
            <w:right w:w="108" w:type="dxa"/>
          </w:tblCellMar>
        </w:tblPrEx>
        <w:trPr>
          <w:trHeight w:val="171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SQL功能</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★基础数据类型</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a)支持数值类型；b)支持字符类型；c)支持二进制类型；d)支持日期和时间类型；e)支持布尔类型；f)支持（大）文本类型；g)支持大对象类型</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扩展数据类型</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支持间隔、XML、JSON等数据类型</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自定义数据类型</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具备用户自定义数据类型的能力，可支持不同应用场景的数据类型需求</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★数据存储基础功能</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支持基础数据类型</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数据存储增强功能</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a)支持扩展数据类型；b)支持自定义数据类型</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★数据检索基础功能</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支持基础数据类型</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数据检索增强功能</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a)支持扩展数据类型；b)支持自定义数据类型；c)支持中文检索功能，如使用中国纪年历法进行检索</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★核心SQL能力</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a)支持左外连接；b)支持右外连接；c)支持内连接；d)支持全连接</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★字符集</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中文字符集符合GB18030的要求</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★常用操作符</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a)支持逻辑操作符及相关运算；b)支持比较操作符及相关运算；c)支持算术运算符及相关运算</w:t>
            </w:r>
          </w:p>
        </w:tc>
      </w:tr>
      <w:tr>
        <w:tblPrEx>
          <w:tblLayout w:type="fixed"/>
          <w:tblCellMar>
            <w:top w:w="0" w:type="dxa"/>
            <w:left w:w="108" w:type="dxa"/>
            <w:bottom w:w="0" w:type="dxa"/>
            <w:right w:w="108" w:type="dxa"/>
          </w:tblCellMar>
        </w:tblPrEx>
        <w:trPr>
          <w:trHeight w:val="21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★条件表达式</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对比条件表达式；b)支持逻辑条件表达式；c)支持空值条件表达式；d)支持等于条件表达式；e)支持模式匹配条件表达式；f)支持区间条件表达式；g)支持IN条件表达式；h)支持存在条件表达式；i)支持以上条件表达式的复合表达式</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★SQL执行计划</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支持SQL计划，使SQL按照指定的语句执行，并实现预期结果</w:t>
            </w:r>
          </w:p>
        </w:tc>
      </w:tr>
      <w:tr>
        <w:tblPrEx>
          <w:tblLayout w:type="fixed"/>
          <w:tblCellMar>
            <w:top w:w="0" w:type="dxa"/>
            <w:left w:w="108" w:type="dxa"/>
            <w:bottom w:w="0" w:type="dxa"/>
            <w:right w:w="108" w:type="dxa"/>
          </w:tblCellMar>
        </w:tblPrEx>
        <w:trPr>
          <w:trHeight w:val="31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数据库对象</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★基础对象类型</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用户的创建、删除、修改；b)支持角色的创建、删除、修改；c)支持存储过程的创建、删除、修改；d)支持表操作功能；e)支持自增序列；f)支持主键约束、外键约束、唯一性约束、检查约束和联合主键约束；g)支持游标功能；h)支持视图的创建、删除、修改；i)支持数值计算函数、字符处理函数、日期时间值函数、间隔函数、类型转换函数、位运算函数、聚合函数、格式化、系统信息等常用函数</w:t>
            </w:r>
          </w:p>
        </w:tc>
      </w:tr>
      <w:tr>
        <w:tblPrEx>
          <w:tblLayout w:type="fixed"/>
          <w:tblCellMar>
            <w:top w:w="0" w:type="dxa"/>
            <w:left w:w="108" w:type="dxa"/>
            <w:bottom w:w="0" w:type="dxa"/>
            <w:right w:w="108" w:type="dxa"/>
          </w:tblCellMar>
        </w:tblPrEx>
        <w:trPr>
          <w:trHeight w:val="19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扩展对象类型</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包的创建、删除、修改；b)支持触发器的创建、删除、修改；c)支持外部链接的创建、删除，并可以通过外部链接进行外部访问；d)支持作业的创建、删除、修改；e)支持全局唯一的自增序列；f)支持创建函数索引；g)支持定义同义词</w:t>
            </w:r>
          </w:p>
        </w:tc>
      </w:tr>
      <w:tr>
        <w:tblPrEx>
          <w:tblLayout w:type="fixed"/>
          <w:tblCellMar>
            <w:top w:w="0" w:type="dxa"/>
            <w:left w:w="108" w:type="dxa"/>
            <w:bottom w:w="0" w:type="dxa"/>
            <w:right w:w="108" w:type="dxa"/>
          </w:tblCellMar>
        </w:tblPrEx>
        <w:trPr>
          <w:trHeight w:val="33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功能</w:t>
            </w:r>
            <w:r>
              <w:rPr>
                <w:rFonts w:hint="eastAsia" w:ascii="宋体" w:hAnsi="宋体" w:cs="Arial"/>
                <w:color w:val="000000"/>
                <w:kern w:val="0"/>
                <w:sz w:val="22"/>
                <w:szCs w:val="22"/>
              </w:rPr>
              <w:t>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★基础表分</w:t>
            </w:r>
            <w:r>
              <w:rPr>
                <w:rFonts w:hint="eastAsia" w:ascii="宋体" w:hAnsi="宋体" w:cs="Arial"/>
                <w:color w:val="000000"/>
                <w:kern w:val="0"/>
                <w:sz w:val="22"/>
                <w:szCs w:val="22"/>
              </w:rPr>
              <w:t>区管理</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2"/>
                <w:szCs w:val="22"/>
              </w:rPr>
            </w:pPr>
            <w:r>
              <w:rPr>
                <w:rFonts w:hint="eastAsia" w:ascii="宋体" w:hAnsi="宋体" w:cs="Arial"/>
                <w:kern w:val="0"/>
                <w:sz w:val="22"/>
                <w:szCs w:val="22"/>
              </w:rPr>
              <w:t>a)哈希分区方式；b)范围分区方式；c)列表分区方式</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扩展表分区管理</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a)支持数据库表分区及二级分区能力；b)支持建立分区索引</w:t>
            </w:r>
          </w:p>
        </w:tc>
      </w:tr>
      <w:tr>
        <w:tblPrEx>
          <w:tblLayout w:type="fixed"/>
          <w:tblCellMar>
            <w:top w:w="0" w:type="dxa"/>
            <w:left w:w="108" w:type="dxa"/>
            <w:bottom w:w="0" w:type="dxa"/>
            <w:right w:w="108" w:type="dxa"/>
          </w:tblCellMar>
        </w:tblPrEx>
        <w:trPr>
          <w:trHeight w:val="16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查看对象</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a)支持查看数据库信息；b)支持查看表对象信息；c)支持查看索引对象信息；d)支持查看字段对象信息；e）支持查看约束对象信息；f）支持查看数据库实例信息；g）支持查看表空间信息</w:t>
            </w:r>
          </w:p>
        </w:tc>
      </w:tr>
      <w:tr>
        <w:tblPrEx>
          <w:tblLayout w:type="fixed"/>
          <w:tblCellMar>
            <w:top w:w="0" w:type="dxa"/>
            <w:left w:w="108" w:type="dxa"/>
            <w:bottom w:w="0" w:type="dxa"/>
            <w:right w:w="108" w:type="dxa"/>
          </w:tblCellMar>
        </w:tblPrEx>
        <w:trPr>
          <w:trHeight w:val="16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查看日志、系统信息</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a)支持查看日志文件的能力；b）厂商提供查看实例数据缓存的视图或图形化管理工具；c）厂商提供查看日志缓存的视图或图形化管理工具；d）厂商提供查看数据字典的视图或图形化管理工具</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★对象变更</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a)支持数据库的创建、删除、更新以及数据库属性的查询；b)支持在线变更表结构、索引；c)支持数据的增加、删除、修改和查询</w:t>
            </w:r>
          </w:p>
        </w:tc>
      </w:tr>
      <w:tr>
        <w:tblPrEx>
          <w:tblLayout w:type="fixed"/>
          <w:tblCellMar>
            <w:top w:w="0" w:type="dxa"/>
            <w:left w:w="108" w:type="dxa"/>
            <w:bottom w:w="0" w:type="dxa"/>
            <w:right w:w="108" w:type="dxa"/>
          </w:tblCellMar>
        </w:tblPrEx>
        <w:trPr>
          <w:trHeight w:val="64"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查看会话系统表/视图</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查看会话标识的视图或图形化管理工具；b)提供查看进程/线程标识的视图或图形化管理工具；c)提供查看用户标识的视图或图形化管理工具；d)提供查看最近的用户请求命令的视图或图形化管理工具；e)提供查看缺省模式的视图或图形化管理工具；f)提供查看登录时间/会话状态的视图或图形化管理工具；g)提供查看会话状态的视图或图形化管理工具；h)提供查看等待会话的锁信息的视图或图形化管理工具；i)提供查看等待时间统计信息的视图或图形化管理工具；j)提供查看使用时间统计信息的视图或图形化管理工具</w:t>
            </w:r>
          </w:p>
        </w:tc>
      </w:tr>
      <w:tr>
        <w:tblPrEx>
          <w:tblLayout w:type="fixed"/>
          <w:tblCellMar>
            <w:top w:w="0" w:type="dxa"/>
            <w:left w:w="108" w:type="dxa"/>
            <w:bottom w:w="0" w:type="dxa"/>
            <w:right w:w="108" w:type="dxa"/>
          </w:tblCellMar>
        </w:tblPrEx>
        <w:trPr>
          <w:trHeight w:val="241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查看监控连接系统表/视图</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查看连接标识的视图或图形化管理工具；b)提供查看连接状态的视图或图形化管理工具；c)提供查看连接用户的视图或图形化管理工具；d)提供查看连接类型的视图或图形化管理工具；e)提供查看当前事务信息的视图或图形化管理工具</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异构数据库联机访问</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提供异构数据库数据联机访问功能</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完整性管理</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a)支持验证表存储完整性；b)支持验证索引存储完整性；c)支持验证数据库存储结构完整性；d)支持查看视图定义完整性；e)支持查看存储过程/函数定义完整性</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事务能力</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★事务基础特性</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支持事务的ACID</w:t>
            </w:r>
          </w:p>
        </w:tc>
      </w:tr>
      <w:tr>
        <w:tblPrEx>
          <w:tblLayout w:type="fixed"/>
          <w:tblCellMar>
            <w:top w:w="0" w:type="dxa"/>
            <w:left w:w="108" w:type="dxa"/>
            <w:bottom w:w="0" w:type="dxa"/>
            <w:right w:w="108" w:type="dxa"/>
          </w:tblCellMar>
        </w:tblPrEx>
        <w:trPr>
          <w:trHeight w:val="121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★死锁检测与处理</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a)在并发执行过程中，能检测到死锁；b)提供解决全局死锁的机制；c)具备死锁处理能力；d)具备死锁超时回滚的能力；e)具备死锁检测与处理记录功能</w:t>
            </w:r>
          </w:p>
        </w:tc>
      </w:tr>
      <w:tr>
        <w:tblPrEx>
          <w:tblLayout w:type="fixed"/>
          <w:tblCellMar>
            <w:top w:w="0" w:type="dxa"/>
            <w:left w:w="108" w:type="dxa"/>
            <w:bottom w:w="0" w:type="dxa"/>
            <w:right w:w="108" w:type="dxa"/>
          </w:tblCellMar>
        </w:tblPrEx>
        <w:trPr>
          <w:trHeight w:val="21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★运维</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★运行时统计信息基础功能</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数据库慢SQL统计：1）支持统计SQL语句；2）支持统计用户名；3）支持统计数据库名；4）支持统计执行时长；b）数据库性能状态统计：1）支持统计每秒事务数和查询数；2）支持统计SQL平均响应时间；3）支持统计高频SQL</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★运维</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运行时统计信息增强功能</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a)支持统计集群节点CPU使用情况；b)支持统计集群节点内存使用情况；c)支持统计集群节点磁盘使用情况；d)支持统计集群节点网络使用情况</w:t>
            </w:r>
          </w:p>
        </w:tc>
      </w:tr>
      <w:tr>
        <w:tblPrEx>
          <w:tblLayout w:type="fixed"/>
          <w:tblCellMar>
            <w:top w:w="0" w:type="dxa"/>
            <w:left w:w="108" w:type="dxa"/>
            <w:bottom w:w="0" w:type="dxa"/>
            <w:right w:w="108" w:type="dxa"/>
          </w:tblCellMar>
        </w:tblPrEx>
        <w:trPr>
          <w:trHeight w:val="21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★日志</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具备对各类事件进行日志记录的功能，可通过日志查看操作内容、执行过程和结果；b)具备提示和警告功能，提示或警告数据库结构修改、数据库运行配置修改等重要操作；c)日志完整正确，并且提供可读文本的形式；d)支持中文日志</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★远程运维</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具备远程维护功能</w:t>
            </w:r>
          </w:p>
        </w:tc>
      </w:tr>
      <w:tr>
        <w:tblPrEx>
          <w:tblLayout w:type="fixed"/>
          <w:tblCellMar>
            <w:top w:w="0" w:type="dxa"/>
            <w:left w:w="108" w:type="dxa"/>
            <w:bottom w:w="0" w:type="dxa"/>
            <w:right w:w="108" w:type="dxa"/>
          </w:tblCellMar>
        </w:tblPrEx>
        <w:trPr>
          <w:trHeight w:val="19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39</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★报警</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a)厂商提供通知管理员的方法或工具；b)支持设置报警基线，数据库运行中遇到重要事件、异常事件和状态、超过报警阈值等情况时，通知管理员；c)提供报警API；d)报警发生时，支持报警信息的实时展示</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40</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SQL监测与优化建议</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a)实时监测SQL执行过程中资源使用情况；b)提供查询计划的缓存管理功能；c)提供SQL改写的优化建议</w:t>
            </w:r>
          </w:p>
        </w:tc>
      </w:tr>
      <w:tr>
        <w:tblPrEx>
          <w:tblLayout w:type="fixed"/>
          <w:tblCellMar>
            <w:top w:w="0" w:type="dxa"/>
            <w:left w:w="108" w:type="dxa"/>
            <w:bottom w:w="0" w:type="dxa"/>
            <w:right w:w="108" w:type="dxa"/>
          </w:tblCellMar>
        </w:tblPrEx>
        <w:trPr>
          <w:trHeight w:val="19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★迁移</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应用迁移</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SQL、存储过程等价语法转换，并将转换后的语法在目标库进行校验，转换后语法可编译可执行；b)对转换出错或校验出错的语法进行定位，引导用户进行错误校正后再次编译校验；c)尽量减少应用的修改，从源数据库迁移到目标数据库，并可运行</w:t>
            </w:r>
          </w:p>
        </w:tc>
      </w:tr>
      <w:tr>
        <w:tblPrEx>
          <w:tblLayout w:type="fixed"/>
          <w:tblCellMar>
            <w:top w:w="0" w:type="dxa"/>
            <w:left w:w="108" w:type="dxa"/>
            <w:bottom w:w="0" w:type="dxa"/>
            <w:right w:w="108" w:type="dxa"/>
          </w:tblCellMar>
        </w:tblPrEx>
        <w:trPr>
          <w:trHeight w:val="145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★数据迁移</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元数据、数据库、数据库对象、表数据快速迁移的功能；b)支持数据迁移工具实现同构或异构数据库之间的数据迁移；c)支持全量数据迁移、增量数据持续同步等迁移模式；d)在数据迁移过程中具备应对传输异常的能力，保障数据迁移的稳定性、连续性和一致性；e)支持存量数据的一次性迁移和增量数据库的持续同步；f)支持多种不同类型的源数据库和目标数据库之间的数据迁移</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★数据比对基础功能</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对源数据库和目标数据库之间的数据进行比对，支持数据一致性，并提供一致性比对报告</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数据比对增强功能</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数据比对规模是可配置的，用户可根据业务需求，进行库级、表级等级别的比对，提供数据修复功能</w:t>
            </w:r>
          </w:p>
        </w:tc>
      </w:tr>
      <w:tr>
        <w:tblPrEx>
          <w:tblLayout w:type="fixed"/>
          <w:tblCellMar>
            <w:top w:w="0" w:type="dxa"/>
            <w:left w:w="108" w:type="dxa"/>
            <w:bottom w:w="0" w:type="dxa"/>
            <w:right w:w="108" w:type="dxa"/>
          </w:tblCellMar>
        </w:tblPrEx>
        <w:trPr>
          <w:trHeight w:val="145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★备份恢复</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★数据备份</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a)运行状态下支持对数据库进行全库备份；b)运行状态下支持对数据库进行部分备份；c)运行状态下支持对数据库进行增量备份</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备份数据管理</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a)支持备份数据的加密；b)支持备份数据的压缩；c)支持备份数据的存储</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用户/模式备份、恢复</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a)支持对数据库的所有或指定用户/模式下的数据进行备份；b)支持对数据库的所有或指定用户/模式下的数据备份进行恢复</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★多种存储媒体备份、还原</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支持多种备份存储媒体，支持多种存储媒体的部分、完整数据库数据还原处理能力</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49</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★备份还原的一致性校验</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提供数据库备份数据一致性校验的命令或工具</w:t>
            </w:r>
          </w:p>
        </w:tc>
      </w:tr>
      <w:tr>
        <w:tblPrEx>
          <w:tblLayout w:type="fixed"/>
          <w:tblCellMar>
            <w:top w:w="0" w:type="dxa"/>
            <w:left w:w="108" w:type="dxa"/>
            <w:bottom w:w="0" w:type="dxa"/>
            <w:right w:w="108" w:type="dxa"/>
          </w:tblCellMar>
        </w:tblPrEx>
        <w:trPr>
          <w:trHeight w:val="121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50</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★集群管理</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★集群构建与管理</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a)支持集群的运行环境；b)支持创建并配置数据库集群；c)配置信息至少包括日常运维管理、容灾管理、日志管理、备份管理、监控等</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51</w:t>
            </w:r>
          </w:p>
        </w:tc>
        <w:tc>
          <w:tcPr>
            <w:tcW w:w="711" w:type="dxa"/>
            <w:tcBorders>
              <w:top w:val="nil"/>
              <w:left w:val="nil"/>
              <w:bottom w:val="single" w:color="000000" w:sz="4" w:space="0"/>
              <w:right w:val="single" w:color="000000" w:sz="4" w:space="0"/>
            </w:tcBorders>
            <w:noWrap w:val="0"/>
            <w:vAlign w:val="top"/>
          </w:tcPr>
          <w:p>
            <w:pPr>
              <w:widowControl/>
              <w:jc w:val="left"/>
              <w:rPr>
                <w:rFonts w:ascii="宋体" w:hAnsi="宋体" w:cs="Arial"/>
                <w:color w:val="000000"/>
                <w:kern w:val="0"/>
                <w:sz w:val="22"/>
                <w:szCs w:val="22"/>
              </w:rPr>
            </w:pP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集群构建与管理扩展要求</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在读写操作负载差距较大时，提供读写分离能力</w:t>
            </w:r>
          </w:p>
        </w:tc>
      </w:tr>
      <w:tr>
        <w:tblPrEx>
          <w:tblLayout w:type="fixed"/>
          <w:tblCellMar>
            <w:top w:w="0" w:type="dxa"/>
            <w:left w:w="108" w:type="dxa"/>
            <w:bottom w:w="0" w:type="dxa"/>
            <w:right w:w="108" w:type="dxa"/>
          </w:tblCellMar>
        </w:tblPrEx>
        <w:trPr>
          <w:trHeight w:val="145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共享存储架构下的集群要求</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在共享存储集群架构的基础上：a)支持管理硬件存储资源，包括为共享存储扩展存储容量；b)支持集群多个节点同时写入或一写多读，事务支持ACID特性；c)支持节点间的缓存一致性</w:t>
            </w:r>
          </w:p>
        </w:tc>
      </w:tr>
      <w:tr>
        <w:tblPrEx>
          <w:tblLayout w:type="fixed"/>
          <w:tblCellMar>
            <w:top w:w="0" w:type="dxa"/>
            <w:left w:w="108" w:type="dxa"/>
            <w:bottom w:w="0" w:type="dxa"/>
            <w:right w:w="108" w:type="dxa"/>
          </w:tblCellMar>
        </w:tblPrEx>
        <w:trPr>
          <w:trHeight w:val="16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工具</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★数据库开发调试工具</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a)具备图形化功能，提高易用性；b)具备导入、编辑、保存、执行SQL语句和SQL脚本功能；c)具备复制、编辑现有数据库对象功能；d)具备关键词显示标记、动态语法提示的SQL编辑器功能</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数据库预编译工具</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厂商提供预编译工具，支持嵌入式SQL编程</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网络配置工具</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a)提供客户端、服务器端网络配置向导；b)支持配置网络连接参数、主机、端口、协议等内容</w:t>
            </w:r>
          </w:p>
        </w:tc>
      </w:tr>
      <w:tr>
        <w:tblPrEx>
          <w:tblLayout w:type="fixed"/>
          <w:tblCellMar>
            <w:top w:w="0" w:type="dxa"/>
            <w:left w:w="108" w:type="dxa"/>
            <w:bottom w:w="0" w:type="dxa"/>
            <w:right w:w="108" w:type="dxa"/>
          </w:tblCellMar>
        </w:tblPrEx>
        <w:trPr>
          <w:trHeight w:val="145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创建、修改、删除工具</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a)支持数据库的创建、修改和删除；b)支持配置数据库数据文件、日志文件、归档文件的存储位置、逻辑空间（如表空间）等参数；c)支持配置数据库属性相关参数（如最大连接数等）</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★用户、角色管理工具</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a)支持创建、修改、删除用户的功能；b）提供定义用户的功能；c)支持创建、修改、删除角色的功能，且提供用户自定义角色的功能</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★SQL执行计划查看工具</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a)提供与数据库管理系统进行SQL交互的工具，方便运维工作；b)支持查看SQL语句查询执行计划与统计信息</w:t>
            </w:r>
          </w:p>
        </w:tc>
      </w:tr>
      <w:tr>
        <w:tblPrEx>
          <w:tblLayout w:type="fixed"/>
          <w:tblCellMar>
            <w:top w:w="0" w:type="dxa"/>
            <w:left w:w="108" w:type="dxa"/>
            <w:bottom w:w="0" w:type="dxa"/>
            <w:right w:w="108" w:type="dxa"/>
          </w:tblCellMar>
        </w:tblPrEx>
        <w:trPr>
          <w:trHeight w:val="241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59</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★数据库对象工具</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创建、修改、删除表的功能，支持定义表结构、约束、存储配置管理的功能；b)支持创建、修改、删除索引的功能，支持定义索引结构、类型、存储配置管理的功能；c)支持创建、修改、删除视图的功能，支持视图定义的功能；d)支持创建、修改、删除约束的功能，支持约束定义的功能</w:t>
            </w:r>
          </w:p>
        </w:tc>
      </w:tr>
      <w:tr>
        <w:tblPrEx>
          <w:tblLayout w:type="fixed"/>
          <w:tblCellMar>
            <w:top w:w="0" w:type="dxa"/>
            <w:left w:w="108" w:type="dxa"/>
            <w:bottom w:w="0" w:type="dxa"/>
            <w:right w:w="108" w:type="dxa"/>
          </w:tblCellMar>
        </w:tblPrEx>
        <w:trPr>
          <w:trHeight w:val="168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60</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★导入导出工具</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a)支持导出不同格式，可以将不同格式数据导入到数据库中；b)支持不同级别和不同数据库对象的导入/导出功能；c)支持从文本文件或者其他上游数据源将数据导入；d)支持SQL脚本进行导入导出</w:t>
            </w:r>
          </w:p>
        </w:tc>
      </w:tr>
      <w:tr>
        <w:tblPrEx>
          <w:tblLayout w:type="fixed"/>
          <w:tblCellMar>
            <w:top w:w="0" w:type="dxa"/>
            <w:left w:w="108" w:type="dxa"/>
            <w:bottom w:w="0" w:type="dxa"/>
            <w:right w:w="108" w:type="dxa"/>
          </w:tblCellMar>
        </w:tblPrEx>
        <w:trPr>
          <w:trHeight w:val="120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61</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触发器、存储过程/函数工具</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a)支持创建、修改、删除触发器的功能，支持触发条件、事件的设置；b)支持创建、修改、删除存储过程/函数的功能，提供定义存储过程/函数的工具</w:t>
            </w:r>
          </w:p>
        </w:tc>
      </w:tr>
      <w:tr>
        <w:tblPrEx>
          <w:tblLayout w:type="fixed"/>
          <w:tblCellMar>
            <w:top w:w="0" w:type="dxa"/>
            <w:left w:w="108" w:type="dxa"/>
            <w:bottom w:w="0" w:type="dxa"/>
            <w:right w:w="108" w:type="dxa"/>
          </w:tblCellMar>
        </w:tblPrEx>
        <w:trPr>
          <w:trHeight w:val="216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★数据库运维工具</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数据库、数据库存储对象结构、数据、统计信息更新维护；b)支持数据库创建、数据库修改、数据库删除、数据库模板维护；c)支持数据库任务自动化调度作业管理；d)支持图形化展示数据库管理的各种元数据界面，展示的内容具有层次性，包括模式、非模式数据字典信息</w:t>
            </w:r>
          </w:p>
        </w:tc>
      </w:tr>
      <w:tr>
        <w:tblPrEx>
          <w:tblLayout w:type="fixed"/>
          <w:tblCellMar>
            <w:top w:w="0" w:type="dxa"/>
            <w:left w:w="108" w:type="dxa"/>
            <w:bottom w:w="0" w:type="dxa"/>
            <w:right w:w="108" w:type="dxa"/>
          </w:tblCellMar>
        </w:tblPrEx>
        <w:trPr>
          <w:trHeight w:val="312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监控跟踪工具</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收集和统计数据库某时间段的运行状态及性能信息，判断该时间的数据库运行性能瓶颈；b)支持系统状态监控能力，包括对集群、服务器和数据库状态的监控等；c)支持性能瓶颈跟踪、运行过程监测与调优；d)提供数据库实例、网络通信、数据库对象的跟踪日志，日志数据准确、完整；e)支持特定事件或事务发生时收集监控数据库活动事务数据；f)支持跟踪数据库等待事件；g)提供捕获并记录实例、数据库在特定时间点的状态</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图形化管理</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图形化远程启动、关闭数据库</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a)提供数据库资源配置向导；b)提供远程数据库服务启动、关闭功能</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★图形化的开发工具</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厂商提供图形化的开发工具</w:t>
            </w:r>
          </w:p>
        </w:tc>
      </w:tr>
      <w:tr>
        <w:tblPrEx>
          <w:tblLayout w:type="fixed"/>
          <w:tblCellMar>
            <w:top w:w="0" w:type="dxa"/>
            <w:left w:w="108" w:type="dxa"/>
            <w:bottom w:w="0" w:type="dxa"/>
            <w:right w:w="108" w:type="dxa"/>
          </w:tblCellMar>
        </w:tblPrEx>
        <w:trPr>
          <w:trHeight w:val="121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★图形化运维工具</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厂商提供图形化的运维工具</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图形化展示工具</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厂商提供图形化数据展示工具</w:t>
            </w:r>
          </w:p>
        </w:tc>
      </w:tr>
      <w:tr>
        <w:tblPrEx>
          <w:tblLayout w:type="fixed"/>
          <w:tblCellMar>
            <w:top w:w="0" w:type="dxa"/>
            <w:left w:w="108" w:type="dxa"/>
            <w:bottom w:w="0" w:type="dxa"/>
            <w:right w:w="108" w:type="dxa"/>
          </w:tblCellMar>
        </w:tblPrEx>
        <w:trPr>
          <w:trHeight w:val="31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图形界面配置参数基础功能</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基本配置参数：1）配置资源使用限额；2）配置连接数；3）配置白名单；b）逻辑存储配置：1）图形界面支持逻辑存储配置；2）提供图形化界面管理数据库对象逻辑空间分配功能；c）提供图形界面配置参数功能，支持图形界面配置用户口令；d）配置审计：1）支持图形化界面配置审计策略；2）支持查看审计数据</w:t>
            </w:r>
          </w:p>
        </w:tc>
      </w:tr>
      <w:tr>
        <w:tblPrEx>
          <w:tblLayout w:type="fixed"/>
          <w:tblCellMar>
            <w:top w:w="0" w:type="dxa"/>
            <w:left w:w="108" w:type="dxa"/>
            <w:bottom w:w="0" w:type="dxa"/>
            <w:right w:w="108" w:type="dxa"/>
          </w:tblCellMar>
        </w:tblPrEx>
        <w:trPr>
          <w:trHeight w:val="16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69</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图形化管理数据库对象</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图形化管理统一的数据库实例、数据库日志文件、数据库运行模式、表对象、表数据存储空间、索引定义类型、视图、触发器、存储过程/函数、角色/用户权限、同义词、序列、外部表、物化视图、作业调度、数据库链接、分区表数据、服务器资源分配、自增列</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图形化监控</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a）支持多实例集成监控与管理；b）支持操作系统和网络资源集成监控与管理</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71</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图形化管理归档</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支持对归档模式、归档文件位置、归档启用/停用进行管理</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图形化管理数据的备份、还原/恢复</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提供图形化管理数据的备份、还原/恢复的功能</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图形化界面易用性</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a)支持浏览器图形界面管理；b)图形化管理工具界面窗口、选单、图标、文字、快捷键统一并易于理解</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稳定运行</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★稳定运行</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a)支持连续稳定运行；b)支持数据库管理系统运行风险的报警能力</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故障切换</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★快速切换</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支持快速切换，在主数据库出现故障时，能够快速切换到备用数据库，保障业务正常运行</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★恢复无断点</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支持无断点恢复能力</w:t>
            </w:r>
          </w:p>
        </w:tc>
      </w:tr>
      <w:tr>
        <w:tblPrEx>
          <w:tblLayout w:type="fixed"/>
          <w:tblCellMar>
            <w:top w:w="0" w:type="dxa"/>
            <w:left w:w="108" w:type="dxa"/>
            <w:bottom w:w="0" w:type="dxa"/>
            <w:right w:w="108" w:type="dxa"/>
          </w:tblCellMar>
        </w:tblPrEx>
        <w:trPr>
          <w:trHeight w:val="168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容灾能力</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★主备备份</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a)支持多副本，支持主副本与从副本之间的数据同步，最低时延由生产厂商提供；b)提供基于主机的数据库复制技术，包括基于日志的备用数据库远程数据库备份技术，并具备数据副本间的复制能力</w:t>
            </w:r>
          </w:p>
        </w:tc>
      </w:tr>
      <w:tr>
        <w:tblPrEx>
          <w:tblLayout w:type="fixed"/>
          <w:tblCellMar>
            <w:top w:w="0" w:type="dxa"/>
            <w:left w:w="108" w:type="dxa"/>
            <w:bottom w:w="0" w:type="dxa"/>
            <w:right w:w="108" w:type="dxa"/>
          </w:tblCellMar>
        </w:tblPrEx>
        <w:trPr>
          <w:trHeight w:val="144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★实例容灾</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a)在任意数据库实例出现故障时，集群内服务正常运行，数据不丢失，集群整体业务可用；b)在实例故障、节点故障等单数据库实例故障时，RPO时间等于0，RTO时间小于30s</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79</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bookmarkStart w:id="4" w:name="OLE_LINK9"/>
            <w:r>
              <w:rPr>
                <w:rFonts w:hint="eastAsia" w:ascii="宋体" w:hAnsi="宋体" w:cs="Arial"/>
                <w:kern w:val="0"/>
                <w:sz w:val="22"/>
                <w:szCs w:val="22"/>
              </w:rPr>
              <w:t>★</w:t>
            </w:r>
            <w:bookmarkEnd w:id="4"/>
            <w:r>
              <w:rPr>
                <w:rFonts w:hint="eastAsia" w:ascii="宋体" w:hAnsi="宋体" w:cs="Arial"/>
                <w:kern w:val="0"/>
                <w:sz w:val="22"/>
                <w:szCs w:val="22"/>
              </w:rPr>
              <w:t>容灾部署</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a)提供远程容灾部署与管理功能；b)提供生产中心与备份中心之间的容灾部署与管理功能</w:t>
            </w:r>
          </w:p>
        </w:tc>
      </w:tr>
      <w:tr>
        <w:tblPrEx>
          <w:tblLayout w:type="fixed"/>
          <w:tblCellMar>
            <w:top w:w="0" w:type="dxa"/>
            <w:left w:w="108" w:type="dxa"/>
            <w:bottom w:w="0" w:type="dxa"/>
            <w:right w:w="108" w:type="dxa"/>
          </w:tblCellMar>
        </w:tblPrEx>
        <w:trPr>
          <w:trHeight w:val="144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80</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★同城容灾</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a)支持同城双中心部署，当主中心故障时，业务切换到备中心；b)由于网络、供电等原因造成的可用区级故障，触发集群计划外停机，在同城多可用区场景下，RPO时间等于0，RTO时间小于1分钟</w:t>
            </w:r>
          </w:p>
        </w:tc>
      </w:tr>
      <w:tr>
        <w:tblPrEx>
          <w:tblLayout w:type="fixed"/>
          <w:tblCellMar>
            <w:top w:w="0" w:type="dxa"/>
            <w:left w:w="108" w:type="dxa"/>
            <w:bottom w:w="0" w:type="dxa"/>
            <w:right w:w="108" w:type="dxa"/>
          </w:tblCellMar>
        </w:tblPrEx>
        <w:trPr>
          <w:trHeight w:val="144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81</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异地容灾</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a)城市级故障，比如地震，业务可以切换到异地；b)异地灾备场景支持两地三中心部署架构，在本地建立同城灾备中心，在异地建立异地灾备中心，RPO时间小于1分钟，RTO时间小于10分钟</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容错性</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★服务端编程稳定性</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支持当用户自定义的存储过程、函数运行异常时，数据库稳定运行</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★网络容错</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支持网络中断时，保障事务一致性</w:t>
            </w:r>
          </w:p>
        </w:tc>
      </w:tr>
      <w:tr>
        <w:tblPrEx>
          <w:tblLayout w:type="fixed"/>
          <w:tblCellMar>
            <w:top w:w="0" w:type="dxa"/>
            <w:left w:w="108" w:type="dxa"/>
            <w:bottom w:w="0" w:type="dxa"/>
            <w:right w:w="108" w:type="dxa"/>
          </w:tblCellMar>
        </w:tblPrEx>
        <w:trPr>
          <w:trHeight w:val="2160"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★检测报警</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数据库实例启动时错误检测能力；b)支持加载不同文件格式、不同大小数据出现错误时的故障检测和处理能力；c)支持数据库备份执行过程中发生故障时报错或者报警能力；d)支持数据库恢复发生故障时报错或者报警能力</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★故障恢复</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a)系统故障重启后能正常运行且支持数据一致性；b)支持完全媒体故障恢复的能力；c)提供基于时间点故障恢复功能</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可靠性要求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★不同级别故障可恢复</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支持数据库事务故障、系统故障、存储媒体故障不同级别的可恢复能力</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兼容要求</w:t>
            </w:r>
          </w:p>
        </w:tc>
        <w:tc>
          <w:tcPr>
            <w:tcW w:w="99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软件兼容</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云化部署</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持虚拟化部署或容器化部署等云化部署方式</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兼容要求</w:t>
            </w:r>
          </w:p>
        </w:tc>
        <w:tc>
          <w:tcPr>
            <w:tcW w:w="99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硬件兼容</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w:t>
            </w:r>
            <w:r>
              <w:rPr>
                <w:rFonts w:hint="eastAsia" w:ascii="宋体" w:hAnsi="宋体" w:cs="Arial"/>
                <w:color w:val="000000"/>
                <w:kern w:val="0"/>
                <w:sz w:val="22"/>
                <w:szCs w:val="22"/>
              </w:rPr>
              <w:t>硬件平台兼容</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a)同源支持以下至少三种CPU平台架构：1)ARM；2)LoongArch；3)MIPS；4)SW64；5)x86；b)支持SMP和NUMA的运行环境</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89</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兼容要求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标准兼容</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★ODBC</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支持ODBC</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90</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兼容要求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★JDBC</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支持JDBC</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91</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服务要求</w:t>
            </w:r>
          </w:p>
        </w:tc>
        <w:tc>
          <w:tcPr>
            <w:tcW w:w="99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交付方式</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★交付方式</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以光盘、便携式移动设备、镜像文件、在线下载等交付方式提供产品交付物</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服务要求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服务周期</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★产品维护周期</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产品自发布之日起至产品停止功能升级（包含不限于新特性、新硬件支持、问题修复、安全补丁等）之日止≥5年</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服务要求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★产品延伸服务周期</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产品停止功能升级之日起至产品停止功能维护（包括问题修复、安全补丁等）之日止≥4年</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服务要求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★产品延伸安全服务周期</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产品功能维护停止之日起至产品停止安全维护（包括中高风险漏洞修复）之日止≥2年</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服务要求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★售后服务最小保障期</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自销售之日起，产品售后服务周期≥6年</w:t>
            </w:r>
          </w:p>
        </w:tc>
      </w:tr>
      <w:tr>
        <w:tblPrEx>
          <w:tblLayout w:type="fixed"/>
          <w:tblCellMar>
            <w:top w:w="0" w:type="dxa"/>
            <w:left w:w="108" w:type="dxa"/>
            <w:bottom w:w="0" w:type="dxa"/>
            <w:right w:w="108" w:type="dxa"/>
          </w:tblCellMar>
        </w:tblPrEx>
        <w:trPr>
          <w:trHeight w:val="40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服务要求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供应链与服务保障</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★供应链与服务保障基础要求</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提供多种形式支持服务，包含电话、电子邮件、远程连接等；b)提供技术支持服务，支持同城4h、异地12h响应要求，两个工作日解决问题，对于未能解决的问题和故障提供可行的升级方案；c)提供培训材料、产品手册、培训视频等培训相关内容；d)建立全国技术服务体系和服务团队，符合专业服务体系标准要求，提供原厂中文服务；e)服务周期内支持版本免费升级；f)开源产品对获得的社区源代码进行安全性和知识产权审查与管理；g)提供数据库参数、慢SQL语句的性能优化指南，包含性能优化的具体措施、技巧、案例及建议等</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服务要求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定制服务</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针对关键客户提供代码级定制优化服务</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服务要求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驻场服务</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提供原厂团队驻场服务</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99</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服务要求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在线反馈</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支持在线问题反馈</w:t>
            </w:r>
          </w:p>
        </w:tc>
      </w:tr>
      <w:tr>
        <w:tblPrEx>
          <w:tblLayout w:type="fixed"/>
          <w:tblCellMar>
            <w:top w:w="0" w:type="dxa"/>
            <w:left w:w="108" w:type="dxa"/>
            <w:bottom w:w="0" w:type="dxa"/>
            <w:right w:w="108" w:type="dxa"/>
          </w:tblCellMar>
        </w:tblPrEx>
        <w:trPr>
          <w:trHeight w:val="97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100</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安全要求</w:t>
            </w:r>
          </w:p>
        </w:tc>
        <w:tc>
          <w:tcPr>
            <w:tcW w:w="99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基本要求</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★基本要求</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数据库应当符合安全可靠测评要求</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101</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安全要求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基础安全</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安全架构</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将系统管理员分为数据库管理员、数据库安全员和数据库审计员三种类型</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102</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安全要求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★漏洞管理</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建立漏洞管理机制，及时通过邮件、网站等方式将安全漏洞告知用户，并提供安全补丁对漏洞进行修复</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103</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安全要求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★身份鉴别及访问控制</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提供身份鉴别及访问控制，加解密的密码要求符合GM/T0028的相关规定</w:t>
            </w:r>
          </w:p>
        </w:tc>
      </w:tr>
      <w:tr>
        <w:tblPrEx>
          <w:tblLayout w:type="fixed"/>
          <w:tblCellMar>
            <w:top w:w="0" w:type="dxa"/>
            <w:left w:w="108" w:type="dxa"/>
            <w:bottom w:w="0" w:type="dxa"/>
            <w:right w:w="108" w:type="dxa"/>
          </w:tblCellMar>
        </w:tblPrEx>
        <w:trPr>
          <w:trHeight w:val="19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104</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安全要求</w:t>
            </w:r>
          </w:p>
        </w:tc>
        <w:tc>
          <w:tcPr>
            <w:tcW w:w="99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增强安全</w:t>
            </w: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防篡改</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a)支持对指定的表开启防篡改能力，开启后，对重要数据的增、删、改操作，记录篡改校验信息，并提供篡改校验能力；b)支持对指定的表开启追溯能力，开启后，对数据的变更具有全向追溯能力，能够记录数据变更的历史信息以及相应的操作记录</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105</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安全要求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全密态</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支持全密态的等值、非等值查询能力</w:t>
            </w:r>
          </w:p>
        </w:tc>
      </w:tr>
      <w:tr>
        <w:tblPrEx>
          <w:tblLayout w:type="fixed"/>
          <w:tblCellMar>
            <w:top w:w="0" w:type="dxa"/>
            <w:left w:w="108" w:type="dxa"/>
            <w:bottom w:w="0" w:type="dxa"/>
            <w:right w:w="108" w:type="dxa"/>
          </w:tblCellMar>
        </w:tblPrEx>
        <w:trPr>
          <w:trHeight w:val="49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106</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安全要求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安全扩展要求</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支持自身数据的动态脱敏和透明加密</w:t>
            </w:r>
          </w:p>
        </w:tc>
      </w:tr>
      <w:tr>
        <w:tblPrEx>
          <w:tblLayout w:type="fixed"/>
          <w:tblCellMar>
            <w:top w:w="0" w:type="dxa"/>
            <w:left w:w="108" w:type="dxa"/>
            <w:bottom w:w="0" w:type="dxa"/>
            <w:right w:w="108" w:type="dxa"/>
          </w:tblCellMar>
        </w:tblPrEx>
        <w:trPr>
          <w:trHeight w:val="732"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107</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安全要求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闪回查询</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kern w:val="0"/>
                <w:sz w:val="22"/>
                <w:szCs w:val="22"/>
              </w:rPr>
              <w:t>支持数据库闪回查询</w:t>
            </w:r>
          </w:p>
        </w:tc>
      </w:tr>
      <w:tr>
        <w:tblPrEx>
          <w:tblLayout w:type="fixed"/>
          <w:tblCellMar>
            <w:top w:w="0" w:type="dxa"/>
            <w:left w:w="108" w:type="dxa"/>
            <w:bottom w:w="0" w:type="dxa"/>
            <w:right w:w="108" w:type="dxa"/>
          </w:tblCellMar>
        </w:tblPrEx>
        <w:trPr>
          <w:trHeight w:val="735" w:hRule="atLeast"/>
        </w:trPr>
        <w:tc>
          <w:tcPr>
            <w:tcW w:w="561"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108</w:t>
            </w:r>
          </w:p>
        </w:tc>
        <w:tc>
          <w:tcPr>
            <w:tcW w:w="71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安全要求</w:t>
            </w:r>
          </w:p>
        </w:tc>
        <w:tc>
          <w:tcPr>
            <w:tcW w:w="9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p>
        </w:tc>
        <w:tc>
          <w:tcPr>
            <w:tcW w:w="1985" w:type="dxa"/>
            <w:tcBorders>
              <w:top w:val="nil"/>
              <w:left w:val="nil"/>
              <w:bottom w:val="single" w:color="000000" w:sz="4" w:space="0"/>
              <w:right w:val="nil"/>
            </w:tcBorders>
            <w:noWrap w:val="0"/>
            <w:vAlign w:val="center"/>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闪回恢复</w:t>
            </w:r>
          </w:p>
        </w:tc>
        <w:tc>
          <w:tcPr>
            <w:tcW w:w="4042"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支持闪回查询实时恢复数据，支持不同级别（如库级、表级等）的闪回恢复</w:t>
            </w:r>
          </w:p>
        </w:tc>
      </w:tr>
    </w:tbl>
    <w:p>
      <w:pPr>
        <w:pStyle w:val="3"/>
        <w:numPr>
          <w:ilvl w:val="3"/>
          <w:numId w:val="1"/>
        </w:numPr>
        <w:rPr>
          <w:rFonts w:hAnsi="宋体" w:cs="宋体"/>
          <w:szCs w:val="24"/>
        </w:rPr>
      </w:pPr>
      <w:r>
        <w:rPr>
          <w:rFonts w:hint="eastAsia" w:hAnsi="宋体" w:cs="宋体"/>
          <w:color w:val="000000"/>
          <w:lang w:val="en-US" w:eastAsia="zh-CN"/>
        </w:rPr>
        <w:t>在满足通用参数基础上</w:t>
      </w:r>
      <w:r>
        <w:rPr>
          <w:rFonts w:hint="eastAsia" w:hAnsi="宋体" w:cs="宋体"/>
          <w:szCs w:val="24"/>
        </w:rPr>
        <w:t>集中式数据库1</w:t>
      </w:r>
      <w:r>
        <w:rPr>
          <w:rFonts w:hint="eastAsia" w:hAnsi="宋体" w:cs="宋体"/>
          <w:szCs w:val="24"/>
          <w:lang w:val="en-US" w:eastAsia="zh-CN"/>
        </w:rPr>
        <w:t>需满足的其他</w:t>
      </w:r>
      <w:r>
        <w:rPr>
          <w:rFonts w:hint="eastAsia" w:hAnsi="宋体" w:cs="宋体"/>
          <w:szCs w:val="24"/>
        </w:rPr>
        <w:t>参数</w:t>
      </w:r>
      <w:r>
        <w:rPr>
          <w:rFonts w:hint="eastAsia" w:hAnsi="宋体" w:cs="宋体"/>
          <w:szCs w:val="24"/>
          <w:lang w:val="en-US" w:eastAsia="zh-CN"/>
        </w:rPr>
        <w:t>要求</w:t>
      </w:r>
    </w:p>
    <w:tbl>
      <w:tblPr>
        <w:tblStyle w:val="4"/>
        <w:tblW w:w="8290" w:type="dxa"/>
        <w:tblInd w:w="0" w:type="dxa"/>
        <w:tblLayout w:type="fixed"/>
        <w:tblCellMar>
          <w:top w:w="0" w:type="dxa"/>
          <w:left w:w="108" w:type="dxa"/>
          <w:bottom w:w="0" w:type="dxa"/>
          <w:right w:w="108" w:type="dxa"/>
        </w:tblCellMar>
      </w:tblPr>
      <w:tblGrid>
        <w:gridCol w:w="736"/>
        <w:gridCol w:w="1244"/>
        <w:gridCol w:w="6310"/>
      </w:tblGrid>
      <w:tr>
        <w:tblPrEx>
          <w:tblLayout w:type="fixed"/>
          <w:tblCellMar>
            <w:top w:w="0" w:type="dxa"/>
            <w:left w:w="108" w:type="dxa"/>
            <w:bottom w:w="0" w:type="dxa"/>
            <w:right w:w="108" w:type="dxa"/>
          </w:tblCellMar>
        </w:tblPrEx>
        <w:trPr>
          <w:trHeight w:val="285"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kern w:val="0"/>
                <w:sz w:val="24"/>
              </w:rPr>
              <w:t>序号</w:t>
            </w:r>
          </w:p>
        </w:tc>
        <w:tc>
          <w:tcPr>
            <w:tcW w:w="12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kern w:val="0"/>
                <w:sz w:val="24"/>
              </w:rPr>
              <w:t>分类</w:t>
            </w:r>
          </w:p>
        </w:tc>
        <w:tc>
          <w:tcPr>
            <w:tcW w:w="63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kern w:val="0"/>
                <w:sz w:val="24"/>
              </w:rPr>
              <w:t>指标要求</w:t>
            </w:r>
          </w:p>
        </w:tc>
      </w:tr>
      <w:tr>
        <w:tblPrEx>
          <w:tblLayout w:type="fixed"/>
          <w:tblCellMar>
            <w:top w:w="0" w:type="dxa"/>
            <w:left w:w="108" w:type="dxa"/>
            <w:bottom w:w="0" w:type="dxa"/>
            <w:right w:w="108" w:type="dxa"/>
          </w:tblCellMar>
        </w:tblPrEx>
        <w:trPr>
          <w:trHeight w:val="1350"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124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功能要求</w:t>
            </w:r>
          </w:p>
        </w:tc>
        <w:tc>
          <w:tcPr>
            <w:tcW w:w="631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提供数据库预防保护功能，对任意用户表、</w:t>
            </w:r>
            <w:r>
              <w:rPr>
                <w:rFonts w:ascii="宋体" w:hAnsi="宋体" w:cs="宋体"/>
                <w:kern w:val="0"/>
                <w:sz w:val="24"/>
              </w:rPr>
              <w:t>database</w:t>
            </w:r>
            <w:r>
              <w:rPr>
                <w:rFonts w:hint="eastAsia" w:ascii="宋体" w:hAnsi="宋体" w:cs="宋体"/>
                <w:kern w:val="0"/>
                <w:sz w:val="24"/>
              </w:rPr>
              <w:t>对象做逻辑保护，不会被逻辑删除</w:t>
            </w:r>
            <w:r>
              <w:rPr>
                <w:rFonts w:ascii="宋体" w:hAnsi="宋体" w:cs="宋体"/>
                <w:kern w:val="0"/>
                <w:sz w:val="24"/>
              </w:rPr>
              <w:t xml:space="preserve">, </w:t>
            </w:r>
            <w:r>
              <w:rPr>
                <w:rFonts w:hint="eastAsia" w:ascii="宋体" w:hAnsi="宋体" w:cs="宋体"/>
                <w:kern w:val="0"/>
                <w:sz w:val="24"/>
              </w:rPr>
              <w:t>支持操作系统级数据保护功能。（需提供功能截图证明）</w:t>
            </w:r>
          </w:p>
        </w:tc>
      </w:tr>
      <w:tr>
        <w:tblPrEx>
          <w:tblLayout w:type="fixed"/>
          <w:tblCellMar>
            <w:top w:w="0" w:type="dxa"/>
            <w:left w:w="108" w:type="dxa"/>
            <w:bottom w:w="0" w:type="dxa"/>
            <w:right w:w="108" w:type="dxa"/>
          </w:tblCellMar>
        </w:tblPrEx>
        <w:trPr>
          <w:trHeight w:val="1350"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w:t>
            </w:r>
          </w:p>
        </w:tc>
        <w:tc>
          <w:tcPr>
            <w:tcW w:w="1244"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集群要求</w:t>
            </w:r>
          </w:p>
        </w:tc>
        <w:tc>
          <w:tcPr>
            <w:tcW w:w="631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支持基于自主研发统一内核得多集群体系架构，支持数据信息在</w:t>
            </w:r>
            <w:r>
              <w:rPr>
                <w:rFonts w:ascii="宋体" w:hAnsi="宋体" w:cs="宋体"/>
                <w:kern w:val="0"/>
                <w:sz w:val="24"/>
              </w:rPr>
              <w:t>OLTP</w:t>
            </w:r>
            <w:r>
              <w:rPr>
                <w:rFonts w:hint="eastAsia" w:ascii="宋体" w:hAnsi="宋体" w:cs="宋体"/>
                <w:kern w:val="0"/>
                <w:sz w:val="24"/>
              </w:rPr>
              <w:t>数据库引擎和</w:t>
            </w:r>
            <w:r>
              <w:rPr>
                <w:rFonts w:ascii="宋体" w:hAnsi="宋体" w:cs="宋体"/>
                <w:kern w:val="0"/>
                <w:sz w:val="24"/>
              </w:rPr>
              <w:t>OLAP</w:t>
            </w:r>
            <w:r>
              <w:rPr>
                <w:rFonts w:hint="eastAsia" w:ascii="宋体" w:hAnsi="宋体" w:cs="宋体"/>
                <w:kern w:val="0"/>
                <w:sz w:val="24"/>
              </w:rPr>
              <w:t>数据库引擎之间流转。（需提供功能截图证明）</w:t>
            </w:r>
          </w:p>
        </w:tc>
      </w:tr>
      <w:tr>
        <w:tblPrEx>
          <w:tblLayout w:type="fixed"/>
          <w:tblCellMar>
            <w:top w:w="0" w:type="dxa"/>
            <w:left w:w="108" w:type="dxa"/>
            <w:bottom w:w="0" w:type="dxa"/>
            <w:right w:w="108" w:type="dxa"/>
          </w:tblCellMar>
        </w:tblPrEx>
        <w:trPr>
          <w:trHeight w:val="1125"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w:t>
            </w:r>
          </w:p>
        </w:tc>
        <w:tc>
          <w:tcPr>
            <w:tcW w:w="12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631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具备高可用功能，提供数据恢复能力，主备集群支持基于备机数据坏块修复，当主机数据损坏时，可以自动从备机复制对应数据块对损坏的主机数据块进行实时修复；支持日志文件离线修复文件坏块或表。（需提供功能截图证明）</w:t>
            </w:r>
          </w:p>
        </w:tc>
      </w:tr>
      <w:tr>
        <w:tblPrEx>
          <w:tblLayout w:type="fixed"/>
          <w:tblCellMar>
            <w:top w:w="0" w:type="dxa"/>
            <w:left w:w="108" w:type="dxa"/>
            <w:bottom w:w="0" w:type="dxa"/>
            <w:right w:w="108" w:type="dxa"/>
          </w:tblCellMar>
        </w:tblPrEx>
        <w:trPr>
          <w:trHeight w:val="2430"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highlight w:val="none"/>
              </w:rPr>
            </w:pPr>
            <w:r>
              <w:rPr>
                <w:rFonts w:ascii="宋体" w:hAnsi="宋体" w:cs="宋体"/>
                <w:color w:val="000000"/>
                <w:kern w:val="0"/>
                <w:sz w:val="24"/>
                <w:highlight w:val="none"/>
              </w:rPr>
              <w:t>4</w:t>
            </w:r>
          </w:p>
        </w:tc>
        <w:tc>
          <w:tcPr>
            <w:tcW w:w="124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管理要求</w:t>
            </w:r>
          </w:p>
        </w:tc>
        <w:tc>
          <w:tcPr>
            <w:tcW w:w="631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ascii="宋体" w:hAnsi="宋体" w:cs="宋体"/>
                <w:kern w:val="0"/>
                <w:sz w:val="24"/>
                <w:highlight w:val="none"/>
              </w:rPr>
              <w:t>#</w:t>
            </w:r>
            <w:r>
              <w:rPr>
                <w:rFonts w:hint="eastAsia" w:ascii="宋体" w:hAnsi="宋体" w:cs="宋体"/>
                <w:kern w:val="0"/>
                <w:sz w:val="24"/>
                <w:highlight w:val="none"/>
              </w:rPr>
              <w:t>提供配套迁移工具，支持多模式并行迁移，按模式生成日志和报告；支持表对象（主键、索引、外键、检查约束、唯一约束）和表数据，以及视图、序列、函数、存储过程、程序包、同义词、触发器数据库对象的迁移，可配置迁移对象的包含（只迁移）</w:t>
            </w:r>
            <w:r>
              <w:rPr>
                <w:rFonts w:ascii="宋体" w:hAnsi="宋体" w:cs="宋体"/>
                <w:kern w:val="0"/>
                <w:sz w:val="24"/>
                <w:highlight w:val="none"/>
              </w:rPr>
              <w:t>/</w:t>
            </w:r>
            <w:r>
              <w:rPr>
                <w:rFonts w:hint="eastAsia" w:ascii="宋体" w:hAnsi="宋体" w:cs="宋体"/>
                <w:kern w:val="0"/>
                <w:sz w:val="24"/>
                <w:highlight w:val="none"/>
              </w:rPr>
              <w:t>排除（不迁移），配置项可通过文件导入；支持</w:t>
            </w:r>
            <w:r>
              <w:rPr>
                <w:rFonts w:ascii="宋体" w:hAnsi="宋体" w:cs="宋体"/>
                <w:kern w:val="0"/>
                <w:sz w:val="24"/>
                <w:highlight w:val="none"/>
              </w:rPr>
              <w:t xml:space="preserve"> Oracle sde.st_geometry </w:t>
            </w:r>
            <w:r>
              <w:rPr>
                <w:rFonts w:hint="eastAsia" w:ascii="宋体" w:hAnsi="宋体" w:cs="宋体"/>
                <w:kern w:val="0"/>
                <w:sz w:val="24"/>
                <w:highlight w:val="none"/>
              </w:rPr>
              <w:t>数据及</w:t>
            </w:r>
            <w:r>
              <w:rPr>
                <w:rFonts w:ascii="宋体" w:hAnsi="宋体" w:cs="宋体"/>
                <w:kern w:val="0"/>
                <w:sz w:val="24"/>
                <w:highlight w:val="none"/>
              </w:rPr>
              <w:t>sqlserver</w:t>
            </w:r>
            <w:r>
              <w:rPr>
                <w:rFonts w:hint="eastAsia" w:ascii="宋体" w:hAnsi="宋体" w:cs="宋体"/>
                <w:kern w:val="0"/>
                <w:sz w:val="24"/>
                <w:highlight w:val="none"/>
              </w:rPr>
              <w:t>的</w:t>
            </w:r>
            <w:r>
              <w:rPr>
                <w:rFonts w:ascii="宋体" w:hAnsi="宋体" w:cs="宋体"/>
                <w:kern w:val="0"/>
                <w:sz w:val="24"/>
                <w:highlight w:val="none"/>
              </w:rPr>
              <w:t>geometry</w:t>
            </w:r>
            <w:r>
              <w:rPr>
                <w:rFonts w:hint="eastAsia" w:ascii="宋体" w:hAnsi="宋体" w:cs="宋体"/>
                <w:kern w:val="0"/>
                <w:sz w:val="24"/>
                <w:highlight w:val="none"/>
              </w:rPr>
              <w:t>的地理数据迁移至目标数据库。（需提供功能截图证明）</w:t>
            </w:r>
          </w:p>
        </w:tc>
      </w:tr>
      <w:tr>
        <w:tblPrEx>
          <w:tblLayout w:type="fixed"/>
          <w:tblCellMar>
            <w:top w:w="0" w:type="dxa"/>
            <w:left w:w="108" w:type="dxa"/>
            <w:bottom w:w="0" w:type="dxa"/>
            <w:right w:w="108" w:type="dxa"/>
          </w:tblCellMar>
        </w:tblPrEx>
        <w:trPr>
          <w:trHeight w:val="558"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highlight w:val="none"/>
              </w:rPr>
            </w:pPr>
            <w:r>
              <w:rPr>
                <w:rFonts w:ascii="宋体" w:hAnsi="宋体" w:cs="宋体"/>
                <w:color w:val="000000"/>
                <w:kern w:val="0"/>
                <w:sz w:val="24"/>
                <w:highlight w:val="none"/>
              </w:rPr>
              <w:t>5</w:t>
            </w:r>
          </w:p>
        </w:tc>
        <w:tc>
          <w:tcPr>
            <w:tcW w:w="124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性能要求</w:t>
            </w:r>
          </w:p>
        </w:tc>
        <w:tc>
          <w:tcPr>
            <w:tcW w:w="631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ascii="宋体" w:hAnsi="宋体" w:cs="宋体"/>
                <w:kern w:val="0"/>
                <w:sz w:val="24"/>
                <w:highlight w:val="none"/>
              </w:rPr>
              <w:t>#</w:t>
            </w:r>
            <w:r>
              <w:rPr>
                <w:rFonts w:hint="eastAsia" w:ascii="宋体" w:hAnsi="宋体" w:cs="宋体"/>
                <w:kern w:val="0"/>
                <w:sz w:val="24"/>
                <w:highlight w:val="none"/>
              </w:rPr>
              <w:t>支持类</w:t>
            </w:r>
            <w:r>
              <w:rPr>
                <w:rFonts w:ascii="宋体" w:hAnsi="宋体" w:cs="宋体"/>
                <w:kern w:val="0"/>
                <w:sz w:val="24"/>
                <w:highlight w:val="none"/>
              </w:rPr>
              <w:t>Oracle AWR DIFF</w:t>
            </w:r>
            <w:r>
              <w:rPr>
                <w:rFonts w:hint="eastAsia" w:ascii="宋体" w:hAnsi="宋体" w:cs="宋体"/>
                <w:kern w:val="0"/>
                <w:sz w:val="24"/>
                <w:highlight w:val="none"/>
              </w:rPr>
              <w:t>报告，支持超过</w:t>
            </w:r>
            <w:r>
              <w:rPr>
                <w:rFonts w:ascii="宋体" w:hAnsi="宋体" w:cs="宋体"/>
                <w:kern w:val="0"/>
                <w:sz w:val="24"/>
                <w:highlight w:val="none"/>
              </w:rPr>
              <w:t>5</w:t>
            </w:r>
            <w:r>
              <w:rPr>
                <w:rFonts w:hint="eastAsia" w:ascii="宋体" w:hAnsi="宋体" w:cs="宋体"/>
                <w:kern w:val="0"/>
                <w:sz w:val="24"/>
                <w:highlight w:val="none"/>
              </w:rPr>
              <w:t>个大项，细分指标项超过</w:t>
            </w:r>
            <w:r>
              <w:rPr>
                <w:rFonts w:ascii="宋体" w:hAnsi="宋体" w:cs="宋体"/>
                <w:kern w:val="0"/>
                <w:sz w:val="24"/>
                <w:highlight w:val="none"/>
              </w:rPr>
              <w:t>40</w:t>
            </w:r>
            <w:r>
              <w:rPr>
                <w:rFonts w:hint="eastAsia" w:ascii="宋体" w:hAnsi="宋体" w:cs="宋体"/>
                <w:kern w:val="0"/>
                <w:sz w:val="24"/>
                <w:highlight w:val="none"/>
              </w:rPr>
              <w:t>个，如主机配置、负载分析、实例效率百分比（目标</w:t>
            </w:r>
            <w:r>
              <w:rPr>
                <w:rFonts w:ascii="宋体" w:hAnsi="宋体" w:cs="宋体"/>
                <w:kern w:val="0"/>
                <w:sz w:val="24"/>
                <w:highlight w:val="none"/>
              </w:rPr>
              <w:t>100%</w:t>
            </w:r>
            <w:r>
              <w:rPr>
                <w:rFonts w:hint="eastAsia" w:ascii="宋体" w:hAnsi="宋体" w:cs="宋体"/>
                <w:kern w:val="0"/>
                <w:sz w:val="24"/>
                <w:highlight w:val="none"/>
              </w:rPr>
              <w:t>）、</w:t>
            </w:r>
            <w:r>
              <w:rPr>
                <w:rFonts w:ascii="宋体" w:hAnsi="宋体" w:cs="宋体"/>
                <w:kern w:val="0"/>
                <w:sz w:val="24"/>
                <w:highlight w:val="none"/>
              </w:rPr>
              <w:t>Top10</w:t>
            </w:r>
            <w:r>
              <w:rPr>
                <w:rFonts w:hint="eastAsia" w:ascii="宋体" w:hAnsi="宋体" w:cs="宋体"/>
                <w:kern w:val="0"/>
                <w:sz w:val="24"/>
                <w:highlight w:val="none"/>
              </w:rPr>
              <w:t>前台等待事件、</w:t>
            </w:r>
            <w:r>
              <w:rPr>
                <w:rFonts w:ascii="宋体" w:hAnsi="宋体" w:cs="宋体"/>
                <w:kern w:val="0"/>
                <w:sz w:val="24"/>
                <w:highlight w:val="none"/>
              </w:rPr>
              <w:t>Top10</w:t>
            </w:r>
            <w:r>
              <w:rPr>
                <w:rFonts w:hint="eastAsia" w:ascii="宋体" w:hAnsi="宋体" w:cs="宋体"/>
                <w:kern w:val="0"/>
                <w:sz w:val="24"/>
                <w:highlight w:val="none"/>
              </w:rPr>
              <w:t>前台等待事件分类、主机</w:t>
            </w:r>
            <w:r>
              <w:rPr>
                <w:rFonts w:ascii="宋体" w:hAnsi="宋体" w:cs="宋体"/>
                <w:kern w:val="0"/>
                <w:sz w:val="24"/>
                <w:highlight w:val="none"/>
              </w:rPr>
              <w:t>IO</w:t>
            </w:r>
            <w:r>
              <w:rPr>
                <w:rFonts w:hint="eastAsia" w:ascii="宋体" w:hAnsi="宋体" w:cs="宋体"/>
                <w:kern w:val="0"/>
                <w:sz w:val="24"/>
                <w:highlight w:val="none"/>
              </w:rPr>
              <w:t>、</w:t>
            </w:r>
            <w:r>
              <w:rPr>
                <w:rFonts w:ascii="宋体" w:hAnsi="宋体" w:cs="宋体"/>
                <w:kern w:val="0"/>
                <w:sz w:val="24"/>
                <w:highlight w:val="none"/>
              </w:rPr>
              <w:t>IO</w:t>
            </w:r>
            <w:r>
              <w:rPr>
                <w:rFonts w:hint="eastAsia" w:ascii="宋体" w:hAnsi="宋体" w:cs="宋体"/>
                <w:kern w:val="0"/>
                <w:sz w:val="24"/>
                <w:highlight w:val="none"/>
              </w:rPr>
              <w:t>分析、内存统计、</w:t>
            </w:r>
            <w:r>
              <w:rPr>
                <w:rFonts w:ascii="宋体" w:hAnsi="宋体" w:cs="宋体"/>
                <w:kern w:val="0"/>
                <w:sz w:val="24"/>
                <w:highlight w:val="none"/>
              </w:rPr>
              <w:t>SQL</w:t>
            </w:r>
            <w:r>
              <w:rPr>
                <w:rFonts w:hint="eastAsia" w:ascii="宋体" w:hAnsi="宋体" w:cs="宋体"/>
                <w:kern w:val="0"/>
                <w:sz w:val="24"/>
                <w:highlight w:val="none"/>
              </w:rPr>
              <w:t>类型统计、时间模型统计、前台等待事件分类、前台等待事件、后台等待事件、数据库执行时间、</w:t>
            </w:r>
            <w:r>
              <w:rPr>
                <w:rFonts w:ascii="宋体" w:hAnsi="宋体" w:cs="宋体"/>
                <w:kern w:val="0"/>
                <w:sz w:val="24"/>
                <w:highlight w:val="none"/>
              </w:rPr>
              <w:t>SQL</w:t>
            </w:r>
            <w:r>
              <w:rPr>
                <w:rFonts w:hint="eastAsia" w:ascii="宋体" w:hAnsi="宋体" w:cs="宋体"/>
                <w:kern w:val="0"/>
                <w:sz w:val="24"/>
                <w:highlight w:val="none"/>
              </w:rPr>
              <w:t>报文执行时间、共享内存统计、实例</w:t>
            </w:r>
            <w:r>
              <w:rPr>
                <w:rFonts w:ascii="宋体" w:hAnsi="宋体" w:cs="宋体"/>
                <w:kern w:val="0"/>
                <w:sz w:val="24"/>
                <w:highlight w:val="none"/>
              </w:rPr>
              <w:t>IO</w:t>
            </w:r>
            <w:r>
              <w:rPr>
                <w:rFonts w:hint="eastAsia" w:ascii="宋体" w:hAnsi="宋体" w:cs="宋体"/>
                <w:kern w:val="0"/>
                <w:sz w:val="24"/>
                <w:highlight w:val="none"/>
              </w:rPr>
              <w:t>按进程类型统计、实例</w:t>
            </w:r>
            <w:r>
              <w:rPr>
                <w:rFonts w:ascii="宋体" w:hAnsi="宋体" w:cs="宋体"/>
                <w:kern w:val="0"/>
                <w:sz w:val="24"/>
                <w:highlight w:val="none"/>
              </w:rPr>
              <w:t>IO</w:t>
            </w:r>
            <w:r>
              <w:rPr>
                <w:rFonts w:hint="eastAsia" w:ascii="宋体" w:hAnsi="宋体" w:cs="宋体"/>
                <w:kern w:val="0"/>
                <w:sz w:val="24"/>
                <w:highlight w:val="none"/>
              </w:rPr>
              <w:t>按文件类型统计、实例</w:t>
            </w:r>
            <w:r>
              <w:rPr>
                <w:rFonts w:ascii="宋体" w:hAnsi="宋体" w:cs="宋体"/>
                <w:kern w:val="0"/>
                <w:sz w:val="24"/>
                <w:highlight w:val="none"/>
              </w:rPr>
              <w:t>IO</w:t>
            </w:r>
            <w:r>
              <w:rPr>
                <w:rFonts w:hint="eastAsia" w:ascii="宋体" w:hAnsi="宋体" w:cs="宋体"/>
                <w:kern w:val="0"/>
                <w:sz w:val="24"/>
                <w:highlight w:val="none"/>
              </w:rPr>
              <w:t>按数据库名统计、实例</w:t>
            </w:r>
            <w:r>
              <w:rPr>
                <w:rFonts w:ascii="宋体" w:hAnsi="宋体" w:cs="宋体"/>
                <w:kern w:val="0"/>
                <w:sz w:val="24"/>
                <w:highlight w:val="none"/>
              </w:rPr>
              <w:t>IO</w:t>
            </w:r>
            <w:r>
              <w:rPr>
                <w:rFonts w:hint="eastAsia" w:ascii="宋体" w:hAnsi="宋体" w:cs="宋体"/>
                <w:kern w:val="0"/>
                <w:sz w:val="24"/>
                <w:highlight w:val="none"/>
              </w:rPr>
              <w:t>按表空间统计、实例</w:t>
            </w:r>
            <w:r>
              <w:rPr>
                <w:rFonts w:ascii="宋体" w:hAnsi="宋体" w:cs="宋体"/>
                <w:kern w:val="0"/>
                <w:sz w:val="24"/>
                <w:highlight w:val="none"/>
              </w:rPr>
              <w:t>IO</w:t>
            </w:r>
            <w:r>
              <w:rPr>
                <w:rFonts w:hint="eastAsia" w:ascii="宋体" w:hAnsi="宋体" w:cs="宋体"/>
                <w:kern w:val="0"/>
                <w:sz w:val="24"/>
                <w:highlight w:val="none"/>
              </w:rPr>
              <w:t>按数据库对象类型统计、</w:t>
            </w:r>
            <w:r>
              <w:rPr>
                <w:rFonts w:ascii="宋体" w:hAnsi="宋体" w:cs="宋体"/>
                <w:kern w:val="0"/>
                <w:sz w:val="24"/>
                <w:highlight w:val="none"/>
              </w:rPr>
              <w:t>Top10</w:t>
            </w:r>
            <w:r>
              <w:rPr>
                <w:rFonts w:hint="eastAsia" w:ascii="宋体" w:hAnsi="宋体" w:cs="宋体"/>
                <w:kern w:val="0"/>
                <w:sz w:val="24"/>
                <w:highlight w:val="none"/>
              </w:rPr>
              <w:t>请求次数的锁活动、关键活动按执行次数统计等。（需提供功能截图证明）</w:t>
            </w:r>
          </w:p>
        </w:tc>
      </w:tr>
      <w:tr>
        <w:tblPrEx>
          <w:tblLayout w:type="fixed"/>
          <w:tblCellMar>
            <w:top w:w="0" w:type="dxa"/>
            <w:left w:w="108" w:type="dxa"/>
            <w:bottom w:w="0" w:type="dxa"/>
            <w:right w:w="108" w:type="dxa"/>
          </w:tblCellMar>
        </w:tblPrEx>
        <w:trPr>
          <w:trHeight w:val="1620"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highlight w:val="none"/>
              </w:rPr>
            </w:pPr>
            <w:r>
              <w:rPr>
                <w:rFonts w:ascii="宋体" w:hAnsi="宋体" w:cs="宋体"/>
                <w:color w:val="000000"/>
                <w:kern w:val="0"/>
                <w:sz w:val="24"/>
                <w:highlight w:val="none"/>
              </w:rPr>
              <w:t>6</w:t>
            </w:r>
          </w:p>
        </w:tc>
        <w:tc>
          <w:tcPr>
            <w:tcW w:w="124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安全要求</w:t>
            </w:r>
          </w:p>
        </w:tc>
        <w:tc>
          <w:tcPr>
            <w:tcW w:w="631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ascii="宋体" w:hAnsi="宋体" w:cs="宋体"/>
                <w:kern w:val="0"/>
                <w:sz w:val="24"/>
                <w:highlight w:val="none"/>
              </w:rPr>
              <w:t>#</w:t>
            </w:r>
            <w:r>
              <w:rPr>
                <w:rFonts w:hint="eastAsia" w:ascii="宋体" w:hAnsi="宋体" w:cs="宋体"/>
                <w:kern w:val="0"/>
                <w:sz w:val="24"/>
                <w:highlight w:val="none"/>
              </w:rPr>
              <w:t>产品具备高安全性，支持表空间级的数据加密功能，支持</w:t>
            </w:r>
            <w:r>
              <w:rPr>
                <w:rFonts w:ascii="宋体" w:hAnsi="宋体" w:cs="宋体"/>
                <w:kern w:val="0"/>
                <w:sz w:val="24"/>
                <w:highlight w:val="none"/>
              </w:rPr>
              <w:t>SM4</w:t>
            </w:r>
            <w:r>
              <w:rPr>
                <w:rFonts w:hint="eastAsia" w:ascii="宋体" w:hAnsi="宋体" w:cs="宋体"/>
                <w:kern w:val="0"/>
                <w:sz w:val="24"/>
                <w:highlight w:val="none"/>
              </w:rPr>
              <w:t>、</w:t>
            </w:r>
            <w:r>
              <w:rPr>
                <w:rFonts w:ascii="宋体" w:hAnsi="宋体" w:cs="宋体"/>
                <w:kern w:val="0"/>
                <w:sz w:val="24"/>
                <w:highlight w:val="none"/>
              </w:rPr>
              <w:t>RC4</w:t>
            </w:r>
            <w:r>
              <w:rPr>
                <w:rFonts w:hint="eastAsia" w:ascii="宋体" w:hAnsi="宋体" w:cs="宋体"/>
                <w:kern w:val="0"/>
                <w:sz w:val="24"/>
                <w:highlight w:val="none"/>
              </w:rPr>
              <w:t>算法，支持单机、集群场景；支持同一表空间存在多表情况下部份表进行加密功能，支持</w:t>
            </w:r>
            <w:r>
              <w:rPr>
                <w:rFonts w:ascii="宋体" w:hAnsi="宋体" w:cs="宋体"/>
                <w:kern w:val="0"/>
                <w:sz w:val="24"/>
                <w:highlight w:val="none"/>
              </w:rPr>
              <w:t>SM4</w:t>
            </w:r>
            <w:r>
              <w:rPr>
                <w:rFonts w:hint="eastAsia" w:ascii="宋体" w:hAnsi="宋体" w:cs="宋体"/>
                <w:kern w:val="0"/>
                <w:sz w:val="24"/>
                <w:highlight w:val="none"/>
              </w:rPr>
              <w:t>、</w:t>
            </w:r>
            <w:r>
              <w:rPr>
                <w:rFonts w:ascii="宋体" w:hAnsi="宋体" w:cs="宋体"/>
                <w:kern w:val="0"/>
                <w:sz w:val="24"/>
                <w:highlight w:val="none"/>
              </w:rPr>
              <w:t>RC4</w:t>
            </w:r>
            <w:r>
              <w:rPr>
                <w:rFonts w:hint="eastAsia" w:ascii="宋体" w:hAnsi="宋体" w:cs="宋体"/>
                <w:kern w:val="0"/>
                <w:sz w:val="24"/>
                <w:highlight w:val="none"/>
              </w:rPr>
              <w:t>算法，数据完整性支持</w:t>
            </w:r>
            <w:r>
              <w:rPr>
                <w:rFonts w:ascii="宋体" w:hAnsi="宋体" w:cs="宋体"/>
                <w:kern w:val="0"/>
                <w:sz w:val="24"/>
                <w:highlight w:val="none"/>
              </w:rPr>
              <w:t>SM3</w:t>
            </w:r>
            <w:r>
              <w:rPr>
                <w:rFonts w:hint="eastAsia" w:ascii="宋体" w:hAnsi="宋体" w:cs="宋体"/>
                <w:kern w:val="0"/>
                <w:sz w:val="24"/>
                <w:highlight w:val="none"/>
              </w:rPr>
              <w:t>国密算法；支持通过</w:t>
            </w:r>
            <w:r>
              <w:rPr>
                <w:rFonts w:ascii="宋体" w:hAnsi="宋体" w:cs="宋体"/>
                <w:kern w:val="0"/>
                <w:sz w:val="24"/>
                <w:highlight w:val="none"/>
              </w:rPr>
              <w:t>SSL</w:t>
            </w:r>
            <w:r>
              <w:rPr>
                <w:rFonts w:hint="eastAsia" w:ascii="宋体" w:hAnsi="宋体" w:cs="宋体"/>
                <w:kern w:val="0"/>
                <w:sz w:val="24"/>
                <w:highlight w:val="none"/>
              </w:rPr>
              <w:t>典型加密协议对同步数据进行传输加密。（需提供功能截图证明）</w:t>
            </w:r>
          </w:p>
        </w:tc>
      </w:tr>
    </w:tbl>
    <w:p>
      <w:pPr>
        <w:rPr>
          <w:highlight w:val="none"/>
        </w:rPr>
      </w:pPr>
    </w:p>
    <w:p>
      <w:pPr>
        <w:rPr>
          <w:highlight w:val="none"/>
        </w:rPr>
      </w:pPr>
    </w:p>
    <w:p>
      <w:pPr>
        <w:pStyle w:val="3"/>
        <w:numPr>
          <w:ilvl w:val="3"/>
          <w:numId w:val="1"/>
        </w:numPr>
        <w:rPr>
          <w:rFonts w:hAnsi="宋体" w:cs="宋体"/>
          <w:szCs w:val="24"/>
          <w:highlight w:val="none"/>
        </w:rPr>
      </w:pPr>
      <w:r>
        <w:rPr>
          <w:rFonts w:hint="eastAsia" w:hAnsi="宋体" w:cs="宋体"/>
          <w:color w:val="000000"/>
          <w:highlight w:val="none"/>
          <w:lang w:val="en-US" w:eastAsia="zh-CN"/>
        </w:rPr>
        <w:t>在满足通用参数基础上</w:t>
      </w:r>
      <w:r>
        <w:rPr>
          <w:rFonts w:hint="eastAsia" w:hAnsi="宋体" w:cs="宋体"/>
          <w:szCs w:val="24"/>
          <w:highlight w:val="none"/>
        </w:rPr>
        <w:t>集中式数据库2</w:t>
      </w:r>
      <w:r>
        <w:rPr>
          <w:rFonts w:hint="eastAsia" w:hAnsi="宋体" w:cs="宋体"/>
          <w:szCs w:val="24"/>
          <w:highlight w:val="none"/>
          <w:lang w:val="en-US" w:eastAsia="zh-CN"/>
        </w:rPr>
        <w:t>需满足的其他</w:t>
      </w:r>
      <w:r>
        <w:rPr>
          <w:rFonts w:hint="eastAsia" w:hAnsi="宋体" w:cs="宋体"/>
          <w:szCs w:val="24"/>
          <w:highlight w:val="none"/>
        </w:rPr>
        <w:t>参数</w:t>
      </w:r>
      <w:r>
        <w:rPr>
          <w:rFonts w:hint="eastAsia" w:hAnsi="宋体" w:cs="宋体"/>
          <w:szCs w:val="24"/>
          <w:highlight w:val="none"/>
          <w:lang w:val="en-US" w:eastAsia="zh-CN"/>
        </w:rPr>
        <w:t>要求</w:t>
      </w:r>
    </w:p>
    <w:tbl>
      <w:tblPr>
        <w:tblStyle w:val="4"/>
        <w:tblW w:w="8290" w:type="dxa"/>
        <w:tblInd w:w="0" w:type="dxa"/>
        <w:tblLayout w:type="fixed"/>
        <w:tblCellMar>
          <w:top w:w="0" w:type="dxa"/>
          <w:left w:w="108" w:type="dxa"/>
          <w:bottom w:w="0" w:type="dxa"/>
          <w:right w:w="108" w:type="dxa"/>
        </w:tblCellMar>
      </w:tblPr>
      <w:tblGrid>
        <w:gridCol w:w="736"/>
        <w:gridCol w:w="1244"/>
        <w:gridCol w:w="6310"/>
      </w:tblGrid>
      <w:tr>
        <w:tblPrEx>
          <w:tblLayout w:type="fixed"/>
          <w:tblCellMar>
            <w:top w:w="0" w:type="dxa"/>
            <w:left w:w="108" w:type="dxa"/>
            <w:bottom w:w="0" w:type="dxa"/>
            <w:right w:w="108" w:type="dxa"/>
          </w:tblCellMar>
        </w:tblPrEx>
        <w:trPr>
          <w:trHeight w:val="285"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kern w:val="0"/>
                <w:sz w:val="24"/>
                <w:highlight w:val="none"/>
              </w:rPr>
              <w:t>序号</w:t>
            </w:r>
          </w:p>
        </w:tc>
        <w:tc>
          <w:tcPr>
            <w:tcW w:w="12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kern w:val="0"/>
                <w:sz w:val="24"/>
                <w:highlight w:val="none"/>
              </w:rPr>
              <w:t>分类</w:t>
            </w:r>
          </w:p>
        </w:tc>
        <w:tc>
          <w:tcPr>
            <w:tcW w:w="63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kern w:val="0"/>
                <w:sz w:val="24"/>
                <w:highlight w:val="none"/>
              </w:rPr>
              <w:t>指标要求</w:t>
            </w:r>
          </w:p>
        </w:tc>
      </w:tr>
      <w:tr>
        <w:tblPrEx>
          <w:tblLayout w:type="fixed"/>
          <w:tblCellMar>
            <w:top w:w="0" w:type="dxa"/>
            <w:left w:w="108" w:type="dxa"/>
            <w:bottom w:w="0" w:type="dxa"/>
            <w:right w:w="108" w:type="dxa"/>
          </w:tblCellMar>
        </w:tblPrEx>
        <w:trPr>
          <w:trHeight w:val="1620"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124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功能要求</w:t>
            </w:r>
          </w:p>
        </w:tc>
        <w:tc>
          <w:tcPr>
            <w:tcW w:w="6310"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ascii="宋体" w:hAnsi="宋体"/>
                <w:sz w:val="24"/>
              </w:rPr>
              <w:t>#</w:t>
            </w:r>
            <w:r>
              <w:rPr>
                <w:rFonts w:hint="eastAsia" w:ascii="宋体" w:hAnsi="宋体"/>
                <w:sz w:val="24"/>
              </w:rPr>
              <w:t>系统的物化视图支持对象类型的表，支持</w:t>
            </w:r>
            <w:r>
              <w:rPr>
                <w:rFonts w:ascii="宋体" w:hAnsi="宋体"/>
                <w:sz w:val="24"/>
              </w:rPr>
              <w:t>FAST</w:t>
            </w:r>
            <w:r>
              <w:rPr>
                <w:rFonts w:hint="eastAsia" w:ascii="宋体" w:hAnsi="宋体"/>
                <w:sz w:val="24"/>
              </w:rPr>
              <w:t>快速刷新、</w:t>
            </w:r>
            <w:r>
              <w:rPr>
                <w:rFonts w:ascii="宋体" w:hAnsi="宋体"/>
                <w:sz w:val="24"/>
              </w:rPr>
              <w:t>COMPLETE</w:t>
            </w:r>
            <w:r>
              <w:rPr>
                <w:rFonts w:hint="eastAsia" w:ascii="宋体" w:hAnsi="宋体"/>
                <w:sz w:val="24"/>
              </w:rPr>
              <w:t>完全刷新和</w:t>
            </w:r>
            <w:r>
              <w:rPr>
                <w:rFonts w:ascii="宋体" w:hAnsi="宋体"/>
                <w:sz w:val="24"/>
              </w:rPr>
              <w:t>FORCE</w:t>
            </w:r>
            <w:r>
              <w:rPr>
                <w:rFonts w:hint="eastAsia" w:ascii="宋体" w:hAnsi="宋体"/>
                <w:sz w:val="24"/>
              </w:rPr>
              <w:t>强制刷新，支持秒级自动刷新（非定时任务调度形式）。（需提供功能截图证明）</w:t>
            </w:r>
          </w:p>
        </w:tc>
      </w:tr>
      <w:tr>
        <w:tblPrEx>
          <w:tblLayout w:type="fixed"/>
          <w:tblCellMar>
            <w:top w:w="0" w:type="dxa"/>
            <w:left w:w="108" w:type="dxa"/>
            <w:bottom w:w="0" w:type="dxa"/>
            <w:right w:w="108" w:type="dxa"/>
          </w:tblCellMar>
        </w:tblPrEx>
        <w:trPr>
          <w:trHeight w:val="810"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w:t>
            </w:r>
          </w:p>
        </w:tc>
        <w:tc>
          <w:tcPr>
            <w:tcW w:w="124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功能要求</w:t>
            </w:r>
          </w:p>
        </w:tc>
        <w:tc>
          <w:tcPr>
            <w:tcW w:w="6310"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ascii="宋体" w:hAnsi="宋体"/>
                <w:sz w:val="24"/>
              </w:rPr>
              <w:t>#</w:t>
            </w:r>
            <w:r>
              <w:rPr>
                <w:rFonts w:hint="eastAsia" w:ascii="宋体" w:hAnsi="宋体"/>
                <w:sz w:val="24"/>
              </w:rPr>
              <w:t>系统支持聚集主键表，为已有表</w:t>
            </w:r>
            <w:r>
              <w:rPr>
                <w:rFonts w:ascii="宋体" w:hAnsi="宋体"/>
                <w:sz w:val="24"/>
              </w:rPr>
              <w:t>alter table</w:t>
            </w:r>
            <w:r>
              <w:rPr>
                <w:rFonts w:hint="eastAsia" w:ascii="宋体" w:hAnsi="宋体"/>
                <w:sz w:val="24"/>
              </w:rPr>
              <w:t>方式添加聚集主键。（需提供功能截图证明）</w:t>
            </w:r>
          </w:p>
        </w:tc>
      </w:tr>
      <w:tr>
        <w:tblPrEx>
          <w:tblLayout w:type="fixed"/>
          <w:tblCellMar>
            <w:top w:w="0" w:type="dxa"/>
            <w:left w:w="108" w:type="dxa"/>
            <w:bottom w:w="0" w:type="dxa"/>
            <w:right w:w="108" w:type="dxa"/>
          </w:tblCellMar>
        </w:tblPrEx>
        <w:trPr>
          <w:trHeight w:val="1620"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highlight w:val="none"/>
              </w:rPr>
            </w:pPr>
            <w:r>
              <w:rPr>
                <w:rFonts w:ascii="宋体" w:hAnsi="宋体" w:cs="宋体"/>
                <w:color w:val="000000"/>
                <w:kern w:val="0"/>
                <w:sz w:val="24"/>
                <w:highlight w:val="none"/>
              </w:rPr>
              <w:t>3</w:t>
            </w:r>
          </w:p>
        </w:tc>
        <w:tc>
          <w:tcPr>
            <w:tcW w:w="124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功能要求</w:t>
            </w:r>
          </w:p>
        </w:tc>
        <w:tc>
          <w:tcPr>
            <w:tcW w:w="6310"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highlight w:val="none"/>
              </w:rPr>
            </w:pPr>
            <w:r>
              <w:rPr>
                <w:rFonts w:ascii="宋体" w:hAnsi="宋体"/>
                <w:sz w:val="24"/>
                <w:highlight w:val="none"/>
              </w:rPr>
              <w:t>#</w:t>
            </w:r>
            <w:r>
              <w:rPr>
                <w:rFonts w:hint="eastAsia" w:ascii="宋体" w:hAnsi="宋体"/>
                <w:sz w:val="24"/>
                <w:highlight w:val="none"/>
              </w:rPr>
              <w:t>系统兼容</w:t>
            </w:r>
            <w:r>
              <w:rPr>
                <w:rFonts w:ascii="宋体" w:hAnsi="宋体"/>
                <w:sz w:val="24"/>
                <w:highlight w:val="none"/>
              </w:rPr>
              <w:t xml:space="preserve"> Oracle</w:t>
            </w:r>
            <w:r>
              <w:rPr>
                <w:rFonts w:hint="eastAsia" w:ascii="宋体" w:hAnsi="宋体"/>
                <w:sz w:val="24"/>
                <w:highlight w:val="none"/>
              </w:rPr>
              <w:t>的</w:t>
            </w:r>
            <w:r>
              <w:rPr>
                <w:rFonts w:ascii="宋体" w:hAnsi="宋体"/>
                <w:sz w:val="24"/>
                <w:highlight w:val="none"/>
              </w:rPr>
              <w:t xml:space="preserve">DBMS_STATS.GATHER_TABLE_STATS </w:t>
            </w:r>
            <w:r>
              <w:rPr>
                <w:rFonts w:hint="eastAsia" w:ascii="宋体" w:hAnsi="宋体"/>
                <w:sz w:val="24"/>
                <w:highlight w:val="none"/>
              </w:rPr>
              <w:t>并行收集统计信息，系统兼容</w:t>
            </w:r>
            <w:r>
              <w:rPr>
                <w:rFonts w:ascii="宋体" w:hAnsi="宋体"/>
                <w:sz w:val="24"/>
                <w:highlight w:val="none"/>
              </w:rPr>
              <w:t>Orac</w:t>
            </w:r>
            <w:r>
              <w:rPr>
                <w:rFonts w:hint="eastAsia" w:ascii="宋体" w:hAnsi="宋体"/>
                <w:sz w:val="24"/>
                <w:highlight w:val="none"/>
                <w:lang w:val="en-US" w:eastAsia="zh-CN"/>
              </w:rPr>
              <w:t>l</w:t>
            </w:r>
            <w:r>
              <w:rPr>
                <w:rFonts w:ascii="宋体" w:hAnsi="宋体"/>
                <w:sz w:val="24"/>
                <w:highlight w:val="none"/>
              </w:rPr>
              <w:t>e</w:t>
            </w:r>
            <w:r>
              <w:rPr>
                <w:rFonts w:hint="eastAsia" w:ascii="宋体" w:hAnsi="宋体"/>
                <w:sz w:val="24"/>
                <w:highlight w:val="none"/>
              </w:rPr>
              <w:t>的</w:t>
            </w:r>
            <w:r>
              <w:rPr>
                <w:rFonts w:ascii="宋体" w:hAnsi="宋体"/>
                <w:sz w:val="24"/>
                <w:highlight w:val="none"/>
              </w:rPr>
              <w:t xml:space="preserve">DBMS_STATS.COPY_TABLE_STATS </w:t>
            </w:r>
            <w:r>
              <w:rPr>
                <w:rFonts w:hint="eastAsia" w:ascii="宋体" w:hAnsi="宋体"/>
                <w:sz w:val="24"/>
                <w:highlight w:val="none"/>
              </w:rPr>
              <w:t>进行分区统计信息的拷贝。（需提供功能截图证明）</w:t>
            </w:r>
          </w:p>
        </w:tc>
      </w:tr>
      <w:tr>
        <w:tblPrEx>
          <w:tblLayout w:type="fixed"/>
          <w:tblCellMar>
            <w:top w:w="0" w:type="dxa"/>
            <w:left w:w="108" w:type="dxa"/>
            <w:bottom w:w="0" w:type="dxa"/>
            <w:right w:w="108" w:type="dxa"/>
          </w:tblCellMar>
        </w:tblPrEx>
        <w:trPr>
          <w:trHeight w:val="1620"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w:t>
            </w:r>
          </w:p>
        </w:tc>
        <w:tc>
          <w:tcPr>
            <w:tcW w:w="124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功能要求</w:t>
            </w:r>
          </w:p>
        </w:tc>
        <w:tc>
          <w:tcPr>
            <w:tcW w:w="6310"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highlight w:val="none"/>
              </w:rPr>
            </w:pPr>
            <w:r>
              <w:rPr>
                <w:rFonts w:ascii="宋体" w:hAnsi="宋体"/>
                <w:sz w:val="24"/>
                <w:highlight w:val="none"/>
              </w:rPr>
              <w:t>#</w:t>
            </w:r>
            <w:r>
              <w:rPr>
                <w:rFonts w:hint="eastAsia" w:ascii="宋体" w:hAnsi="宋体"/>
                <w:sz w:val="24"/>
                <w:highlight w:val="none"/>
              </w:rPr>
              <w:t>支持集中式备份的远程物理备份和恢复功能，以及兼容Oracle中的image copy镜像备份功能。（需提供功能截图证明）</w:t>
            </w:r>
          </w:p>
        </w:tc>
      </w:tr>
      <w:tr>
        <w:tblPrEx>
          <w:tblLayout w:type="fixed"/>
          <w:tblCellMar>
            <w:top w:w="0" w:type="dxa"/>
            <w:left w:w="108" w:type="dxa"/>
            <w:bottom w:w="0" w:type="dxa"/>
            <w:right w:w="108" w:type="dxa"/>
          </w:tblCellMar>
        </w:tblPrEx>
        <w:trPr>
          <w:trHeight w:val="1349"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124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功能要求</w:t>
            </w:r>
          </w:p>
        </w:tc>
        <w:tc>
          <w:tcPr>
            <w:tcW w:w="6310"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highlight w:val="none"/>
              </w:rPr>
            </w:pPr>
            <w:r>
              <w:rPr>
                <w:rFonts w:ascii="宋体" w:hAnsi="宋体"/>
                <w:sz w:val="24"/>
                <w:highlight w:val="none"/>
              </w:rPr>
              <w:t>#</w:t>
            </w:r>
            <w:r>
              <w:rPr>
                <w:rFonts w:hint="eastAsia" w:ascii="宋体" w:hAnsi="宋体"/>
                <w:sz w:val="24"/>
                <w:highlight w:val="none"/>
              </w:rPr>
              <w:t>兼容Oracle系统视图DBA_HIST_TBSPC_SPACE_USAGE和DBA_HIST_SNAPSHOT，用于收集和展示有关数据库历史性能和空间使用情况的信息。（需提供功能截图证明）</w:t>
            </w:r>
          </w:p>
        </w:tc>
      </w:tr>
      <w:tr>
        <w:tblPrEx>
          <w:tblLayout w:type="fixed"/>
          <w:tblCellMar>
            <w:top w:w="0" w:type="dxa"/>
            <w:left w:w="108" w:type="dxa"/>
            <w:bottom w:w="0" w:type="dxa"/>
            <w:right w:w="108" w:type="dxa"/>
          </w:tblCellMar>
        </w:tblPrEx>
        <w:trPr>
          <w:trHeight w:val="1620"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w:t>
            </w:r>
          </w:p>
        </w:tc>
        <w:tc>
          <w:tcPr>
            <w:tcW w:w="124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功能要求</w:t>
            </w:r>
          </w:p>
        </w:tc>
        <w:tc>
          <w:tcPr>
            <w:tcW w:w="6310" w:type="dxa"/>
            <w:tcBorders>
              <w:top w:val="nil"/>
              <w:left w:val="nil"/>
              <w:bottom w:val="single" w:color="auto" w:sz="4" w:space="0"/>
              <w:right w:val="single" w:color="auto" w:sz="4" w:space="0"/>
            </w:tcBorders>
            <w:noWrap w:val="0"/>
            <w:vAlign w:val="top"/>
          </w:tcPr>
          <w:p>
            <w:pPr>
              <w:widowControl/>
              <w:rPr>
                <w:rFonts w:ascii="宋体" w:hAnsi="宋体"/>
                <w:sz w:val="24"/>
                <w:highlight w:val="none"/>
              </w:rPr>
            </w:pPr>
            <w:r>
              <w:rPr>
                <w:rFonts w:ascii="宋体" w:hAnsi="宋体"/>
                <w:sz w:val="24"/>
                <w:highlight w:val="none"/>
              </w:rPr>
              <w:t>#</w:t>
            </w:r>
            <w:r>
              <w:rPr>
                <w:rFonts w:hint="eastAsia" w:ascii="宋体" w:hAnsi="宋体"/>
                <w:sz w:val="24"/>
                <w:highlight w:val="none"/>
              </w:rPr>
              <w:t>提供建表延迟分段功能，可基于类似SEGMENT CREATION DEFERRED的语法实现。（需提供功能截图证明）</w:t>
            </w:r>
          </w:p>
        </w:tc>
      </w:tr>
    </w:tbl>
    <w:p>
      <w:pPr>
        <w:rPr>
          <w:highlight w:val="none"/>
        </w:rPr>
      </w:pPr>
    </w:p>
    <w:p>
      <w:pPr>
        <w:rPr>
          <w:highlight w:val="none"/>
        </w:rPr>
      </w:pPr>
    </w:p>
    <w:p>
      <w:pPr>
        <w:rPr>
          <w:highlight w:val="none"/>
        </w:rPr>
      </w:pPr>
    </w:p>
    <w:p>
      <w:pPr>
        <w:pStyle w:val="2"/>
        <w:numPr>
          <w:ilvl w:val="1"/>
          <w:numId w:val="1"/>
        </w:numPr>
        <w:jc w:val="left"/>
        <w:rPr>
          <w:rFonts w:ascii="宋体" w:hAnsi="宋体" w:eastAsia="宋体" w:cs="宋体"/>
          <w:sz w:val="24"/>
          <w:szCs w:val="24"/>
          <w:highlight w:val="none"/>
        </w:rPr>
      </w:pPr>
      <w:r>
        <w:rPr>
          <w:rFonts w:hint="eastAsia" w:ascii="宋体" w:hAnsi="宋体" w:eastAsia="宋体" w:cs="宋体"/>
          <w:sz w:val="24"/>
          <w:szCs w:val="24"/>
          <w:highlight w:val="none"/>
        </w:rPr>
        <w:t>技术支持与服务要求</w:t>
      </w:r>
    </w:p>
    <w:p>
      <w:pPr>
        <w:pStyle w:val="3"/>
        <w:numPr>
          <w:ilvl w:val="2"/>
          <w:numId w:val="1"/>
        </w:numPr>
        <w:tabs>
          <w:tab w:val="left" w:pos="960"/>
        </w:tabs>
        <w:rPr>
          <w:rFonts w:hAnsi="宋体" w:cs="宋体"/>
          <w:szCs w:val="24"/>
          <w:highlight w:val="none"/>
        </w:rPr>
      </w:pPr>
      <w:r>
        <w:rPr>
          <w:rFonts w:hint="eastAsia" w:hAnsi="宋体" w:cs="宋体"/>
          <w:szCs w:val="24"/>
          <w:highlight w:val="none"/>
        </w:rPr>
        <w:t>项目周期</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交付时间：</w:t>
      </w:r>
      <w:bookmarkStart w:id="5" w:name="OLE_LINK4"/>
      <w:r>
        <w:rPr>
          <w:rFonts w:hint="eastAsia"/>
          <w:sz w:val="24"/>
          <w:highlight w:val="none"/>
        </w:rPr>
        <w:t>自合同签订之日起</w:t>
      </w:r>
      <w:r>
        <w:rPr>
          <w:sz w:val="24"/>
          <w:highlight w:val="none"/>
        </w:rPr>
        <w:t>30</w:t>
      </w:r>
      <w:r>
        <w:rPr>
          <w:rFonts w:hint="eastAsia"/>
          <w:sz w:val="24"/>
          <w:highlight w:val="none"/>
        </w:rPr>
        <w:t>个日历日内完成交付。</w:t>
      </w:r>
      <w:bookmarkEnd w:id="5"/>
    </w:p>
    <w:p>
      <w:pPr>
        <w:spacing w:line="360" w:lineRule="auto"/>
        <w:ind w:firstLine="480" w:firstLineChars="200"/>
        <w:rPr>
          <w:rFonts w:ascii="宋体" w:hAnsi="宋体" w:cs="宋体"/>
          <w:sz w:val="24"/>
          <w:highlight w:val="none"/>
        </w:rPr>
      </w:pPr>
      <w:r>
        <w:rPr>
          <w:rFonts w:hint="eastAsia" w:ascii="宋体" w:hAnsi="宋体" w:cs="宋体"/>
          <w:sz w:val="24"/>
          <w:highlight w:val="none"/>
        </w:rPr>
        <w:t>交付地点：采购人指定地点。</w:t>
      </w:r>
    </w:p>
    <w:p>
      <w:pPr>
        <w:spacing w:line="360" w:lineRule="auto"/>
        <w:ind w:firstLine="480" w:firstLineChars="200"/>
        <w:rPr>
          <w:sz w:val="24"/>
          <w:szCs w:val="32"/>
          <w:highlight w:val="none"/>
        </w:rPr>
      </w:pPr>
      <w:r>
        <w:rPr>
          <w:rFonts w:hint="eastAsia"/>
          <w:sz w:val="24"/>
          <w:szCs w:val="32"/>
          <w:highlight w:val="none"/>
        </w:rPr>
        <w:t>交付方式：U盘或光盘。</w:t>
      </w:r>
    </w:p>
    <w:p>
      <w:pPr>
        <w:pStyle w:val="3"/>
        <w:numPr>
          <w:ilvl w:val="2"/>
          <w:numId w:val="1"/>
        </w:numPr>
        <w:tabs>
          <w:tab w:val="left" w:pos="960"/>
        </w:tabs>
        <w:rPr>
          <w:rFonts w:hAnsi="宋体" w:cs="宋体"/>
          <w:szCs w:val="24"/>
        </w:rPr>
      </w:pPr>
      <w:r>
        <w:rPr>
          <w:rFonts w:hint="eastAsia" w:hAnsi="宋体" w:cs="宋体"/>
          <w:szCs w:val="24"/>
          <w:highlight w:val="none"/>
        </w:rPr>
        <w:t>操作系统、数据库适配技术支持</w:t>
      </w:r>
      <w:r>
        <w:rPr>
          <w:rFonts w:hint="eastAsia" w:hAnsi="宋体" w:cs="宋体"/>
          <w:szCs w:val="24"/>
        </w:rPr>
        <w:t>服务要求</w:t>
      </w:r>
    </w:p>
    <w:p>
      <w:pPr>
        <w:spacing w:line="360" w:lineRule="auto"/>
        <w:ind w:firstLine="420"/>
        <w:rPr>
          <w:rFonts w:ascii="宋体" w:hAnsi="宋体" w:cs="宋体"/>
          <w:sz w:val="24"/>
        </w:rPr>
      </w:pPr>
      <w:r>
        <w:rPr>
          <w:rFonts w:hint="eastAsia" w:ascii="宋体" w:hAnsi="宋体" w:cs="宋体"/>
          <w:sz w:val="24"/>
        </w:rPr>
        <w:t>投标人须技术适配技术支持服务，服务提供方式不限于现场、邮件、电话、即时通讯工具等服务形式，包含但不限于操作系统适配、数据库适配、数据迁移以及应用层适配的必须要技术支持服务。</w:t>
      </w:r>
    </w:p>
    <w:p>
      <w:pPr>
        <w:pStyle w:val="3"/>
        <w:numPr>
          <w:ilvl w:val="2"/>
          <w:numId w:val="1"/>
        </w:numPr>
        <w:tabs>
          <w:tab w:val="left" w:pos="960"/>
        </w:tabs>
        <w:rPr>
          <w:rFonts w:hAnsi="宋体" w:cs="宋体"/>
          <w:szCs w:val="24"/>
        </w:rPr>
      </w:pPr>
      <w:r>
        <w:rPr>
          <w:rFonts w:hint="eastAsia" w:hAnsi="宋体" w:cs="宋体"/>
          <w:szCs w:val="24"/>
        </w:rPr>
        <w:t>操作系统、数据库驻场运维服务要求</w:t>
      </w:r>
    </w:p>
    <w:p>
      <w:pPr>
        <w:spacing w:line="360" w:lineRule="auto"/>
        <w:ind w:firstLine="420"/>
        <w:rPr>
          <w:rFonts w:ascii="宋体" w:hAnsi="宋体" w:cs="宋体"/>
          <w:sz w:val="24"/>
        </w:rPr>
      </w:pPr>
      <w:r>
        <w:rPr>
          <w:rFonts w:hint="eastAsia" w:ascii="宋体" w:hAnsi="宋体" w:cs="宋体"/>
          <w:sz w:val="24"/>
        </w:rPr>
        <w:t>投标人须设立驻场运维工程师，负责采购人信息化能力提升相关操作系统、集中式数据库现场运维，在采购人现场办公，作息时间与采购人同步，实时响应工作时间内需求及故障处置，同时执行操作系统、数据库的版本升级和漏洞整改。</w:t>
      </w:r>
    </w:p>
    <w:p>
      <w:pPr>
        <w:pStyle w:val="3"/>
        <w:numPr>
          <w:ilvl w:val="2"/>
          <w:numId w:val="1"/>
        </w:numPr>
        <w:tabs>
          <w:tab w:val="left" w:pos="960"/>
        </w:tabs>
        <w:rPr>
          <w:rFonts w:hAnsi="宋体" w:cs="宋体"/>
          <w:szCs w:val="24"/>
        </w:rPr>
      </w:pPr>
      <w:r>
        <w:rPr>
          <w:rFonts w:hint="eastAsia" w:hAnsi="宋体" w:cs="宋体"/>
          <w:szCs w:val="24"/>
        </w:rPr>
        <w:t>售后服务</w:t>
      </w:r>
    </w:p>
    <w:p>
      <w:pPr>
        <w:spacing w:line="360" w:lineRule="auto"/>
        <w:ind w:firstLine="420"/>
        <w:rPr>
          <w:rFonts w:ascii="宋体" w:hAnsi="宋体" w:cs="宋体"/>
          <w:color w:val="000000"/>
          <w:kern w:val="0"/>
          <w:sz w:val="24"/>
        </w:rPr>
      </w:pPr>
      <w:r>
        <w:rPr>
          <w:rFonts w:hint="eastAsia" w:ascii="宋体" w:hAnsi="宋体" w:cs="宋体"/>
          <w:sz w:val="24"/>
        </w:rPr>
        <w:t>投标人须设立专职项目经理、技术负责人、质量管理专员、以及必要的项目团队成员，</w:t>
      </w:r>
      <w:r>
        <w:rPr>
          <w:rFonts w:hint="eastAsia" w:ascii="宋体" w:hAnsi="宋体" w:cs="宋体"/>
          <w:color w:val="000000"/>
          <w:kern w:val="0"/>
          <w:sz w:val="24"/>
        </w:rPr>
        <w:t>团队成员组成合理，包含但不限于具备专业能力的数据库管理员、操作系统运维工程师等。</w:t>
      </w:r>
    </w:p>
    <w:p>
      <w:pPr>
        <w:spacing w:line="360" w:lineRule="auto"/>
        <w:ind w:firstLine="420"/>
        <w:rPr>
          <w:rFonts w:ascii="宋体" w:hAnsi="宋体"/>
          <w:sz w:val="24"/>
        </w:rPr>
      </w:pPr>
      <w:r>
        <w:rPr>
          <w:rFonts w:hint="eastAsia" w:ascii="宋体" w:hAnsi="宋体"/>
          <w:sz w:val="24"/>
        </w:rPr>
        <w:t>项目经理不少于</w:t>
      </w:r>
      <w:r>
        <w:rPr>
          <w:rFonts w:ascii="宋体" w:hAnsi="宋体"/>
          <w:sz w:val="24"/>
        </w:rPr>
        <w:t>1</w:t>
      </w:r>
      <w:r>
        <w:rPr>
          <w:rFonts w:hint="eastAsia" w:ascii="宋体" w:hAnsi="宋体"/>
          <w:sz w:val="24"/>
        </w:rPr>
        <w:t>人，需为本科及以上学历，具备</w:t>
      </w:r>
      <w:r>
        <w:rPr>
          <w:rFonts w:ascii="宋体" w:hAnsi="宋体"/>
          <w:sz w:val="24"/>
        </w:rPr>
        <w:t>10</w:t>
      </w:r>
      <w:r>
        <w:rPr>
          <w:rFonts w:hint="eastAsia" w:ascii="宋体" w:hAnsi="宋体"/>
          <w:sz w:val="24"/>
        </w:rPr>
        <w:t>年（含）以上的工作经验，并具有信息系统项目管理师（高级）证书。</w:t>
      </w:r>
    </w:p>
    <w:p>
      <w:pPr>
        <w:spacing w:line="360" w:lineRule="auto"/>
        <w:ind w:firstLine="420"/>
        <w:rPr>
          <w:rFonts w:ascii="宋体" w:hAnsi="宋体"/>
          <w:sz w:val="24"/>
        </w:rPr>
      </w:pPr>
      <w:r>
        <w:rPr>
          <w:rFonts w:hint="eastAsia" w:ascii="宋体" w:hAnsi="宋体"/>
          <w:sz w:val="24"/>
        </w:rPr>
        <w:t>技术负责人</w:t>
      </w:r>
      <w:r>
        <w:rPr>
          <w:rFonts w:ascii="宋体" w:hAnsi="宋体"/>
          <w:sz w:val="24"/>
        </w:rPr>
        <w:t>1</w:t>
      </w:r>
      <w:r>
        <w:rPr>
          <w:rFonts w:hint="eastAsia" w:ascii="宋体" w:hAnsi="宋体"/>
          <w:sz w:val="24"/>
        </w:rPr>
        <w:t>人，需为本科及以上学历，具备</w:t>
      </w:r>
      <w:r>
        <w:rPr>
          <w:rFonts w:ascii="宋体" w:hAnsi="宋体"/>
          <w:sz w:val="24"/>
        </w:rPr>
        <w:t>10</w:t>
      </w:r>
      <w:r>
        <w:rPr>
          <w:rFonts w:hint="eastAsia" w:ascii="宋体" w:hAnsi="宋体"/>
          <w:sz w:val="24"/>
        </w:rPr>
        <w:t>年（含）以上的工作经验，须同时具有系统架构设计师（高级）证书、系统分析师（高级）证书、软件设计师（中级）证书。</w:t>
      </w:r>
    </w:p>
    <w:p>
      <w:pPr>
        <w:spacing w:line="360" w:lineRule="auto"/>
        <w:ind w:firstLine="420"/>
        <w:rPr>
          <w:rFonts w:ascii="宋体" w:hAnsi="宋体"/>
          <w:sz w:val="24"/>
        </w:rPr>
      </w:pPr>
      <w:r>
        <w:rPr>
          <w:rFonts w:hint="eastAsia" w:ascii="宋体" w:hAnsi="宋体"/>
          <w:sz w:val="24"/>
        </w:rPr>
        <w:t>质量管理专员</w:t>
      </w:r>
      <w:r>
        <w:rPr>
          <w:rFonts w:ascii="宋体" w:hAnsi="宋体"/>
          <w:sz w:val="24"/>
        </w:rPr>
        <w:t>1</w:t>
      </w:r>
      <w:r>
        <w:rPr>
          <w:rFonts w:hint="eastAsia" w:ascii="宋体" w:hAnsi="宋体"/>
          <w:sz w:val="24"/>
        </w:rPr>
        <w:t>人，需为本科及以上学历，具备</w:t>
      </w:r>
      <w:r>
        <w:rPr>
          <w:rFonts w:ascii="宋体" w:hAnsi="宋体"/>
          <w:sz w:val="24"/>
        </w:rPr>
        <w:t xml:space="preserve"> 10 </w:t>
      </w:r>
      <w:r>
        <w:rPr>
          <w:rFonts w:hint="eastAsia" w:ascii="宋体" w:hAnsi="宋体"/>
          <w:sz w:val="24"/>
        </w:rPr>
        <w:t>年（含）以上的工作经验，同时具有系统集成项目管理工程师证书（中级）、信息系统项目管理师（高级）证书。</w:t>
      </w:r>
    </w:p>
    <w:p>
      <w:pPr>
        <w:spacing w:line="360" w:lineRule="auto"/>
        <w:ind w:firstLine="420"/>
        <w:rPr>
          <w:rFonts w:ascii="宋体" w:hAnsi="宋体" w:cs="宋体"/>
          <w:color w:val="000000"/>
          <w:sz w:val="24"/>
        </w:rPr>
      </w:pPr>
      <w:r>
        <w:rPr>
          <w:rFonts w:hint="eastAsia" w:ascii="宋体" w:hAnsi="宋体" w:cs="宋体"/>
          <w:sz w:val="24"/>
        </w:rPr>
        <w:t>项目团队，除项目经理、技术负责人、质量管理专员外，需配备不少于6名成员，每位成员均具备5年（含）以上项目实施经验</w:t>
      </w:r>
    </w:p>
    <w:p>
      <w:pPr>
        <w:spacing w:line="360" w:lineRule="auto"/>
        <w:ind w:firstLine="420"/>
        <w:rPr>
          <w:rFonts w:ascii="宋体" w:hAnsi="宋体" w:cs="宋体"/>
          <w:sz w:val="24"/>
        </w:rPr>
      </w:pPr>
      <w:r>
        <w:rPr>
          <w:rFonts w:hint="eastAsia" w:ascii="宋体" w:hAnsi="宋体" w:cs="宋体"/>
          <w:sz w:val="24"/>
        </w:rPr>
        <w:t>投标人须确保运维队伍的稳定。项目实施过程中，投标人调整驻场服务人员，应提前30个工作日通知采购人。</w:t>
      </w:r>
    </w:p>
    <w:p>
      <w:pPr>
        <w:numPr>
          <w:ilvl w:val="0"/>
          <w:numId w:val="0"/>
        </w:numPr>
        <w:spacing w:line="360" w:lineRule="auto"/>
        <w:ind w:firstLine="420"/>
        <w:rPr>
          <w:rFonts w:hint="eastAsia" w:ascii="宋体" w:hAnsi="宋体" w:cs="宋体"/>
          <w:sz w:val="24"/>
        </w:rPr>
      </w:pPr>
      <w:r>
        <w:rPr>
          <w:rFonts w:hint="eastAsia" w:ascii="宋体" w:hAnsi="宋体" w:cs="宋体"/>
          <w:sz w:val="24"/>
        </w:rPr>
        <w:t>投标人须设立技术支持热线，并安排专人值守，提供7x24小时热线支持服务。</w:t>
      </w:r>
    </w:p>
    <w:p>
      <w:pPr>
        <w:pStyle w:val="3"/>
        <w:numPr>
          <w:ilvl w:val="2"/>
          <w:numId w:val="1"/>
        </w:numPr>
        <w:tabs>
          <w:tab w:val="left" w:pos="960"/>
        </w:tabs>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包装和运输要求</w:t>
      </w:r>
    </w:p>
    <w:p>
      <w:pPr>
        <w:spacing w:line="360" w:lineRule="auto"/>
        <w:ind w:firstLine="420"/>
        <w:rPr>
          <w:highlight w:val="none"/>
        </w:rPr>
      </w:pPr>
      <w:r>
        <w:rPr>
          <w:rFonts w:hint="eastAsia" w:ascii="宋体" w:hAnsi="宋体" w:cs="宋体"/>
          <w:sz w:val="24"/>
          <w:lang w:val="zh-CN"/>
        </w:rPr>
        <w:t>包装和运输（须满足《关于印发〈商品包装政府采购需求标准（试行）〉、〈快递包装政府采购需求标准（试行）〉的通知》（财办库﹝2020﹞123 号）</w:t>
      </w:r>
    </w:p>
    <w:p>
      <w:pPr>
        <w:pStyle w:val="2"/>
        <w:numPr>
          <w:ilvl w:val="1"/>
          <w:numId w:val="1"/>
        </w:numPr>
        <w:jc w:val="left"/>
        <w:rPr>
          <w:rFonts w:ascii="宋体" w:hAnsi="宋体" w:eastAsia="宋体" w:cs="宋体"/>
          <w:sz w:val="24"/>
          <w:szCs w:val="24"/>
          <w:highlight w:val="none"/>
        </w:rPr>
      </w:pPr>
      <w:r>
        <w:rPr>
          <w:rFonts w:hint="eastAsia" w:ascii="宋体" w:hAnsi="宋体" w:eastAsia="宋体" w:cs="宋体"/>
          <w:sz w:val="24"/>
          <w:szCs w:val="24"/>
          <w:highlight w:val="none"/>
        </w:rPr>
        <w:t>支付进度及条件</w:t>
      </w:r>
    </w:p>
    <w:p>
      <w:pPr>
        <w:spacing w:line="360" w:lineRule="auto"/>
        <w:ind w:firstLine="420"/>
        <w:jc w:val="left"/>
        <w:rPr>
          <w:rFonts w:hint="eastAsia" w:ascii="宋体" w:hAnsi="宋体" w:cs="宋体"/>
          <w:sz w:val="24"/>
          <w:highlight w:val="none"/>
        </w:rPr>
      </w:pPr>
      <w:r>
        <w:rPr>
          <w:rFonts w:hint="eastAsia" w:ascii="宋体" w:hAnsi="宋体" w:cs="宋体"/>
          <w:sz w:val="24"/>
          <w:highlight w:val="none"/>
        </w:rPr>
        <w:t>1.首付款：本合同生效且财政资金下达后，采购人自收到发票之日起10个工作日内向中标人支付合同总价款的30%。</w:t>
      </w:r>
    </w:p>
    <w:p>
      <w:pPr>
        <w:spacing w:line="360" w:lineRule="auto"/>
        <w:ind w:firstLine="420"/>
        <w:jc w:val="left"/>
        <w:rPr>
          <w:rFonts w:hint="eastAsia" w:ascii="宋体" w:hAnsi="宋体" w:cs="宋体"/>
          <w:sz w:val="24"/>
          <w:highlight w:val="none"/>
        </w:rPr>
      </w:pPr>
      <w:r>
        <w:rPr>
          <w:rFonts w:hint="eastAsia" w:ascii="宋体" w:hAnsi="宋体" w:cs="宋体"/>
          <w:sz w:val="24"/>
          <w:highlight w:val="none"/>
        </w:rPr>
        <w:t>2.中期款：货物交付且财政资金下达后，采购人自收到发票之日起10个工作日内向中标人支付合同总价款的40%。</w:t>
      </w:r>
    </w:p>
    <w:p>
      <w:pPr>
        <w:spacing w:line="360" w:lineRule="auto"/>
        <w:ind w:firstLine="420"/>
        <w:jc w:val="left"/>
        <w:rPr>
          <w:rFonts w:hint="eastAsia" w:ascii="宋体" w:hAnsi="宋体" w:cs="宋体"/>
          <w:sz w:val="24"/>
          <w:highlight w:val="none"/>
        </w:rPr>
      </w:pPr>
      <w:r>
        <w:rPr>
          <w:rFonts w:hint="eastAsia" w:ascii="宋体" w:hAnsi="宋体" w:cs="宋体"/>
          <w:sz w:val="24"/>
          <w:highlight w:val="none"/>
        </w:rPr>
        <w:t>3.尾款：完成安装、部署、调试、试运行并验收合格且财政资金下达后，采购人自收</w:t>
      </w:r>
      <w:bookmarkStart w:id="6" w:name="_GoBack"/>
      <w:bookmarkEnd w:id="6"/>
      <w:r>
        <w:rPr>
          <w:rFonts w:hint="eastAsia" w:ascii="宋体" w:hAnsi="宋体" w:cs="宋体"/>
          <w:sz w:val="24"/>
          <w:highlight w:val="none"/>
        </w:rPr>
        <w:t>到发票之日起10个工作日内向中标人支付本合同总价款的30%。</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1C3F1"/>
    <w:multiLevelType w:val="singleLevel"/>
    <w:tmpl w:val="5A31C3F1"/>
    <w:lvl w:ilvl="0" w:tentative="0">
      <w:start w:val="1"/>
      <w:numFmt w:val="lowerLetter"/>
      <w:lvlText w:val="%1)"/>
      <w:lvlJc w:val="left"/>
      <w:pPr>
        <w:tabs>
          <w:tab w:val="left" w:pos="312"/>
        </w:tabs>
      </w:pPr>
    </w:lvl>
  </w:abstractNum>
  <w:abstractNum w:abstractNumId="1">
    <w:nsid w:val="714CA2C4"/>
    <w:multiLevelType w:val="multilevel"/>
    <w:tmpl w:val="714CA2C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A01BD"/>
    <w:rsid w:val="375935F9"/>
    <w:rsid w:val="3D313F59"/>
    <w:rsid w:val="7E60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2025-06-03T09:43:06Z</dcterms:created>
  <dc:creator>user</dc:creator>
  <cp:lastModifiedBy>郭</cp:lastModifiedBy>
  <dcterms:modified xsi:type="dcterms:W3CDTF">2025-06-03T09:43:44Z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