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E33E7">
      <w:pPr>
        <w:spacing w:line="360" w:lineRule="auto"/>
        <w:jc w:val="center"/>
        <w:outlineLvl w:val="0"/>
        <w:rPr>
          <w:b/>
          <w:sz w:val="36"/>
          <w:szCs w:val="36"/>
        </w:rPr>
      </w:pPr>
      <w:bookmarkStart w:id="0" w:name="_Toc99301424"/>
      <w:r>
        <w:rPr>
          <w:b/>
          <w:sz w:val="36"/>
          <w:szCs w:val="36"/>
        </w:rPr>
        <w:t>第五章   采购需求</w:t>
      </w:r>
      <w:bookmarkEnd w:id="0"/>
    </w:p>
    <w:p w14:paraId="66605DBC">
      <w:pPr>
        <w:tabs>
          <w:tab w:val="left" w:pos="7894"/>
        </w:tabs>
        <w:spacing w:line="360" w:lineRule="auto"/>
        <w:ind w:firstLine="413" w:firstLineChars="196"/>
        <w:rPr>
          <w:rFonts w:ascii="宋体" w:hAnsi="宋体"/>
          <w:b/>
          <w:szCs w:val="21"/>
        </w:rPr>
      </w:pPr>
      <w:bookmarkStart w:id="1" w:name="_Toc32310"/>
      <w:bookmarkStart w:id="2" w:name="_Toc13042"/>
      <w:bookmarkStart w:id="3" w:name="_Toc19337"/>
      <w:bookmarkStart w:id="4" w:name="_Toc26568"/>
      <w:r>
        <w:rPr>
          <w:rFonts w:hint="eastAsia" w:ascii="宋体" w:hAnsi="宋体"/>
          <w:b/>
          <w:szCs w:val="21"/>
        </w:rPr>
        <w:tab/>
      </w:r>
    </w:p>
    <w:bookmarkEnd w:id="1"/>
    <w:bookmarkEnd w:id="2"/>
    <w:bookmarkEnd w:id="3"/>
    <w:bookmarkEnd w:id="4"/>
    <w:p w14:paraId="4C4321A3"/>
    <w:p w14:paraId="0FBAE223">
      <w:pPr>
        <w:pStyle w:val="4"/>
        <w:numPr>
          <w:ilvl w:val="0"/>
          <w:numId w:val="1"/>
        </w:numPr>
        <w:spacing w:line="360" w:lineRule="auto"/>
        <w:ind w:left="0" w:firstLineChars="0"/>
        <w:contextualSpacing/>
        <w:rPr>
          <w:rFonts w:ascii="Times New Roman" w:hAnsi="Times New Roman"/>
          <w:b/>
          <w:sz w:val="24"/>
          <w:szCs w:val="24"/>
        </w:rPr>
      </w:pPr>
      <w:r>
        <w:rPr>
          <w:rFonts w:ascii="Times New Roman" w:hAnsi="Times New Roman"/>
          <w:b/>
          <w:sz w:val="24"/>
          <w:szCs w:val="24"/>
        </w:rPr>
        <w:t>采购标的</w:t>
      </w:r>
    </w:p>
    <w:p w14:paraId="0DBA2995">
      <w:pPr>
        <w:spacing w:line="360" w:lineRule="auto"/>
        <w:contextualSpacing/>
        <w:rPr>
          <w:bCs/>
          <w:sz w:val="24"/>
        </w:rPr>
      </w:pPr>
      <w:r>
        <w:rPr>
          <w:bCs/>
          <w:sz w:val="24"/>
        </w:rPr>
        <w:t>1. 采购标的（货物需求一览表或简要服务内容及数量）</w:t>
      </w:r>
    </w:p>
    <w:p w14:paraId="3CBA9E25">
      <w:pPr>
        <w:spacing w:line="360" w:lineRule="auto"/>
        <w:contextualSpacing/>
        <w:rPr>
          <w:bCs/>
          <w:sz w:val="24"/>
        </w:rPr>
      </w:pPr>
      <w:r>
        <w:rPr>
          <w:bCs/>
          <w:sz w:val="24"/>
        </w:rPr>
        <w:t>说明：如为货物采购，须标明是否接受进口产品</w:t>
      </w:r>
      <w:r>
        <w:rPr>
          <w:rFonts w:hint="eastAsia"/>
          <w:bCs/>
          <w:sz w:val="24"/>
        </w:rPr>
        <w:t>，表明核心产品</w:t>
      </w:r>
      <w:r>
        <w:rPr>
          <w:bCs/>
          <w:sz w:val="24"/>
        </w:rPr>
        <w:t>。</w:t>
      </w:r>
    </w:p>
    <w:p w14:paraId="113269B0">
      <w:pPr>
        <w:pStyle w:val="5"/>
        <w:spacing w:line="360" w:lineRule="auto"/>
        <w:ind w:firstLine="480" w:firstLineChars="200"/>
        <w:jc w:val="both"/>
        <w:rPr>
          <w:rFonts w:ascii="宋体" w:hAnsi="宋体" w:cs="宋体"/>
          <w:color w:val="auto"/>
          <w:kern w:val="2"/>
        </w:rPr>
      </w:pPr>
      <w:r>
        <w:rPr>
          <w:rFonts w:hint="eastAsia" w:ascii="宋体" w:hAnsi="宋体" w:cs="宋体"/>
          <w:color w:val="auto"/>
          <w:kern w:val="2"/>
        </w:rPr>
        <w:t>主要工作内容是依托北京市政务云资源，采购政务云基础服务、其他云上拓展服务和云上系统安全保障服务等工作。</w:t>
      </w:r>
    </w:p>
    <w:p w14:paraId="6323F0AE">
      <w:pPr>
        <w:pStyle w:val="5"/>
        <w:spacing w:line="360" w:lineRule="auto"/>
        <w:ind w:firstLine="480" w:firstLineChars="200"/>
        <w:jc w:val="both"/>
        <w:rPr>
          <w:rFonts w:ascii="宋体" w:hAnsi="宋体" w:cs="宋体"/>
          <w:color w:val="auto"/>
          <w:kern w:val="2"/>
        </w:rPr>
      </w:pPr>
      <w:r>
        <w:rPr>
          <w:rFonts w:hint="eastAsia" w:ascii="宋体" w:hAnsi="宋体" w:cs="宋体"/>
          <w:color w:val="auto"/>
          <w:kern w:val="2"/>
        </w:rPr>
        <w:t>本项目所需服务如下表：</w:t>
      </w:r>
    </w:p>
    <w:tbl>
      <w:tblPr>
        <w:tblStyle w:val="2"/>
        <w:tblW w:w="9076" w:type="dxa"/>
        <w:tblInd w:w="0" w:type="dxa"/>
        <w:tblLayout w:type="fixed"/>
        <w:tblCellMar>
          <w:top w:w="0" w:type="dxa"/>
          <w:left w:w="108" w:type="dxa"/>
          <w:bottom w:w="0" w:type="dxa"/>
          <w:right w:w="108" w:type="dxa"/>
        </w:tblCellMar>
      </w:tblPr>
      <w:tblGrid>
        <w:gridCol w:w="1040"/>
        <w:gridCol w:w="1483"/>
        <w:gridCol w:w="3032"/>
        <w:gridCol w:w="841"/>
        <w:gridCol w:w="936"/>
        <w:gridCol w:w="808"/>
        <w:gridCol w:w="936"/>
      </w:tblGrid>
      <w:tr w14:paraId="740D64AB">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422A">
            <w:pPr>
              <w:widowControl/>
              <w:spacing w:line="320" w:lineRule="exact"/>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CFED">
            <w:pPr>
              <w:widowControl/>
              <w:spacing w:line="320" w:lineRule="exact"/>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服务类、服务项</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5587">
            <w:pPr>
              <w:widowControl/>
              <w:spacing w:line="320" w:lineRule="exact"/>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服务描述或规格型号</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37F4">
            <w:pPr>
              <w:widowControl/>
              <w:spacing w:line="320" w:lineRule="exact"/>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计价单位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F113">
            <w:pPr>
              <w:widowControl/>
              <w:spacing w:line="320" w:lineRule="exact"/>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报价单位</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A772">
            <w:pPr>
              <w:widowControl/>
              <w:spacing w:line="320" w:lineRule="exact"/>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1B82">
            <w:pPr>
              <w:widowControl/>
              <w:spacing w:line="320" w:lineRule="exact"/>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服务期（月）</w:t>
            </w:r>
          </w:p>
        </w:tc>
      </w:tr>
      <w:tr w14:paraId="04E5CFA4">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5F3A">
            <w:pPr>
              <w:widowControl/>
              <w:spacing w:line="320" w:lineRule="exact"/>
              <w:jc w:val="center"/>
              <w:textAlignment w:val="center"/>
              <w:rPr>
                <w:rFonts w:ascii="宋体" w:hAnsi="宋体" w:cs="宋体"/>
                <w:b/>
                <w:bCs/>
                <w:color w:val="000000"/>
                <w:sz w:val="24"/>
              </w:rPr>
            </w:pPr>
            <w:r>
              <w:rPr>
                <w:rFonts w:hint="eastAsia" w:ascii="宋体" w:hAnsi="宋体" w:cs="宋体"/>
                <w:b/>
                <w:bCs/>
                <w:color w:val="000000"/>
                <w:kern w:val="0"/>
                <w:sz w:val="24"/>
                <w:lang w:bidi="ar"/>
              </w:rPr>
              <w:t>一</w:t>
            </w:r>
          </w:p>
        </w:tc>
        <w:tc>
          <w:tcPr>
            <w:tcW w:w="80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2EC4">
            <w:pPr>
              <w:widowControl/>
              <w:spacing w:line="320" w:lineRule="exact"/>
              <w:jc w:val="left"/>
              <w:rPr>
                <w:rFonts w:ascii="宋体" w:hAnsi="宋体" w:cs="宋体"/>
                <w:b/>
                <w:bCs/>
                <w:color w:val="000000"/>
                <w:kern w:val="0"/>
                <w:sz w:val="24"/>
                <w:lang w:bidi="ar"/>
              </w:rPr>
            </w:pPr>
            <w:r>
              <w:rPr>
                <w:rFonts w:hint="eastAsia" w:ascii="宋体" w:hAnsi="宋体" w:cs="宋体"/>
                <w:b/>
                <w:bCs/>
                <w:color w:val="000000"/>
                <w:kern w:val="0"/>
                <w:sz w:val="24"/>
                <w:lang w:bidi="ar"/>
              </w:rPr>
              <w:t>政务云基础服务</w:t>
            </w:r>
          </w:p>
        </w:tc>
      </w:tr>
      <w:tr w14:paraId="08EAA754">
        <w:tblPrEx>
          <w:tblCellMar>
            <w:top w:w="0" w:type="dxa"/>
            <w:left w:w="108" w:type="dxa"/>
            <w:bottom w:w="0" w:type="dxa"/>
            <w:right w:w="108" w:type="dxa"/>
          </w:tblCellMar>
        </w:tblPrEx>
        <w:trPr>
          <w:trHeight w:val="9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DF17">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（一）</w:t>
            </w:r>
          </w:p>
        </w:tc>
        <w:tc>
          <w:tcPr>
            <w:tcW w:w="8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D1C234">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计算服务</w:t>
            </w:r>
          </w:p>
        </w:tc>
      </w:tr>
      <w:tr w14:paraId="2C009CBA">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8E9D">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FAF6">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X86平台云主机服务-vCPU</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8ED2">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主频不低于2.4GHz</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24B6">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CPU</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B077">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8DB6">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1515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E6AB">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5D640ECA">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7AE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1246">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X86平台云主机服务-内存</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C440">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内存</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9D6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GB</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FDDB">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720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7263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BE37">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3B21370B">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8A21">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（二）</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B57FFC">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存储服务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1743">
            <w:pPr>
              <w:widowControl/>
              <w:spacing w:line="320" w:lineRule="exact"/>
              <w:jc w:val="left"/>
              <w:rPr>
                <w:rFonts w:ascii="宋体" w:hAnsi="宋体" w:cs="宋体"/>
                <w:color w:val="000000"/>
                <w:sz w:val="24"/>
              </w:rPr>
            </w:pPr>
          </w:p>
        </w:tc>
      </w:tr>
      <w:tr w14:paraId="55395313">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B53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68B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普通性能存储</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AA91">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单盘技术指标：单盘IOPS 1000-3000）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99F4">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GB</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C702">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BC23">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124550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46E9">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4FA9CD82">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33D8">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B3C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高性能存储</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0333">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单盘技术指标：单盘IOPS 3000-20000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0538">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GB</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5717">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7446">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120482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453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5E132154">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A4F1">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226B">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本地备份服务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820F">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本地备份服务</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74BC">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GB</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C8E0">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3E9B">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131264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9258">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0D28BC76">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A913">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84BF">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静态存储（NAS）</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E8A1">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大容量、高可靠的数据存储服务，具备PB级线性扩展能力</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6860">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TB</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2A11">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D37C">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80D0">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1B8352A7">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FDB3">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（三）</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37C23D">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网络服务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5123">
            <w:pPr>
              <w:widowControl/>
              <w:spacing w:line="320" w:lineRule="exact"/>
              <w:jc w:val="left"/>
              <w:textAlignment w:val="center"/>
              <w:rPr>
                <w:rFonts w:ascii="宋体" w:hAnsi="宋体" w:cs="宋体"/>
                <w:color w:val="000000"/>
                <w:kern w:val="0"/>
                <w:sz w:val="24"/>
                <w:lang w:bidi="ar"/>
              </w:rPr>
            </w:pPr>
          </w:p>
        </w:tc>
      </w:tr>
      <w:tr w14:paraId="78DC4E9E">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3E9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5CFC">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互联网链路服务1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99A0">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互联网链路带宽</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420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Mb</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EBD0">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4ADC">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320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0DAF">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02366708">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1AF8">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ACF9">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互联网链路服务2</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555A">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互联网IP地址租用服务、并提供备案服务</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D5A2">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IP</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667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8367">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662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1A1F1F3B">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5E3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186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主机负载均衡服务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C4E7">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主机负载均衡服务</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5780">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IP</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A52B">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04D1">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7C1F">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371B11BE">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B35B">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42D3">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远程接入服务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F7F9">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远程接入运维，每个账号结合身份验证，通过VPN远程接入堡垒机进行维护（免费提供1个账号）</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2963">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账号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49F1">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5952">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68D1">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0F08958F">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75D4">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67E7">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VPN服务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A203">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SSL VPN 接入（每套10个并发用户，所需带宽参照“互联网链路带宽”购买）</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4846">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FDA1">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5369">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8C30">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6DD8474A">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6C31">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4C62">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WAF防护</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AFB1">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web应用防火墙服务</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B1F8">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IP</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876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B9F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670D">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6AD8E022">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38BC">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（四）</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8367BA">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云主机深度监控服务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2589">
            <w:pPr>
              <w:widowControl/>
              <w:spacing w:line="320" w:lineRule="exact"/>
              <w:jc w:val="left"/>
              <w:textAlignment w:val="center"/>
              <w:rPr>
                <w:rFonts w:ascii="宋体" w:hAnsi="宋体" w:cs="宋体"/>
                <w:color w:val="000000"/>
                <w:kern w:val="0"/>
                <w:sz w:val="24"/>
                <w:lang w:bidi="ar"/>
              </w:rPr>
            </w:pPr>
          </w:p>
        </w:tc>
      </w:tr>
      <w:tr w14:paraId="69F9A783">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F5A0">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E99D">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特定云主机深度监控及运维保障服务（7×24小时值守）</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0306">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7×24小时深度监测云主机资源、硬件设备监控、云平台层应急处置等内容。</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4B7E">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1774">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6D39">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DE47">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0A5CA6BE">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DF1C">
            <w:pPr>
              <w:widowControl/>
              <w:spacing w:line="320" w:lineRule="exact"/>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二</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FF15BC">
            <w:pPr>
              <w:widowControl/>
              <w:spacing w:line="320" w:lineRule="exact"/>
              <w:jc w:val="left"/>
              <w:textAlignment w:val="center"/>
              <w:rPr>
                <w:rFonts w:ascii="宋体" w:hAnsi="宋体" w:cs="宋体"/>
                <w:b/>
                <w:bCs/>
                <w:color w:val="000000"/>
                <w:sz w:val="24"/>
              </w:rPr>
            </w:pPr>
            <w:r>
              <w:rPr>
                <w:rFonts w:hint="eastAsia" w:ascii="宋体" w:hAnsi="宋体" w:cs="宋体"/>
                <w:b/>
                <w:bCs/>
                <w:color w:val="000000"/>
                <w:kern w:val="0"/>
                <w:sz w:val="24"/>
                <w:lang w:bidi="ar"/>
              </w:rPr>
              <w:t>其他云上拓展服务</w:t>
            </w:r>
          </w:p>
        </w:tc>
        <w:tc>
          <w:tcPr>
            <w:tcW w:w="936" w:type="dxa"/>
            <w:tcBorders>
              <w:top w:val="single" w:color="000000" w:sz="4" w:space="0"/>
              <w:left w:val="single" w:color="000000" w:sz="4" w:space="0"/>
              <w:bottom w:val="single" w:color="000000" w:sz="4" w:space="0"/>
              <w:right w:val="single" w:color="000000" w:sz="4" w:space="0"/>
            </w:tcBorders>
            <w:vAlign w:val="center"/>
          </w:tcPr>
          <w:p w14:paraId="40EF9F04">
            <w:pPr>
              <w:widowControl/>
              <w:spacing w:line="320" w:lineRule="exact"/>
              <w:jc w:val="left"/>
              <w:textAlignment w:val="center"/>
              <w:rPr>
                <w:rFonts w:ascii="宋体" w:hAnsi="宋体" w:cs="宋体"/>
                <w:color w:val="000000"/>
                <w:kern w:val="0"/>
                <w:sz w:val="24"/>
                <w:lang w:bidi="ar"/>
              </w:rPr>
            </w:pPr>
          </w:p>
        </w:tc>
      </w:tr>
      <w:tr w14:paraId="0E28F4E1">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5B4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（一）</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316E0D">
            <w:pPr>
              <w:widowControl/>
              <w:spacing w:line="320" w:lineRule="exact"/>
              <w:jc w:val="left"/>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bidi="ar"/>
              </w:rPr>
              <w:t>云上物理服务器</w:t>
            </w:r>
            <w:r>
              <w:rPr>
                <w:rFonts w:hint="eastAsia" w:ascii="宋体" w:hAnsi="宋体" w:cs="宋体"/>
                <w:color w:val="000000"/>
                <w:kern w:val="0"/>
                <w:sz w:val="24"/>
                <w:lang w:val="en-US" w:eastAsia="zh-CN" w:bidi="ar"/>
              </w:rPr>
              <w:t>租用服务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75F1">
            <w:pPr>
              <w:widowControl/>
              <w:spacing w:line="320" w:lineRule="exact"/>
              <w:jc w:val="left"/>
              <w:textAlignment w:val="center"/>
              <w:rPr>
                <w:rFonts w:ascii="宋体" w:hAnsi="宋体" w:cs="宋体"/>
                <w:color w:val="000000"/>
                <w:kern w:val="0"/>
                <w:sz w:val="24"/>
                <w:lang w:bidi="ar"/>
              </w:rPr>
            </w:pPr>
          </w:p>
        </w:tc>
      </w:tr>
      <w:tr w14:paraId="6D332208">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7563">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448C">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流数据节点服务器</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0605">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服务器租用，提供计算资源。</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8EB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FACB">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0B36">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0EFB">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1CD76450">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0F84">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FD91">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元数据节点服务器</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68CC">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服务器租用，提供计算资源。</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B9C2">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DFCE">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662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DAC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6BC3B2FA">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86B3">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D51B">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计算与存储节点服务器</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1102">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服务器租用，提供计算资源。</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DE00">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DE64">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073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55AB">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42DD099F">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6B31">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（二）</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D597BA">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平台资源2-基础软件支撑服务</w:t>
            </w:r>
          </w:p>
        </w:tc>
        <w:tc>
          <w:tcPr>
            <w:tcW w:w="936" w:type="dxa"/>
            <w:tcBorders>
              <w:top w:val="single" w:color="000000" w:sz="4" w:space="0"/>
              <w:left w:val="single" w:color="000000" w:sz="4" w:space="0"/>
              <w:bottom w:val="single" w:color="000000" w:sz="4" w:space="0"/>
              <w:right w:val="single" w:color="000000" w:sz="4" w:space="0"/>
            </w:tcBorders>
            <w:vAlign w:val="center"/>
          </w:tcPr>
          <w:p w14:paraId="55FD55BD">
            <w:pPr>
              <w:widowControl/>
              <w:spacing w:line="320" w:lineRule="exact"/>
              <w:jc w:val="left"/>
              <w:rPr>
                <w:rFonts w:ascii="宋体" w:hAnsi="宋体" w:cs="宋体"/>
                <w:color w:val="000000"/>
                <w:kern w:val="0"/>
                <w:sz w:val="24"/>
                <w:lang w:bidi="ar"/>
              </w:rPr>
            </w:pPr>
          </w:p>
        </w:tc>
      </w:tr>
      <w:tr w14:paraId="3692FAE8">
        <w:tblPrEx>
          <w:tblCellMar>
            <w:top w:w="0" w:type="dxa"/>
            <w:left w:w="108" w:type="dxa"/>
            <w:bottom w:w="0" w:type="dxa"/>
            <w:right w:w="108" w:type="dxa"/>
          </w:tblCellMar>
        </w:tblPrEx>
        <w:trPr>
          <w:trHeight w:val="1241"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3728">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33E0">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国产数据库和应用中间件维护服务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B63B">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1、日常维护;2、故障处理;3、备份与恢复;4、升级服务;5、系统巡检;6、性能评估及调优;7、中间件基础优化及日常监控;8、数据库和中间件的安装部署、架构规划与管理;9、重点时期运维保障;10、安全演练技术保障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300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CED8">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D1A4">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8D7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0CD2D378">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F0A4">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244E">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数据库一体机服务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FF23">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数据库一体机租用服务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A0BB">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月</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933B">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6657">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171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436D8390">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9C5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8DF2">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SQL Server 数据库</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5A40">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SQL Server 2014 单机版数据库租用服务，单节点。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1371">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月</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A2EC">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A26E">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0C90">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1A8791A8">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0EBD">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A8F2">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商用操作系统套餐1</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8F7B">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Windows Server套餐：Windows Server租用、安装及维护，根据漏洞扫描结果或等级测试要求对操作系统进行安全加固。</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EB20">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308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ADE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E016">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327D7461">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7011">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（三）</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9D22C8">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通信接入服务</w:t>
            </w:r>
          </w:p>
        </w:tc>
        <w:tc>
          <w:tcPr>
            <w:tcW w:w="936" w:type="dxa"/>
            <w:tcBorders>
              <w:top w:val="single" w:color="000000" w:sz="4" w:space="0"/>
              <w:left w:val="single" w:color="000000" w:sz="4" w:space="0"/>
              <w:bottom w:val="single" w:color="000000" w:sz="4" w:space="0"/>
              <w:right w:val="single" w:color="000000" w:sz="4" w:space="0"/>
            </w:tcBorders>
            <w:vAlign w:val="center"/>
          </w:tcPr>
          <w:p w14:paraId="30DC32D5">
            <w:pPr>
              <w:widowControl/>
              <w:spacing w:line="320" w:lineRule="exact"/>
              <w:jc w:val="left"/>
              <w:textAlignment w:val="center"/>
              <w:rPr>
                <w:rFonts w:ascii="宋体" w:hAnsi="宋体" w:cs="宋体"/>
                <w:color w:val="000000"/>
                <w:kern w:val="0"/>
                <w:sz w:val="24"/>
                <w:lang w:bidi="ar"/>
              </w:rPr>
            </w:pPr>
          </w:p>
        </w:tc>
      </w:tr>
      <w:tr w14:paraId="73197840">
        <w:tblPrEx>
          <w:tblCellMar>
            <w:top w:w="0" w:type="dxa"/>
            <w:left w:w="108" w:type="dxa"/>
            <w:bottom w:w="0" w:type="dxa"/>
            <w:right w:w="108" w:type="dxa"/>
          </w:tblCellMar>
        </w:tblPrEx>
        <w:trPr>
          <w:trHeight w:val="31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22A7">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747B">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民政部数据数据专线</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AA43">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用于市民政局与国家民政部数据交换</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457D">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E9B9">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B369">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A5DD">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5377BA6E">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E2F2">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908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市金融监管局</w:t>
            </w:r>
            <w:r>
              <w:rPr>
                <w:rFonts w:hint="eastAsia" w:ascii="宋体" w:hAnsi="宋体" w:cs="宋体"/>
                <w:color w:val="000000"/>
                <w:kern w:val="0"/>
                <w:sz w:val="24"/>
                <w:lang w:bidi="ar"/>
              </w:rPr>
              <w:t>专线、</w:t>
            </w:r>
            <w:r>
              <w:rPr>
                <w:rFonts w:hint="eastAsia" w:ascii="宋体" w:hAnsi="宋体" w:cs="宋体"/>
                <w:color w:val="000000"/>
                <w:kern w:val="0"/>
                <w:sz w:val="24"/>
                <w:lang w:val="en-US" w:eastAsia="zh-CN" w:bidi="ar"/>
              </w:rPr>
              <w:t>市政交通一卡通</w:t>
            </w:r>
            <w:r>
              <w:rPr>
                <w:rFonts w:hint="eastAsia" w:ascii="宋体" w:hAnsi="宋体" w:cs="宋体"/>
                <w:color w:val="000000"/>
                <w:kern w:val="0"/>
                <w:sz w:val="24"/>
                <w:lang w:bidi="ar"/>
              </w:rPr>
              <w:t>公司专线</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43F1">
            <w:pPr>
              <w:widowControl/>
              <w:spacing w:line="320" w:lineRule="exact"/>
              <w:jc w:val="left"/>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用于市民政局与市金融监管局</w:t>
            </w: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市政交通一卡通公司数据交换</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2D43">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4B14">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924E">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3457">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279D7F5A">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810C">
            <w:pPr>
              <w:widowControl/>
              <w:spacing w:line="320" w:lineRule="exact"/>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三</w:t>
            </w:r>
          </w:p>
        </w:tc>
        <w:tc>
          <w:tcPr>
            <w:tcW w:w="80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71B357">
            <w:pPr>
              <w:widowControl/>
              <w:spacing w:line="320" w:lineRule="exact"/>
              <w:textAlignment w:val="center"/>
              <w:rPr>
                <w:rFonts w:ascii="宋体" w:hAnsi="宋体" w:cs="宋体"/>
                <w:b/>
                <w:bCs/>
                <w:color w:val="000000"/>
                <w:kern w:val="0"/>
                <w:sz w:val="24"/>
                <w:lang w:bidi="ar"/>
              </w:rPr>
            </w:pPr>
            <w:r>
              <w:rPr>
                <w:rFonts w:hint="eastAsia" w:ascii="宋体" w:hAnsi="宋体" w:cs="宋体"/>
                <w:b/>
                <w:bCs/>
                <w:sz w:val="24"/>
              </w:rPr>
              <w:t>云上系统安全保障服务</w:t>
            </w:r>
          </w:p>
        </w:tc>
      </w:tr>
      <w:tr w14:paraId="09E3275E">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BE22">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5D51">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主机漏洞扫描</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9DA2">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为用户提供针对主机层面的安全扫描服务，并反馈相关结果。</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CAF3">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586E">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E883">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79AB">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6EDF081D">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973B">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8710">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网页防篡改服务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5247">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提供网页防篡改服务。通过防篡改软件对用户页面进行实时防护，减少用户页面被恶意篡改的可能性。</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75F4">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FAC1">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3527">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8246">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1F7F50AD">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7686">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94F2">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主机日志分析</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14E0">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对主机系统日志进行采集分析处理，发现各种安全威胁、异常行为事件。并定期为用户提供分析报告，协助用户进行整改工作。</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7EA9">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15AC">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FB8D">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75DD">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127FE74B">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8083">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93C4">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数据库审计服务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45F3">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支持Oracle、SQL-Server、DB2、MySQL等数据库审计。</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D1C0">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381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573C">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21EF">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6390CF11">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2053">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C6BC">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主机杀毒服务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8797">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对云主机进行定期的病毒查杀，杀毒软件集中控制，对网络性能无影响。</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C39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81A7">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9C52">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F506">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7649E874">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EF0C">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38B3">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WEB应用安全云防护服务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EDBA">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对WEB应用提供安全防护服务，服务内容：1. 智能DNS；2. 防火墙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 防火墙策略集控制；4.智能攻击防御；5.WebShell防护；6.协同防御；7.精准访问控制；8.站锁与防篡改；9.可视化、数据下载、安全报告；10. 抗DDoS、抗CC攻击。</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7EAF">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43F9">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0112">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C8F4">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709846AD">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3090">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FCB9">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全流量数据分析服务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6631">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对网络进行信息资产调查，对流量数据进行回溯分析、健康分析、安全评估，提供应急响应。本项目进行12期为定期分析服务，按需提供不定期服务（应急服务），时间由双方协商制定，首期从合同签订第一个月初开始，然后每个月进行一期分析，输出服务报告，截止到一年后月末结束。</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F914">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8C78">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A78F">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CD49">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111DF689">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5516">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D5F9">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数据库安全防护服务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C877">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通过数据库安全防护系统，能够对数据库访问的行为进行限制，高危操作进行拦截，；虚拟补丁通过协议解析技术，捕捉外部系统利用数据库漏洞进行的网络攻击行为并对其进行管控，从而防止通过已知漏洞对数据库的攻击。1、优化防护业务系统种类及数量；2、优化学习期及行为建模；3、防护安全策略如会话、结果集、长语句的配置及测试策略运行状态；4、数据库补丁填补、防护；5、安全策略细化；6、结果集监控及阻断；7、持续更新安全漏洞。</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C05C">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42A4">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04F7">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9E0C">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36EC4D65">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3467">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7C9D">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数据水印云服务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6F22">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数据水印服务是将标记信息嵌入原始实现数据溯源的服务，具有高隐蔽性、高易用性、高管理融合性等特点，通过标记信息追溯该泄露数据流转全流程，并精准定位泄露单位及责任人，实现数据泄露精准追责定责解决数据在分发后的风险追责。</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1EE4">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8CF2">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6216">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661F">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3BD810B2">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7409">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39A1">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态势感知</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397B">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针对部署在政务云环境的237台云主机、10台物理主机及oracle数据库一体机开展态势感知服务，提供业务可视化、威胁可视化、攻击与可疑流量可视化服务，在系统受到高级威胁入侵之后，损失发生之前及时发现威胁。服务部署在政务云互联网区域及政务外网区域，提供监控演示账号，可以直观看到网络攻击情况，服务按月度产出态势感知报告。</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375D">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C7BE">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60FC">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90D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37E30B41">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A513">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815E">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网站安全监测服务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0265">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包括Web漏洞监测、SSL安全监测、安全事件监测、资产变动监测、内容合规监测、可用性监测、可视化数据报表、安全报告及多种扫描方式等。可以持续的去监测网站暗链、坏链、挖矿、挂马、风险外链等安全事件；可持续监测网站web安全漏洞，发现漏洞后可以快速定位漏洞，及时协助快速修补漏洞，防止web攻击事件发生；对网页敏感词进行持续监控涉及暴恐、涉黄、涉政、反动、博彩、民生、政治、其他等8类词库，可以及时掌握网站的内容安全风险；7x24小时不断监测业务系统、服务器的可用性，访问异常时，第一时间告警通知到管理人员，及时解决问题。</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F97E">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0A88">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F1C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D85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578D5B48">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26BA">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7A35">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威胁情报服务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ABA8">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提供威胁情报查询，重点时期推送威胁情报信息。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万次/年，单日上限500次，每秒最大连接数50，提供云端账号IP情报查询服务，订阅IP自动推送情报；与黑客IP库联动，针对攻击IP进行扩展性信息查询，可查询攻击IP的其他信息，经纬度、运营商等信息，查看攻击IP过往是否是类似攻击行为，有效识别已知风险和潜在威胁，并提供对应的处理方案。HVV期间可以针对攻击队的IP进行查询</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54E1">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1AA5">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833B">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066C">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37A12977">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7187">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9D8F">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蜜罐服务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B1DF">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部署诱饵和陷阱在关键网络入口，诱导攻击者攻击伪装目标，保护真实资产。包括威胁告警、黑客画像、攻击特征识别、安全报表、威胁态势指挥大屏、协同防御、攻击溯源及预警通知等。SaaS部署的方式，实现云蜜场和业务系统隔离，通过部署诱饵诱导攻击者攻击伪装目标，在通过观察黑客的攻击路径、手段，让黑客帮助提前发现系统漏洞；通过孪生蜜罐作为陷阱，让黑客无法快速辨别真实资产；</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0966">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7AA0">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239A">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78DB">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r w14:paraId="45B4C83E">
        <w:tblPrEx>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083E">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E8BC">
            <w:pPr>
              <w:widowControl/>
              <w:spacing w:line="320" w:lineRule="exact"/>
              <w:jc w:val="center"/>
              <w:textAlignment w:val="center"/>
              <w:rPr>
                <w:rFonts w:ascii="宋体" w:hAnsi="宋体" w:cs="宋体"/>
                <w:color w:val="000000"/>
                <w:sz w:val="24"/>
              </w:rPr>
            </w:pPr>
            <w:r>
              <w:rPr>
                <w:rFonts w:hint="eastAsia" w:ascii="宋体" w:hAnsi="宋体" w:cs="宋体"/>
                <w:color w:val="000000"/>
                <w:kern w:val="0"/>
                <w:sz w:val="24"/>
                <w:lang w:bidi="ar"/>
              </w:rPr>
              <w:t>数据加密应用无感知云服务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F610">
            <w:pPr>
              <w:widowControl/>
              <w:spacing w:line="320" w:lineRule="exact"/>
              <w:jc w:val="left"/>
              <w:textAlignment w:val="center"/>
              <w:rPr>
                <w:rFonts w:ascii="宋体" w:hAnsi="宋体" w:cs="宋体"/>
                <w:color w:val="000000"/>
                <w:sz w:val="24"/>
              </w:rPr>
            </w:pPr>
            <w:r>
              <w:rPr>
                <w:rFonts w:hint="eastAsia" w:ascii="宋体" w:hAnsi="宋体" w:cs="宋体"/>
                <w:color w:val="000000"/>
                <w:kern w:val="0"/>
                <w:sz w:val="24"/>
                <w:lang w:bidi="ar"/>
              </w:rPr>
              <w:t>透明加密（TDE）是高级安全选件的功能，实现对存储在数据库里的数据、使用数据泵导出的数据以及使用 RMAN 的备份数据进行加密，避免了存 储介质被拿走或维修替换，或是 DBA 窥视所导致的数据泄露，保护业务数据的存储安全。透明数据加密对应用透明，不需要修改应用。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支持国密算法，与TDE配合完成数据存储加密和数据备份加密，满足等保与密评的合规要求。</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F8D8">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74A9">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元/月</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2E74">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DF90">
            <w:pPr>
              <w:widowControl/>
              <w:spacing w:line="32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r>
    </w:tbl>
    <w:p w14:paraId="183724DE">
      <w:pPr>
        <w:spacing w:line="360" w:lineRule="auto"/>
        <w:contextualSpacing/>
        <w:rPr>
          <w:bCs/>
          <w:sz w:val="24"/>
        </w:rPr>
      </w:pPr>
    </w:p>
    <w:p w14:paraId="5550D65B">
      <w:pPr>
        <w:spacing w:line="360" w:lineRule="auto"/>
        <w:contextualSpacing/>
        <w:rPr>
          <w:bCs/>
          <w:sz w:val="24"/>
        </w:rPr>
      </w:pPr>
      <w:r>
        <w:rPr>
          <w:bCs/>
          <w:sz w:val="24"/>
        </w:rPr>
        <w:t>2. 项目背景/项目概述</w:t>
      </w:r>
    </w:p>
    <w:p w14:paraId="42D2D4A1">
      <w:pPr>
        <w:pStyle w:val="5"/>
        <w:spacing w:line="360" w:lineRule="auto"/>
        <w:ind w:firstLine="480" w:firstLineChars="200"/>
        <w:jc w:val="both"/>
        <w:rPr>
          <w:rFonts w:ascii="宋体" w:hAnsi="宋体" w:cs="宋体"/>
          <w:color w:val="auto"/>
          <w:kern w:val="2"/>
        </w:rPr>
      </w:pPr>
      <w:r>
        <w:rPr>
          <w:rFonts w:hint="eastAsia" w:ascii="宋体" w:hAnsi="宋体" w:cs="宋体"/>
          <w:color w:val="auto"/>
          <w:kern w:val="2"/>
        </w:rPr>
        <w:t>依据《关于印发〈关于推进我市政务信息系统整合共享的实施方案〉的通知》（京经信委发〔2017〕89号）《关于印发〈北京市政务信息资源管理办法（试行）〉的通知》（京政发〔2017〕39号）《关于印发〈北京市市级政务云管理办法〉的通知》（京经信函〔2019〕150号）等文件要求，落实北京市电子政务总体要求，推进北京市民政局政务信息化统筹集约发展，实现政务信息系统统一入云部署，充分合理利用市级政务云服务资源，确保信息系统和数据资源安全、稳定运行。</w:t>
      </w:r>
    </w:p>
    <w:p w14:paraId="7ADEFDF5">
      <w:pPr>
        <w:pStyle w:val="4"/>
        <w:numPr>
          <w:ilvl w:val="0"/>
          <w:numId w:val="1"/>
        </w:numPr>
        <w:spacing w:line="360" w:lineRule="auto"/>
        <w:ind w:left="0" w:firstLineChars="0"/>
        <w:contextualSpacing/>
        <w:rPr>
          <w:rFonts w:ascii="Times New Roman" w:hAnsi="Times New Roman"/>
          <w:b/>
          <w:sz w:val="24"/>
          <w:szCs w:val="24"/>
        </w:rPr>
      </w:pPr>
      <w:r>
        <w:rPr>
          <w:rFonts w:ascii="Times New Roman" w:hAnsi="Times New Roman"/>
          <w:b/>
          <w:sz w:val="24"/>
          <w:szCs w:val="24"/>
        </w:rPr>
        <w:t>商务要求</w:t>
      </w:r>
    </w:p>
    <w:p w14:paraId="43C87C7F">
      <w:pPr>
        <w:spacing w:line="360" w:lineRule="auto"/>
        <w:contextualSpacing/>
        <w:rPr>
          <w:i/>
          <w:sz w:val="24"/>
        </w:rPr>
      </w:pPr>
      <w:r>
        <w:rPr>
          <w:sz w:val="24"/>
        </w:rPr>
        <w:t>1. 交付（实施）的时间（期限）和地点（范围）</w:t>
      </w:r>
    </w:p>
    <w:p w14:paraId="2CE28BB9">
      <w:pPr>
        <w:pStyle w:val="6"/>
        <w:spacing w:line="360" w:lineRule="auto"/>
        <w:ind w:firstLine="472" w:firstLineChars="200"/>
        <w:rPr>
          <w:b/>
          <w:bCs/>
          <w:spacing w:val="-2"/>
          <w:sz w:val="24"/>
          <w:szCs w:val="24"/>
          <w:lang w:eastAsia="zh-CN"/>
        </w:rPr>
      </w:pPr>
      <w:r>
        <w:rPr>
          <w:rFonts w:hint="eastAsia"/>
          <w:b/>
          <w:bCs/>
          <w:spacing w:val="-2"/>
          <w:sz w:val="24"/>
          <w:szCs w:val="24"/>
          <w:lang w:eastAsia="zh-CN"/>
        </w:rPr>
        <w:t>（1）</w:t>
      </w:r>
      <w:r>
        <w:rPr>
          <w:b/>
          <w:bCs/>
          <w:spacing w:val="-2"/>
          <w:sz w:val="24"/>
          <w:szCs w:val="24"/>
          <w:lang w:eastAsia="zh-CN"/>
        </w:rPr>
        <w:t>实施的时间(期限)</w:t>
      </w:r>
    </w:p>
    <w:p w14:paraId="19D46610">
      <w:pPr>
        <w:spacing w:line="360" w:lineRule="auto"/>
        <w:ind w:firstLine="480" w:firstLineChars="200"/>
        <w:rPr>
          <w:rFonts w:ascii="宋体" w:hAnsi="宋体" w:cs="宋体"/>
          <w:sz w:val="24"/>
        </w:rPr>
      </w:pPr>
      <w:r>
        <w:rPr>
          <w:rFonts w:hint="eastAsia" w:ascii="宋体" w:hAnsi="宋体" w:cs="宋体"/>
          <w:sz w:val="24"/>
        </w:rPr>
        <w:t>自合同签订之日起一年。</w:t>
      </w:r>
    </w:p>
    <w:p w14:paraId="645E6A77">
      <w:pPr>
        <w:pStyle w:val="6"/>
        <w:spacing w:line="360" w:lineRule="auto"/>
        <w:ind w:firstLine="472" w:firstLineChars="200"/>
        <w:rPr>
          <w:b/>
          <w:bCs/>
          <w:spacing w:val="-2"/>
          <w:sz w:val="24"/>
          <w:szCs w:val="24"/>
          <w:lang w:eastAsia="zh-CN"/>
        </w:rPr>
      </w:pPr>
      <w:r>
        <w:rPr>
          <w:rFonts w:hint="eastAsia"/>
          <w:b/>
          <w:bCs/>
          <w:spacing w:val="-2"/>
          <w:sz w:val="24"/>
          <w:szCs w:val="24"/>
          <w:lang w:eastAsia="zh-CN"/>
        </w:rPr>
        <w:t>（2）</w:t>
      </w:r>
      <w:r>
        <w:rPr>
          <w:b/>
          <w:bCs/>
          <w:spacing w:val="-2"/>
          <w:sz w:val="24"/>
          <w:szCs w:val="24"/>
          <w:lang w:eastAsia="zh-CN"/>
        </w:rPr>
        <w:t>实施的地点(范围)</w:t>
      </w:r>
    </w:p>
    <w:p w14:paraId="0C79CBE9">
      <w:pPr>
        <w:spacing w:line="360" w:lineRule="auto"/>
        <w:ind w:firstLine="480" w:firstLineChars="200"/>
        <w:rPr>
          <w:rFonts w:ascii="宋体" w:hAnsi="宋体" w:cs="宋体"/>
          <w:sz w:val="24"/>
        </w:rPr>
      </w:pPr>
      <w:r>
        <w:rPr>
          <w:rFonts w:hint="eastAsia" w:ascii="宋体" w:hAnsi="宋体" w:cs="宋体"/>
          <w:sz w:val="24"/>
        </w:rPr>
        <w:t>北京市民政局、市级政务云机房。</w:t>
      </w:r>
    </w:p>
    <w:p w14:paraId="03178917">
      <w:pPr>
        <w:spacing w:line="360" w:lineRule="auto"/>
        <w:contextualSpacing/>
        <w:rPr>
          <w:sz w:val="24"/>
        </w:rPr>
      </w:pPr>
      <w:r>
        <w:rPr>
          <w:sz w:val="24"/>
        </w:rPr>
        <w:t>2. 付款条件（进度和方式）</w:t>
      </w:r>
    </w:p>
    <w:p w14:paraId="319642AB">
      <w:pPr>
        <w:pStyle w:val="6"/>
        <w:spacing w:line="360" w:lineRule="auto"/>
        <w:ind w:firstLine="480" w:firstLineChars="200"/>
        <w:rPr>
          <w:rFonts w:cs="宋体"/>
          <w:b/>
          <w:bCs/>
          <w:sz w:val="24"/>
          <w:szCs w:val="24"/>
          <w:lang w:eastAsia="zh-CN"/>
        </w:rPr>
      </w:pPr>
      <w:r>
        <w:rPr>
          <w:rFonts w:hint="eastAsia" w:cs="宋体"/>
          <w:b/>
          <w:bCs/>
          <w:sz w:val="24"/>
          <w:szCs w:val="24"/>
          <w:lang w:eastAsia="zh-CN"/>
        </w:rPr>
        <w:t>（1）付款进度</w:t>
      </w:r>
    </w:p>
    <w:p w14:paraId="065B3FE9">
      <w:pPr>
        <w:pStyle w:val="6"/>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合同生效后1</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个工作日内支付合同金额的50%，中标人向采购人按中标金额的5%提供履约保函；该项目通过阶段性验收后1</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个工作日内支付合同金额的20%；该项目包含的所有内容均通过最终验收后1</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个工作日内支付尾款30%。</w:t>
      </w:r>
    </w:p>
    <w:p w14:paraId="7E91CD8D">
      <w:pPr>
        <w:pStyle w:val="6"/>
        <w:spacing w:line="360" w:lineRule="auto"/>
        <w:ind w:firstLine="472" w:firstLineChars="200"/>
        <w:rPr>
          <w:b/>
          <w:bCs/>
          <w:spacing w:val="-2"/>
          <w:sz w:val="24"/>
          <w:szCs w:val="24"/>
          <w:lang w:eastAsia="zh-CN"/>
        </w:rPr>
      </w:pPr>
      <w:r>
        <w:rPr>
          <w:rFonts w:hint="eastAsia"/>
          <w:b/>
          <w:bCs/>
          <w:spacing w:val="-2"/>
          <w:sz w:val="24"/>
          <w:szCs w:val="24"/>
          <w:lang w:eastAsia="zh-CN"/>
        </w:rPr>
        <w:t>（2）</w:t>
      </w:r>
      <w:r>
        <w:rPr>
          <w:b/>
          <w:bCs/>
          <w:spacing w:val="-2"/>
          <w:sz w:val="24"/>
          <w:szCs w:val="24"/>
          <w:lang w:eastAsia="zh-CN"/>
        </w:rPr>
        <w:t>付款方式</w:t>
      </w:r>
    </w:p>
    <w:p w14:paraId="27980FF8">
      <w:pPr>
        <w:pStyle w:val="6"/>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每次付款前，中标人应提供等额、合法发票，否则，采购人有权拒绝付款且无需承担违约责任。采购人付款如遇到国库财政预算支付的限制，可以顺延付款期限，采购人不承担违约责任，但采购人应当将延迟付款理由通知到投标人，且在支付限制解除后立即完成对中标人的付款。中标人不得因此暂停、终止、拒绝、延迟义务的履行。</w:t>
      </w:r>
    </w:p>
    <w:p w14:paraId="6AD71ADB">
      <w:pPr>
        <w:pStyle w:val="4"/>
        <w:numPr>
          <w:ilvl w:val="0"/>
          <w:numId w:val="1"/>
        </w:numPr>
        <w:spacing w:line="360" w:lineRule="auto"/>
        <w:ind w:left="0" w:firstLineChars="0"/>
        <w:contextualSpacing/>
        <w:rPr>
          <w:rFonts w:ascii="Times New Roman" w:hAnsi="Times New Roman"/>
          <w:b/>
          <w:sz w:val="24"/>
          <w:szCs w:val="24"/>
        </w:rPr>
      </w:pPr>
      <w:r>
        <w:rPr>
          <w:rFonts w:ascii="Times New Roman" w:hAnsi="Times New Roman"/>
          <w:b/>
          <w:sz w:val="24"/>
          <w:szCs w:val="24"/>
        </w:rPr>
        <w:t>技术要求</w:t>
      </w:r>
    </w:p>
    <w:p w14:paraId="22FD232F">
      <w:pPr>
        <w:pStyle w:val="5"/>
        <w:spacing w:line="360" w:lineRule="auto"/>
        <w:ind w:firstLine="480" w:firstLineChars="200"/>
        <w:jc w:val="both"/>
        <w:rPr>
          <w:rFonts w:hAnsi="宋体" w:cs="宋体"/>
          <w:color w:val="auto"/>
          <w:kern w:val="2"/>
        </w:rPr>
      </w:pPr>
      <w:r>
        <w:rPr>
          <w:rFonts w:hAnsi="宋体" w:cs="宋体"/>
          <w:color w:val="auto"/>
          <w:kern w:val="2"/>
        </w:rPr>
        <w:t>（一）服务要求</w:t>
      </w:r>
    </w:p>
    <w:p w14:paraId="6BFD09E6">
      <w:pPr>
        <w:pStyle w:val="5"/>
        <w:spacing w:line="360" w:lineRule="auto"/>
        <w:ind w:firstLine="480" w:firstLineChars="200"/>
        <w:jc w:val="both"/>
        <w:rPr>
          <w:rFonts w:ascii="宋体" w:hAnsi="宋体" w:cs="宋体"/>
          <w:color w:val="auto"/>
          <w:kern w:val="2"/>
        </w:rPr>
      </w:pPr>
      <w:r>
        <w:rPr>
          <w:rFonts w:hint="eastAsia" w:hAnsi="宋体" w:cs="宋体"/>
          <w:color w:val="auto"/>
          <w:kern w:val="2"/>
          <w:lang w:val="en-US" w:eastAsia="zh-CN"/>
        </w:rPr>
        <w:t>1</w:t>
      </w:r>
      <w:r>
        <w:rPr>
          <w:rFonts w:hAnsi="宋体" w:cs="宋体"/>
          <w:color w:val="auto"/>
          <w:kern w:val="2"/>
        </w:rPr>
        <w:t>、政务</w:t>
      </w:r>
      <w:r>
        <w:rPr>
          <w:rFonts w:hint="eastAsia" w:ascii="宋体" w:hAnsi="宋体" w:cs="宋体"/>
          <w:color w:val="auto"/>
          <w:kern w:val="2"/>
        </w:rPr>
        <w:t>云基础服务</w:t>
      </w:r>
    </w:p>
    <w:p w14:paraId="0B39AD19">
      <w:pPr>
        <w:pStyle w:val="5"/>
        <w:spacing w:line="360" w:lineRule="auto"/>
        <w:ind w:firstLine="480" w:firstLineChars="200"/>
        <w:jc w:val="both"/>
        <w:rPr>
          <w:rFonts w:ascii="宋体" w:hAnsi="宋体" w:cs="宋体"/>
          <w:color w:val="auto"/>
          <w:kern w:val="2"/>
        </w:rPr>
      </w:pPr>
      <w:r>
        <w:rPr>
          <w:rFonts w:hint="eastAsia" w:ascii="宋体" w:hAnsi="宋体" w:cs="宋体"/>
          <w:color w:val="auto"/>
          <w:kern w:val="2"/>
        </w:rPr>
        <w:t>充分依托云服务商已有的成果和基础，为入云系统提供基础环境支撑。租用x86 平台云主机服务、普通性能存储、高性能存储、本地备份服务、静态存储服务、互联网链路服务、主机负载均衡服务、远程接入服务、VPN服务、WAF防护和云主机深度监控等政务云基础服务。</w:t>
      </w:r>
    </w:p>
    <w:p w14:paraId="3F7A843B">
      <w:pPr>
        <w:pStyle w:val="5"/>
        <w:spacing w:line="360" w:lineRule="auto"/>
        <w:ind w:firstLine="480" w:firstLineChars="200"/>
        <w:jc w:val="both"/>
        <w:rPr>
          <w:rFonts w:ascii="宋体" w:hAnsi="宋体" w:cs="宋体"/>
          <w:color w:val="auto"/>
          <w:kern w:val="2"/>
        </w:rPr>
      </w:pPr>
      <w:r>
        <w:rPr>
          <w:rFonts w:hAnsi="宋体" w:cs="宋体"/>
          <w:color w:val="auto"/>
          <w:kern w:val="2"/>
        </w:rPr>
        <w:t>中标人</w:t>
      </w:r>
      <w:r>
        <w:rPr>
          <w:rFonts w:hint="eastAsia" w:ascii="宋体" w:hAnsi="宋体" w:cs="宋体"/>
          <w:color w:val="auto"/>
          <w:kern w:val="2"/>
        </w:rPr>
        <w:t>需提供对基于云计算架构的硬件基础资源和云平台的监控及维护，并对监控与维护情况及时与采购人和对应系统的应用开发厂商做好协调沟通工作供应商应保证各业务应用系统的支撑环境，包括但不限于服务器、网络、存储以及相关物理环境，能满足安全三级等保要求，并积极配合采购人根据各信息系统具体等保需求，开展相应等保评估、检查、整改等工作。</w:t>
      </w:r>
      <w:r>
        <w:rPr>
          <w:rFonts w:hAnsi="宋体" w:cs="宋体"/>
          <w:color w:val="auto"/>
          <w:kern w:val="2"/>
        </w:rPr>
        <w:t>中标人</w:t>
      </w:r>
      <w:r>
        <w:rPr>
          <w:rFonts w:hint="eastAsia" w:ascii="宋体" w:hAnsi="宋体" w:cs="宋体"/>
          <w:color w:val="auto"/>
          <w:kern w:val="2"/>
        </w:rPr>
        <w:t>管辖范围内的硬件、软件及支撑环境资源，至少达到信息系统的最高安全等级要求。</w:t>
      </w:r>
    </w:p>
    <w:p w14:paraId="6A73A497">
      <w:pPr>
        <w:pStyle w:val="5"/>
        <w:spacing w:line="360" w:lineRule="auto"/>
        <w:ind w:firstLine="480" w:firstLineChars="200"/>
        <w:jc w:val="both"/>
        <w:rPr>
          <w:rFonts w:ascii="宋体" w:hAnsi="宋体" w:cs="宋体"/>
          <w:color w:val="auto"/>
          <w:kern w:val="2"/>
        </w:rPr>
      </w:pPr>
      <w:r>
        <w:rPr>
          <w:rFonts w:hint="eastAsia" w:hAnsi="宋体" w:cs="宋体"/>
          <w:color w:val="auto"/>
          <w:kern w:val="2"/>
          <w:lang w:val="en-US" w:eastAsia="zh-CN"/>
        </w:rPr>
        <w:t>2</w:t>
      </w:r>
      <w:r>
        <w:rPr>
          <w:rFonts w:hAnsi="宋体" w:cs="宋体"/>
          <w:color w:val="auto"/>
          <w:kern w:val="2"/>
        </w:rPr>
        <w:t>、</w:t>
      </w:r>
      <w:r>
        <w:rPr>
          <w:rFonts w:hint="eastAsia" w:ascii="宋体" w:hAnsi="宋体" w:cs="宋体"/>
          <w:color w:val="auto"/>
          <w:kern w:val="2"/>
        </w:rPr>
        <w:t>其他</w:t>
      </w:r>
      <w:r>
        <w:rPr>
          <w:rFonts w:hAnsi="宋体" w:cs="宋体"/>
          <w:color w:val="auto"/>
          <w:kern w:val="2"/>
        </w:rPr>
        <w:t>云上拓展</w:t>
      </w:r>
      <w:r>
        <w:rPr>
          <w:rFonts w:hint="eastAsia" w:ascii="宋体" w:hAnsi="宋体" w:cs="宋体"/>
          <w:color w:val="auto"/>
          <w:kern w:val="2"/>
        </w:rPr>
        <w:t>服务</w:t>
      </w:r>
    </w:p>
    <w:p w14:paraId="7F72673D">
      <w:pPr>
        <w:pStyle w:val="5"/>
        <w:spacing w:line="360" w:lineRule="auto"/>
        <w:ind w:firstLine="480" w:firstLineChars="200"/>
        <w:jc w:val="both"/>
        <w:rPr>
          <w:rFonts w:ascii="宋体" w:hAnsi="宋体" w:cs="宋体"/>
          <w:color w:val="auto"/>
          <w:kern w:val="2"/>
        </w:rPr>
      </w:pPr>
      <w:r>
        <w:rPr>
          <w:rFonts w:hint="eastAsia" w:ascii="宋体" w:hAnsi="宋体" w:cs="宋体"/>
          <w:color w:val="auto"/>
          <w:kern w:val="2"/>
        </w:rPr>
        <w:t>租用政务云服务商提供的流数据节点服务器、元数据节点服务器、计算与存储节点服务器、国产数据库和应用中间件维护服务、数据库一体机服务、SQL Server 数据库、商用操作系统套餐、民政部数据数据专线、</w:t>
      </w:r>
      <w:r>
        <w:rPr>
          <w:rFonts w:hint="eastAsia" w:ascii="宋体" w:hAnsi="宋体" w:cs="宋体"/>
          <w:color w:val="000000"/>
          <w:kern w:val="0"/>
          <w:sz w:val="24"/>
          <w:lang w:val="en-US" w:eastAsia="zh-CN" w:bidi="ar"/>
        </w:rPr>
        <w:t>市金融监管局</w:t>
      </w:r>
      <w:r>
        <w:rPr>
          <w:rFonts w:hint="eastAsia" w:ascii="宋体" w:hAnsi="宋体" w:cs="宋体"/>
          <w:color w:val="000000"/>
          <w:kern w:val="0"/>
          <w:sz w:val="24"/>
          <w:lang w:bidi="ar"/>
        </w:rPr>
        <w:t>专线、</w:t>
      </w:r>
      <w:r>
        <w:rPr>
          <w:rFonts w:hint="eastAsia" w:ascii="宋体" w:hAnsi="宋体" w:cs="宋体"/>
          <w:color w:val="000000"/>
          <w:kern w:val="0"/>
          <w:sz w:val="24"/>
          <w:lang w:val="en-US" w:eastAsia="zh-CN" w:bidi="ar"/>
        </w:rPr>
        <w:t>市政交通一卡通</w:t>
      </w:r>
      <w:r>
        <w:rPr>
          <w:rFonts w:hint="eastAsia" w:ascii="宋体" w:hAnsi="宋体" w:cs="宋体"/>
          <w:color w:val="000000"/>
          <w:kern w:val="0"/>
          <w:sz w:val="24"/>
          <w:lang w:bidi="ar"/>
        </w:rPr>
        <w:t>公司专线</w:t>
      </w:r>
      <w:r>
        <w:rPr>
          <w:rFonts w:hint="eastAsia" w:ascii="宋体" w:hAnsi="宋体" w:cs="宋体"/>
          <w:color w:val="auto"/>
          <w:kern w:val="2"/>
        </w:rPr>
        <w:t>等各类服务，完成信息系统的日常运维和安全运维服务工作（包括但不限于：日常技术支持、系统日常维护、系统状态运行监控、系统事故处理，安全运维服务相关的工作以及其他运维工作），确保入云系统安全、稳定地运行。</w:t>
      </w:r>
    </w:p>
    <w:p w14:paraId="7F493D10">
      <w:pPr>
        <w:pStyle w:val="5"/>
        <w:spacing w:line="360" w:lineRule="auto"/>
        <w:ind w:firstLine="480" w:firstLineChars="200"/>
        <w:jc w:val="both"/>
        <w:rPr>
          <w:rFonts w:ascii="宋体" w:hAnsi="宋体" w:cs="宋体"/>
          <w:color w:val="auto"/>
          <w:kern w:val="2"/>
        </w:rPr>
      </w:pPr>
      <w:r>
        <w:rPr>
          <w:rFonts w:hint="eastAsia" w:hAnsi="宋体" w:cs="宋体"/>
          <w:color w:val="auto"/>
          <w:kern w:val="2"/>
          <w:lang w:val="en-US" w:eastAsia="zh-CN"/>
        </w:rPr>
        <w:t>3</w:t>
      </w:r>
      <w:r>
        <w:rPr>
          <w:rFonts w:hint="eastAsia" w:ascii="宋体" w:hAnsi="宋体" w:cs="宋体"/>
          <w:color w:val="auto"/>
          <w:kern w:val="2"/>
        </w:rPr>
        <w:t>、云上系统安全保障服务</w:t>
      </w:r>
    </w:p>
    <w:p w14:paraId="57C617E8">
      <w:pPr>
        <w:pStyle w:val="4"/>
        <w:spacing w:line="360" w:lineRule="auto"/>
        <w:ind w:firstLine="480"/>
        <w:rPr>
          <w:rFonts w:ascii="宋体" w:hAnsi="宋体" w:cs="宋体"/>
          <w:sz w:val="24"/>
          <w:szCs w:val="24"/>
        </w:rPr>
      </w:pPr>
      <w:r>
        <w:rPr>
          <w:rFonts w:hint="eastAsia" w:ascii="宋体" w:hAnsi="宋体" w:cs="宋体"/>
          <w:sz w:val="24"/>
          <w:szCs w:val="24"/>
        </w:rPr>
        <w:t>提供主机漏洞扫描、网页防篡改服务、主机日志分析、数据库审计服务、主机杀毒服务、WEB应用安全云防护服务、全流量数据分析服务、数据库安全防护服务、数据水印云服务、态势感知、网站安全监测服务、威胁情报服务、蜜罐服务、数据加密应用无感知云服务等云上系统安全保障服务，全方位保障入云信息系统的安全。</w:t>
      </w:r>
    </w:p>
    <w:p w14:paraId="503E8805">
      <w:pPr>
        <w:pStyle w:val="4"/>
        <w:spacing w:line="480" w:lineRule="exact"/>
        <w:ind w:firstLine="480"/>
        <w:rPr>
          <w:rFonts w:ascii="宋体" w:hAnsi="宋体" w:cs="宋体"/>
          <w:sz w:val="24"/>
          <w:szCs w:val="24"/>
        </w:rPr>
      </w:pPr>
      <w:r>
        <w:rPr>
          <w:rFonts w:ascii="宋体" w:hAnsi="宋体" w:cs="宋体"/>
          <w:sz w:val="24"/>
          <w:szCs w:val="24"/>
        </w:rPr>
        <w:t>（1）</w:t>
      </w:r>
      <w:r>
        <w:rPr>
          <w:rFonts w:hint="eastAsia" w:ascii="宋体" w:hAnsi="宋体" w:cs="宋体"/>
          <w:sz w:val="24"/>
          <w:szCs w:val="24"/>
        </w:rPr>
        <w:t>主机漏洞扫描</w:t>
      </w:r>
      <w:r>
        <w:rPr>
          <w:rFonts w:hint="eastAsia" w:ascii="宋体" w:hAnsi="宋体" w:cs="宋体"/>
          <w:sz w:val="24"/>
          <w:szCs w:val="24"/>
        </w:rPr>
        <w:tab/>
      </w:r>
    </w:p>
    <w:p w14:paraId="1F7C2AC3">
      <w:pPr>
        <w:spacing w:line="480" w:lineRule="exact"/>
        <w:ind w:firstLine="480" w:firstLineChars="200"/>
        <w:rPr>
          <w:rFonts w:ascii="宋体" w:hAnsi="宋体" w:cs="宋体"/>
          <w:sz w:val="24"/>
        </w:rPr>
      </w:pPr>
      <w:r>
        <w:rPr>
          <w:rFonts w:hint="eastAsia" w:ascii="宋体" w:hAnsi="宋体" w:cs="宋体"/>
          <w:sz w:val="24"/>
        </w:rPr>
        <w:t>为用户提供针对主机层面的安全扫描服务，并反馈相关结果。</w:t>
      </w:r>
    </w:p>
    <w:p w14:paraId="0B6AC10E">
      <w:pPr>
        <w:pStyle w:val="4"/>
        <w:spacing w:line="480" w:lineRule="exact"/>
        <w:ind w:firstLine="480"/>
        <w:rPr>
          <w:rFonts w:ascii="宋体" w:hAnsi="宋体" w:cs="宋体"/>
          <w:sz w:val="24"/>
          <w:szCs w:val="24"/>
        </w:rPr>
      </w:pPr>
      <w:r>
        <w:rPr>
          <w:rFonts w:ascii="宋体" w:hAnsi="宋体" w:cs="宋体"/>
          <w:sz w:val="24"/>
          <w:szCs w:val="24"/>
        </w:rPr>
        <w:t>（2）</w:t>
      </w:r>
      <w:r>
        <w:rPr>
          <w:rFonts w:hint="eastAsia" w:ascii="宋体" w:hAnsi="宋体" w:cs="宋体"/>
          <w:sz w:val="24"/>
          <w:szCs w:val="24"/>
        </w:rPr>
        <w:t>网页防篡改服务</w:t>
      </w:r>
      <w:r>
        <w:rPr>
          <w:rFonts w:hint="eastAsia" w:ascii="宋体" w:hAnsi="宋体" w:cs="宋体"/>
          <w:sz w:val="24"/>
          <w:szCs w:val="24"/>
        </w:rPr>
        <w:tab/>
      </w:r>
    </w:p>
    <w:p w14:paraId="37AD07AA">
      <w:pPr>
        <w:spacing w:line="480" w:lineRule="exact"/>
        <w:ind w:firstLine="480" w:firstLineChars="200"/>
        <w:rPr>
          <w:rFonts w:ascii="宋体" w:hAnsi="宋体" w:cs="宋体"/>
          <w:sz w:val="24"/>
        </w:rPr>
      </w:pPr>
      <w:r>
        <w:rPr>
          <w:rFonts w:hint="eastAsia" w:ascii="宋体" w:hAnsi="宋体" w:cs="宋体"/>
          <w:sz w:val="24"/>
        </w:rPr>
        <w:t>提供网页防篡改服务。通过防篡改软件对用户页面进行实时防护，减少用户页面被恶意篡改的可能性。</w:t>
      </w:r>
    </w:p>
    <w:p w14:paraId="38912668">
      <w:pPr>
        <w:pStyle w:val="4"/>
        <w:spacing w:line="480" w:lineRule="exact"/>
        <w:ind w:firstLine="480"/>
        <w:rPr>
          <w:rFonts w:ascii="宋体" w:hAnsi="宋体" w:cs="宋体"/>
          <w:sz w:val="24"/>
          <w:szCs w:val="24"/>
        </w:rPr>
      </w:pPr>
      <w:r>
        <w:rPr>
          <w:rFonts w:ascii="宋体" w:hAnsi="宋体" w:cs="宋体"/>
          <w:sz w:val="24"/>
          <w:szCs w:val="24"/>
        </w:rPr>
        <w:t>（3）</w:t>
      </w:r>
      <w:r>
        <w:rPr>
          <w:rFonts w:hint="eastAsia" w:ascii="宋体" w:hAnsi="宋体" w:cs="宋体"/>
          <w:sz w:val="24"/>
          <w:szCs w:val="24"/>
        </w:rPr>
        <w:t>主机日志分析</w:t>
      </w:r>
      <w:r>
        <w:rPr>
          <w:rFonts w:hint="eastAsia" w:ascii="宋体" w:hAnsi="宋体" w:cs="宋体"/>
          <w:sz w:val="24"/>
          <w:szCs w:val="24"/>
        </w:rPr>
        <w:tab/>
      </w:r>
    </w:p>
    <w:p w14:paraId="120DB64C">
      <w:pPr>
        <w:spacing w:line="480" w:lineRule="exact"/>
        <w:ind w:firstLine="480" w:firstLineChars="200"/>
        <w:rPr>
          <w:rFonts w:ascii="宋体" w:hAnsi="宋体" w:cs="宋体"/>
          <w:sz w:val="24"/>
        </w:rPr>
      </w:pPr>
      <w:r>
        <w:rPr>
          <w:rFonts w:hint="eastAsia" w:ascii="宋体" w:hAnsi="宋体" w:cs="宋体"/>
          <w:sz w:val="24"/>
        </w:rPr>
        <w:t>对主机系统日志进行采集分析处理，发现各种安全威胁、异常行为事件。并定期为用户提供分析报告，协助用户进行整改工作。</w:t>
      </w:r>
    </w:p>
    <w:p w14:paraId="234DCA21">
      <w:pPr>
        <w:pStyle w:val="4"/>
        <w:spacing w:line="480" w:lineRule="exact"/>
        <w:ind w:firstLine="480"/>
        <w:rPr>
          <w:rFonts w:ascii="宋体" w:hAnsi="宋体" w:cs="宋体"/>
          <w:sz w:val="24"/>
          <w:szCs w:val="24"/>
        </w:rPr>
      </w:pPr>
      <w:r>
        <w:rPr>
          <w:rFonts w:ascii="宋体" w:hAnsi="宋体" w:cs="宋体"/>
          <w:sz w:val="24"/>
          <w:szCs w:val="24"/>
        </w:rPr>
        <w:t>（4）</w:t>
      </w:r>
      <w:r>
        <w:rPr>
          <w:rFonts w:hint="eastAsia" w:ascii="宋体" w:hAnsi="宋体" w:cs="宋体"/>
          <w:sz w:val="24"/>
          <w:szCs w:val="24"/>
        </w:rPr>
        <w:t>数据库审计服务</w:t>
      </w:r>
      <w:r>
        <w:rPr>
          <w:rFonts w:hint="eastAsia" w:ascii="宋体" w:hAnsi="宋体" w:cs="宋体"/>
          <w:sz w:val="24"/>
          <w:szCs w:val="24"/>
        </w:rPr>
        <w:tab/>
      </w:r>
    </w:p>
    <w:p w14:paraId="4613A5E6">
      <w:pPr>
        <w:spacing w:line="480" w:lineRule="exact"/>
        <w:ind w:firstLine="480" w:firstLineChars="200"/>
        <w:rPr>
          <w:rFonts w:ascii="宋体" w:hAnsi="宋体" w:cs="宋体"/>
          <w:sz w:val="24"/>
        </w:rPr>
      </w:pPr>
      <w:r>
        <w:rPr>
          <w:rFonts w:hint="eastAsia" w:ascii="宋体" w:hAnsi="宋体" w:cs="宋体"/>
          <w:sz w:val="24"/>
        </w:rPr>
        <w:t>支持Oracle、SQL-Server、DB2、MySQL等数据库审计。</w:t>
      </w:r>
    </w:p>
    <w:p w14:paraId="436BC364">
      <w:pPr>
        <w:pStyle w:val="4"/>
        <w:spacing w:line="480" w:lineRule="exact"/>
        <w:ind w:firstLine="480"/>
        <w:rPr>
          <w:rFonts w:ascii="宋体" w:hAnsi="宋体" w:cs="宋体"/>
          <w:sz w:val="24"/>
          <w:szCs w:val="24"/>
        </w:rPr>
      </w:pPr>
      <w:r>
        <w:rPr>
          <w:rFonts w:ascii="宋体" w:hAnsi="宋体" w:cs="宋体"/>
          <w:sz w:val="24"/>
          <w:szCs w:val="24"/>
        </w:rPr>
        <w:t>（5）</w:t>
      </w:r>
      <w:r>
        <w:rPr>
          <w:rFonts w:hint="eastAsia" w:ascii="宋体" w:hAnsi="宋体" w:cs="宋体"/>
          <w:sz w:val="24"/>
          <w:szCs w:val="24"/>
        </w:rPr>
        <w:t>主机杀毒服务</w:t>
      </w:r>
      <w:r>
        <w:rPr>
          <w:rFonts w:hint="eastAsia" w:ascii="宋体" w:hAnsi="宋体" w:cs="宋体"/>
          <w:sz w:val="24"/>
          <w:szCs w:val="24"/>
        </w:rPr>
        <w:tab/>
      </w:r>
    </w:p>
    <w:p w14:paraId="1E4FBF88">
      <w:pPr>
        <w:spacing w:line="480" w:lineRule="exact"/>
        <w:ind w:firstLine="480" w:firstLineChars="200"/>
        <w:rPr>
          <w:rFonts w:ascii="宋体" w:hAnsi="宋体" w:cs="宋体"/>
          <w:sz w:val="24"/>
        </w:rPr>
      </w:pPr>
      <w:r>
        <w:rPr>
          <w:rFonts w:hint="eastAsia" w:ascii="宋体" w:hAnsi="宋体" w:cs="宋体"/>
          <w:sz w:val="24"/>
        </w:rPr>
        <w:t>对云主机进行定期的病毒查杀，杀毒软件集中控制，对网络性能无影响。</w:t>
      </w:r>
    </w:p>
    <w:p w14:paraId="107CE858">
      <w:pPr>
        <w:pStyle w:val="4"/>
        <w:spacing w:line="480" w:lineRule="exact"/>
        <w:ind w:firstLine="480"/>
        <w:rPr>
          <w:rFonts w:ascii="宋体" w:hAnsi="宋体" w:cs="宋体"/>
          <w:sz w:val="24"/>
          <w:szCs w:val="24"/>
        </w:rPr>
      </w:pPr>
      <w:r>
        <w:rPr>
          <w:rFonts w:ascii="宋体" w:hAnsi="宋体" w:cs="宋体"/>
          <w:sz w:val="24"/>
          <w:szCs w:val="24"/>
        </w:rPr>
        <w:t>（6）</w:t>
      </w:r>
      <w:r>
        <w:rPr>
          <w:rFonts w:hint="eastAsia" w:ascii="宋体" w:hAnsi="宋体" w:cs="宋体"/>
          <w:sz w:val="24"/>
          <w:szCs w:val="24"/>
        </w:rPr>
        <w:t>WEB应用安全云防护服务</w:t>
      </w:r>
    </w:p>
    <w:p w14:paraId="13B54B25">
      <w:pPr>
        <w:spacing w:line="480" w:lineRule="exact"/>
        <w:ind w:firstLine="480" w:firstLineChars="200"/>
        <w:rPr>
          <w:rFonts w:ascii="宋体" w:hAnsi="宋体" w:cs="宋体"/>
          <w:sz w:val="24"/>
        </w:rPr>
      </w:pPr>
      <w:r>
        <w:rPr>
          <w:rFonts w:hint="eastAsia" w:ascii="宋体" w:hAnsi="宋体" w:cs="宋体"/>
          <w:sz w:val="24"/>
        </w:rPr>
        <w:t>开展WEB应用安全云防护服务，服务内容包括：1. 智能DNS；2. 防火墙3. 防火墙策略集控制；4.智能攻击防御；5.WebShell防护；6.协同防御；7.精准访问控制；8.站锁与防篡改；9.可视化、数据下载、安全报告；10. 抗DDoS、抗CC攻击。</w:t>
      </w:r>
    </w:p>
    <w:p w14:paraId="1D34F138">
      <w:pPr>
        <w:pStyle w:val="4"/>
        <w:spacing w:line="480" w:lineRule="exact"/>
        <w:ind w:firstLine="480"/>
        <w:rPr>
          <w:rFonts w:ascii="宋体" w:hAnsi="宋体" w:cs="宋体"/>
          <w:sz w:val="24"/>
          <w:szCs w:val="24"/>
        </w:rPr>
      </w:pPr>
      <w:r>
        <w:rPr>
          <w:rFonts w:ascii="宋体" w:hAnsi="宋体" w:cs="宋体"/>
          <w:sz w:val="24"/>
          <w:szCs w:val="24"/>
        </w:rPr>
        <w:t>（7）</w:t>
      </w:r>
      <w:r>
        <w:rPr>
          <w:rFonts w:hint="eastAsia" w:ascii="宋体" w:hAnsi="宋体" w:cs="宋体"/>
          <w:sz w:val="24"/>
          <w:szCs w:val="24"/>
        </w:rPr>
        <w:t>全流量数据分析服务</w:t>
      </w:r>
    </w:p>
    <w:p w14:paraId="27F24EDE">
      <w:pPr>
        <w:spacing w:line="480" w:lineRule="exact"/>
        <w:ind w:firstLine="480" w:firstLineChars="200"/>
        <w:rPr>
          <w:rFonts w:ascii="宋体" w:hAnsi="宋体" w:cs="宋体"/>
          <w:sz w:val="24"/>
        </w:rPr>
      </w:pPr>
      <w:r>
        <w:rPr>
          <w:rFonts w:hint="eastAsia" w:ascii="宋体" w:hAnsi="宋体" w:cs="宋体"/>
          <w:sz w:val="24"/>
        </w:rPr>
        <w:t>开展全流量数据分析服务，对网络进行信息资产调查，对流量数据进行回溯分析、健康分析、安全评估，提供应急响应。</w:t>
      </w:r>
    </w:p>
    <w:p w14:paraId="7811B338">
      <w:pPr>
        <w:pStyle w:val="4"/>
        <w:spacing w:line="480" w:lineRule="exact"/>
        <w:ind w:firstLine="480"/>
        <w:rPr>
          <w:rFonts w:ascii="宋体" w:hAnsi="宋体" w:cs="宋体"/>
          <w:sz w:val="24"/>
          <w:szCs w:val="24"/>
        </w:rPr>
      </w:pPr>
      <w:r>
        <w:rPr>
          <w:rFonts w:ascii="宋体" w:hAnsi="宋体" w:cs="宋体"/>
          <w:sz w:val="24"/>
          <w:szCs w:val="24"/>
        </w:rPr>
        <w:t>（8）</w:t>
      </w:r>
      <w:r>
        <w:rPr>
          <w:rFonts w:hint="eastAsia" w:ascii="宋体" w:hAnsi="宋体" w:cs="宋体"/>
          <w:sz w:val="24"/>
          <w:szCs w:val="24"/>
        </w:rPr>
        <w:t>数据库安全防护服务</w:t>
      </w:r>
    </w:p>
    <w:p w14:paraId="5B4D0804">
      <w:pPr>
        <w:spacing w:line="480" w:lineRule="exact"/>
        <w:ind w:firstLine="480" w:firstLineChars="200"/>
        <w:rPr>
          <w:rFonts w:ascii="宋体" w:hAnsi="宋体" w:cs="宋体"/>
          <w:sz w:val="24"/>
        </w:rPr>
      </w:pPr>
      <w:r>
        <w:rPr>
          <w:rFonts w:hint="eastAsia" w:ascii="宋体" w:hAnsi="宋体" w:cs="宋体"/>
          <w:sz w:val="24"/>
        </w:rPr>
        <w:t>开展数据库安全防护服务，能够对数据库访问的行为进行限制，高危操作进行拦截；虚拟补丁通过协议解析技术，捕捉外部系统利用数据库漏洞进行的网络攻击行为并对其进行管控，从而防止通过已知漏洞对数据库的攻击。1、优化防护业务系统种类及数量；2、优化学习期及行为建模；3、防护安全策略如会话、结果集、长语句的配置及测试策略运行状态；4、数据库补丁填补、防护；5、安全策略细化；6、结果集监控及阻断；7、持续更新安全漏洞。</w:t>
      </w:r>
    </w:p>
    <w:p w14:paraId="3EFEE595">
      <w:pPr>
        <w:pStyle w:val="4"/>
        <w:spacing w:line="480" w:lineRule="exact"/>
        <w:ind w:firstLine="480"/>
        <w:rPr>
          <w:rFonts w:ascii="宋体" w:hAnsi="宋体" w:cs="宋体"/>
          <w:sz w:val="24"/>
          <w:szCs w:val="24"/>
        </w:rPr>
      </w:pPr>
      <w:r>
        <w:rPr>
          <w:rFonts w:ascii="宋体" w:hAnsi="宋体" w:cs="宋体"/>
          <w:sz w:val="24"/>
          <w:szCs w:val="24"/>
        </w:rPr>
        <w:t>（9）</w:t>
      </w:r>
      <w:r>
        <w:rPr>
          <w:rFonts w:hint="eastAsia" w:ascii="宋体" w:hAnsi="宋体" w:cs="宋体"/>
          <w:sz w:val="24"/>
          <w:szCs w:val="24"/>
        </w:rPr>
        <w:t>态势感知</w:t>
      </w:r>
      <w:r>
        <w:rPr>
          <w:rFonts w:hint="eastAsia" w:ascii="宋体" w:hAnsi="宋体" w:cs="宋体"/>
          <w:sz w:val="24"/>
          <w:szCs w:val="24"/>
        </w:rPr>
        <w:tab/>
      </w:r>
    </w:p>
    <w:p w14:paraId="1F32E8C2">
      <w:pPr>
        <w:spacing w:line="480" w:lineRule="exact"/>
        <w:ind w:firstLine="480" w:firstLineChars="200"/>
        <w:rPr>
          <w:rFonts w:ascii="宋体" w:hAnsi="宋体" w:cs="宋体"/>
          <w:sz w:val="24"/>
        </w:rPr>
      </w:pPr>
      <w:r>
        <w:rPr>
          <w:rFonts w:hint="eastAsia" w:ascii="宋体" w:hAnsi="宋体" w:cs="宋体"/>
          <w:sz w:val="24"/>
        </w:rPr>
        <w:t>针对部署在政务云环境的237台云主机、10台物理主机及oracle数据库一体机开展态势感知服务，提供业务可视化、威胁可视化、攻击与可疑流量可视化服务，在系统受到高级威胁入侵之后，损失发生之前及时发现威胁。服务部署在政务云互联网区域及政务外网区域，提供监控演示账号，可以直观看到网络攻击情况，服务按月度产出态势感知报告。</w:t>
      </w:r>
    </w:p>
    <w:p w14:paraId="6AB9151F">
      <w:pPr>
        <w:pStyle w:val="4"/>
        <w:spacing w:line="480" w:lineRule="exact"/>
        <w:ind w:firstLine="480"/>
        <w:rPr>
          <w:rFonts w:ascii="宋体" w:hAnsi="宋体" w:cs="宋体"/>
          <w:sz w:val="24"/>
          <w:szCs w:val="24"/>
        </w:rPr>
      </w:pPr>
      <w:r>
        <w:rPr>
          <w:rFonts w:ascii="宋体" w:hAnsi="宋体" w:cs="宋体"/>
          <w:sz w:val="24"/>
          <w:szCs w:val="24"/>
        </w:rPr>
        <w:t>（10）</w:t>
      </w:r>
      <w:r>
        <w:rPr>
          <w:rFonts w:hint="eastAsia" w:ascii="宋体" w:hAnsi="宋体" w:cs="宋体"/>
          <w:sz w:val="24"/>
          <w:szCs w:val="24"/>
        </w:rPr>
        <w:t>网站安全监测服务</w:t>
      </w:r>
    </w:p>
    <w:p w14:paraId="01892BC8">
      <w:pPr>
        <w:spacing w:line="480" w:lineRule="exact"/>
        <w:ind w:firstLine="480" w:firstLineChars="200"/>
        <w:rPr>
          <w:rFonts w:ascii="宋体" w:hAnsi="宋体" w:cs="宋体"/>
          <w:sz w:val="24"/>
        </w:rPr>
      </w:pPr>
      <w:r>
        <w:rPr>
          <w:rFonts w:hint="eastAsia" w:ascii="宋体" w:hAnsi="宋体" w:cs="宋体"/>
          <w:sz w:val="24"/>
        </w:rPr>
        <w:t>开展网站安全监测服务，包括Web漏洞监测、SSL安全监测、安全事件监测、资产变动监测、内容合规监测、可用性监测、可视化数据报表、安全报告及多种扫描方式等。持续监测网站暗链、坏链、挖矿、挂马、风险外链等安全事件；可持续监测网站web安全漏洞，发现漏洞后可以快速定位漏洞，及时协助快速修补漏洞，防止web攻击事件发生；对网页敏感词进行持续监控涉及暴恐、涉黄、涉政、反动、博彩、民生、政治、其他等8类词库，可以及时掌握网站的内容安全风险；7x24小时不断监测业务系统、服务器的可用性，访问异常时，第一时间告警通知到管理人员，及时解决问题。</w:t>
      </w:r>
    </w:p>
    <w:p w14:paraId="1C0A90CD">
      <w:pPr>
        <w:pStyle w:val="4"/>
        <w:spacing w:line="480" w:lineRule="exact"/>
        <w:ind w:firstLine="480"/>
        <w:rPr>
          <w:rFonts w:ascii="宋体" w:hAnsi="宋体" w:cs="宋体"/>
          <w:sz w:val="24"/>
          <w:szCs w:val="24"/>
        </w:rPr>
      </w:pPr>
      <w:r>
        <w:rPr>
          <w:rFonts w:ascii="宋体" w:hAnsi="宋体" w:cs="宋体"/>
          <w:sz w:val="24"/>
          <w:szCs w:val="24"/>
        </w:rPr>
        <w:t>（11）</w:t>
      </w:r>
      <w:r>
        <w:rPr>
          <w:rFonts w:hint="eastAsia" w:ascii="宋体" w:hAnsi="宋体" w:cs="宋体"/>
          <w:sz w:val="24"/>
          <w:szCs w:val="24"/>
        </w:rPr>
        <w:t>威胁情报服务</w:t>
      </w:r>
    </w:p>
    <w:p w14:paraId="72C90C59">
      <w:pPr>
        <w:spacing w:line="480" w:lineRule="exact"/>
        <w:ind w:firstLine="480" w:firstLineChars="200"/>
        <w:rPr>
          <w:rFonts w:ascii="宋体" w:hAnsi="宋体" w:cs="宋体"/>
          <w:sz w:val="24"/>
        </w:rPr>
      </w:pPr>
      <w:r>
        <w:rPr>
          <w:rFonts w:hint="eastAsia" w:ascii="宋体" w:hAnsi="宋体" w:cs="宋体"/>
          <w:sz w:val="24"/>
        </w:rPr>
        <w:t>提供威胁情报查询，重点时期推送威胁情报信息，供云端账号IP情报查询服务，订阅IP自动推送情报；与黑客IP库联动，针对攻击IP进行扩展性信息查询，可查询攻击IP的其他信息，经纬度、运营商等信息，查看攻击IP过往是否是类似攻击行为，有效识别已知风险和潜在威胁，并提供对应的处理方案。HVV期间可以针对攻击队的IP进行查询。</w:t>
      </w:r>
    </w:p>
    <w:p w14:paraId="6116CBE6">
      <w:pPr>
        <w:pStyle w:val="4"/>
        <w:spacing w:line="480" w:lineRule="exact"/>
        <w:ind w:firstLine="480"/>
        <w:rPr>
          <w:rFonts w:ascii="宋体" w:hAnsi="宋体" w:cs="宋体"/>
          <w:sz w:val="24"/>
          <w:szCs w:val="24"/>
        </w:rPr>
      </w:pPr>
      <w:r>
        <w:rPr>
          <w:rFonts w:ascii="宋体" w:hAnsi="宋体" w:cs="宋体"/>
          <w:sz w:val="24"/>
          <w:szCs w:val="24"/>
        </w:rPr>
        <w:t>（12）</w:t>
      </w:r>
      <w:r>
        <w:rPr>
          <w:rFonts w:hint="eastAsia" w:ascii="宋体" w:hAnsi="宋体" w:cs="宋体"/>
          <w:sz w:val="24"/>
          <w:szCs w:val="24"/>
        </w:rPr>
        <w:t>蜜罐服务</w:t>
      </w:r>
    </w:p>
    <w:p w14:paraId="59D40550">
      <w:pPr>
        <w:spacing w:line="480" w:lineRule="exact"/>
        <w:ind w:firstLine="480" w:firstLineChars="200"/>
        <w:rPr>
          <w:rFonts w:ascii="宋体" w:hAnsi="宋体" w:cs="宋体"/>
          <w:sz w:val="24"/>
        </w:rPr>
      </w:pPr>
      <w:r>
        <w:rPr>
          <w:rFonts w:hint="eastAsia" w:ascii="宋体" w:hAnsi="宋体" w:cs="宋体"/>
          <w:sz w:val="24"/>
        </w:rPr>
        <w:t>部署诱饵和陷阱在关键网络入口，诱导攻击者攻击伪装目标，保护真实资产。包括威胁告警、黑客画像、攻击特征识别、安全报表、威胁态势指挥大屏、协同防御、攻击溯源及预警通知等。SaaS部署的方式，实现云蜜场和业务系统隔离，通过部署诱饵诱导攻击者攻击伪装目标，在通过观察黑客的攻击路径、手段，让黑客帮助提前发现系统漏洞；通过孪生蜜罐作为陷阱，让黑客无法快速辨别真实资产。</w:t>
      </w:r>
    </w:p>
    <w:p w14:paraId="133C423E">
      <w:pPr>
        <w:pStyle w:val="4"/>
        <w:spacing w:line="480" w:lineRule="exact"/>
        <w:ind w:firstLine="480"/>
        <w:rPr>
          <w:rFonts w:ascii="宋体" w:hAnsi="宋体" w:cs="宋体"/>
          <w:sz w:val="24"/>
          <w:szCs w:val="24"/>
        </w:rPr>
      </w:pPr>
      <w:r>
        <w:rPr>
          <w:rFonts w:ascii="宋体" w:hAnsi="宋体" w:cs="宋体"/>
          <w:sz w:val="24"/>
          <w:szCs w:val="24"/>
        </w:rPr>
        <w:t>（13）</w:t>
      </w:r>
      <w:r>
        <w:rPr>
          <w:rFonts w:hint="eastAsia" w:ascii="宋体" w:hAnsi="宋体" w:cs="宋体"/>
          <w:sz w:val="24"/>
          <w:szCs w:val="24"/>
        </w:rPr>
        <w:t>数据水印云服务</w:t>
      </w:r>
    </w:p>
    <w:p w14:paraId="3A31436E">
      <w:pPr>
        <w:spacing w:line="480" w:lineRule="exact"/>
        <w:ind w:firstLine="480" w:firstLineChars="200"/>
        <w:rPr>
          <w:rFonts w:ascii="宋体" w:hAnsi="宋体" w:cs="宋体"/>
          <w:sz w:val="24"/>
        </w:rPr>
      </w:pPr>
      <w:r>
        <w:rPr>
          <w:rFonts w:hint="eastAsia" w:ascii="宋体" w:hAnsi="宋体" w:cs="宋体"/>
          <w:sz w:val="24"/>
        </w:rPr>
        <w:t>数据水印服务是将标记信息嵌入原始实现数据溯源的服务，具有高隐蔽性、高易用性、高管理融合性等特点，通过标记信息追溯该泄露数据流转全流程，并精准定位泄露单位及责任人，实现数据泄露精准追责定责解决数据在分发后的风险追责。</w:t>
      </w:r>
    </w:p>
    <w:p w14:paraId="551A4C96">
      <w:pPr>
        <w:pStyle w:val="4"/>
        <w:spacing w:line="480" w:lineRule="exact"/>
        <w:ind w:firstLine="480"/>
        <w:rPr>
          <w:rFonts w:ascii="宋体" w:hAnsi="宋体" w:cs="宋体"/>
          <w:sz w:val="24"/>
          <w:szCs w:val="24"/>
        </w:rPr>
      </w:pPr>
      <w:r>
        <w:rPr>
          <w:rFonts w:ascii="宋体" w:hAnsi="宋体" w:cs="宋体"/>
          <w:sz w:val="24"/>
          <w:szCs w:val="24"/>
        </w:rPr>
        <w:t>（14）</w:t>
      </w:r>
      <w:r>
        <w:rPr>
          <w:rFonts w:hint="eastAsia" w:ascii="宋体" w:hAnsi="宋体" w:cs="宋体"/>
          <w:sz w:val="24"/>
          <w:szCs w:val="24"/>
        </w:rPr>
        <w:t>数据加密应用无感知云服务</w:t>
      </w:r>
    </w:p>
    <w:p w14:paraId="1F8349F9">
      <w:pPr>
        <w:adjustRightInd w:val="0"/>
        <w:spacing w:line="360" w:lineRule="auto"/>
        <w:ind w:firstLine="240" w:firstLineChars="100"/>
        <w:jc w:val="left"/>
        <w:textAlignment w:val="baseline"/>
        <w:rPr>
          <w:rFonts w:ascii="宋体" w:hAnsi="宋体" w:cs="宋体"/>
          <w:sz w:val="24"/>
        </w:rPr>
      </w:pPr>
      <w:r>
        <w:rPr>
          <w:rFonts w:hint="eastAsia" w:ascii="宋体" w:hAnsi="宋体" w:cs="宋体"/>
          <w:sz w:val="24"/>
        </w:rPr>
        <w:t>透明加密（TDE）是高级安全选件的功能，实现对存储在数据库里的数据、使用数据泵导出的数据以及使用 RMAN 的备份数据进行加密，避免了存储介质被拿走或维修替换，或是 DBA 窥视所导致的数据泄露，保护业务数据的存储安全。透明数据加密对应用透明，不需要修改应用。支持国密算法，与TDE配合完成数据存储加密和数据备份加密，满足等保与密评的合规要求。</w:t>
      </w:r>
    </w:p>
    <w:p w14:paraId="13795D27">
      <w:pPr>
        <w:adjustRightInd w:val="0"/>
        <w:spacing w:line="360" w:lineRule="auto"/>
        <w:ind w:firstLine="240" w:firstLineChars="100"/>
        <w:jc w:val="left"/>
        <w:textAlignment w:val="baseline"/>
        <w:rPr>
          <w:rFonts w:ascii="宋体" w:hAnsi="宋体" w:cs="宋体"/>
          <w:kern w:val="0"/>
          <w:sz w:val="24"/>
        </w:rPr>
      </w:pPr>
      <w:r>
        <w:rPr>
          <w:rFonts w:hint="eastAsia" w:ascii="宋体" w:hAnsi="宋体" w:cs="宋体"/>
          <w:kern w:val="0"/>
          <w:sz w:val="24"/>
        </w:rPr>
        <w:t>（二）实施要求</w:t>
      </w:r>
    </w:p>
    <w:p w14:paraId="0F551D49">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1、总体要求</w:t>
      </w:r>
    </w:p>
    <w:p w14:paraId="239F12C5">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投标人提供的服务在性能、规格、安全等方面须满足北京市民政局云上信息系统正常运行的基本要求，实施过程中应提出规范、完整的项目管理方案，包括但不限于质量管理、进度管理和风险控制措施。</w:t>
      </w:r>
    </w:p>
    <w:p w14:paraId="3ABD666C">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投标人在项目实施中必须做到：</w:t>
      </w:r>
    </w:p>
    <w:p w14:paraId="26E9685A">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（1）实施过程从严要求服务工作的质量。</w:t>
      </w:r>
    </w:p>
    <w:p w14:paraId="71ECB20D">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（2）提供详细、全面的服务过程文档。</w:t>
      </w:r>
    </w:p>
    <w:p w14:paraId="3735878E">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（3）投标人须同意让北京市民政局有关工作人员参与实施工作，接受北京市民政局的监督。</w:t>
      </w:r>
    </w:p>
    <w:p w14:paraId="062CCE16">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2、团队要求</w:t>
      </w:r>
    </w:p>
    <w:p w14:paraId="4AAD478F">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为使项目建设按质、按量、按时及有序实施，投标人应以类似案例成果和相关专业团队为基础，配备完善和稳定的组织机构。</w:t>
      </w:r>
    </w:p>
    <w:p w14:paraId="6CB39729">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投标人应负责提出本项目实施的人员配置方案，主要要求如下：</w:t>
      </w:r>
    </w:p>
    <w:p w14:paraId="36158DE0">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（1）投标人应提供主要项目人员的名单、学历、项目履历、在本项目中的职责分工；提供所有主要项目人员的个人简历、资质证书复印件，以上资料应加盖投标人公章。</w:t>
      </w:r>
    </w:p>
    <w:p w14:paraId="497571F5">
      <w:pPr>
        <w:adjustRightInd w:val="0"/>
        <w:spacing w:line="360" w:lineRule="auto"/>
        <w:ind w:firstLine="420"/>
        <w:jc w:val="left"/>
        <w:textAlignment w:val="baseline"/>
        <w:rPr>
          <w:rFonts w:hint="eastAsia" w:ascii="宋体" w:hAnsi="宋体" w:cs="宋体"/>
          <w:kern w:val="0"/>
          <w:sz w:val="24"/>
        </w:rPr>
      </w:pPr>
      <w:r>
        <w:rPr>
          <w:rFonts w:hint="eastAsia" w:ascii="宋体" w:hAnsi="宋体" w:cs="宋体"/>
          <w:kern w:val="0"/>
          <w:sz w:val="24"/>
        </w:rPr>
        <w:t>（2）项目经理具备本科及以上学历；满足10年（含）以上工作经验；具备信息系统项目管理师（高级）资质证书。</w:t>
      </w:r>
    </w:p>
    <w:p w14:paraId="4A130F95">
      <w:pPr>
        <w:adjustRightInd w:val="0"/>
        <w:spacing w:line="360" w:lineRule="auto"/>
        <w:ind w:firstLine="420"/>
        <w:jc w:val="left"/>
        <w:textAlignment w:val="baseline"/>
        <w:rPr>
          <w:rFonts w:hint="eastAsia" w:ascii="宋体" w:hAnsi="宋体" w:eastAsia="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bCs w:val="0"/>
          <w:kern w:val="0"/>
          <w:sz w:val="24"/>
          <w:szCs w:val="24"/>
        </w:rPr>
        <w:t>技术负责人</w:t>
      </w:r>
      <w:r>
        <w:rPr>
          <w:rFonts w:hint="eastAsia" w:ascii="宋体" w:hAnsi="宋体" w:cs="宋体"/>
          <w:bCs w:val="0"/>
          <w:kern w:val="0"/>
          <w:sz w:val="24"/>
          <w:szCs w:val="24"/>
          <w:lang w:eastAsia="zh-CN"/>
        </w:rPr>
        <w:t>，</w:t>
      </w:r>
      <w:r>
        <w:rPr>
          <w:rFonts w:hint="eastAsia" w:ascii="宋体" w:hAnsi="宋体" w:cs="宋体"/>
          <w:kern w:val="0"/>
          <w:sz w:val="24"/>
        </w:rPr>
        <w:t>具备本科及以上学历；满足</w:t>
      </w:r>
      <w:r>
        <w:rPr>
          <w:rFonts w:hint="eastAsia" w:ascii="宋体" w:hAnsi="宋体" w:cs="宋体"/>
          <w:kern w:val="0"/>
          <w:sz w:val="24"/>
          <w:lang w:val="en-US" w:eastAsia="zh-CN"/>
        </w:rPr>
        <w:t>8</w:t>
      </w:r>
      <w:r>
        <w:rPr>
          <w:rFonts w:hint="eastAsia" w:ascii="宋体" w:hAnsi="宋体" w:cs="宋体"/>
          <w:kern w:val="0"/>
          <w:sz w:val="24"/>
        </w:rPr>
        <w:t>年（含）以上工作经验；</w:t>
      </w:r>
      <w:r>
        <w:rPr>
          <w:rFonts w:hint="eastAsia" w:ascii="宋体" w:hAnsi="宋体" w:cs="宋体"/>
          <w:bCs w:val="0"/>
          <w:kern w:val="0"/>
          <w:sz w:val="24"/>
          <w:szCs w:val="24"/>
        </w:rPr>
        <w:t>具</w:t>
      </w:r>
      <w:r>
        <w:rPr>
          <w:rFonts w:hint="eastAsia" w:ascii="宋体" w:hAnsi="宋体" w:cs="宋体"/>
          <w:bCs w:val="0"/>
          <w:kern w:val="0"/>
          <w:sz w:val="24"/>
          <w:szCs w:val="24"/>
          <w:lang w:val="en-US" w:eastAsia="zh-CN"/>
        </w:rPr>
        <w:t>备</w:t>
      </w:r>
      <w:r>
        <w:rPr>
          <w:rFonts w:hint="eastAsia" w:ascii="宋体" w:hAnsi="宋体" w:cs="宋体"/>
          <w:bCs w:val="0"/>
          <w:kern w:val="0"/>
          <w:sz w:val="24"/>
          <w:szCs w:val="24"/>
        </w:rPr>
        <w:t>有效的注册信息安全专业人员CISP证书</w:t>
      </w:r>
      <w:r>
        <w:rPr>
          <w:rFonts w:hint="eastAsia" w:ascii="宋体" w:hAnsi="宋体" w:cs="宋体"/>
          <w:bCs w:val="0"/>
          <w:kern w:val="0"/>
          <w:sz w:val="24"/>
          <w:szCs w:val="24"/>
          <w:lang w:eastAsia="zh-CN"/>
        </w:rPr>
        <w:t>。</w:t>
      </w:r>
    </w:p>
    <w:p w14:paraId="63410ACA">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）服务团队人员至少8人以上</w:t>
      </w:r>
      <w:r>
        <w:rPr>
          <w:rFonts w:hint="eastAsia" w:ascii="宋体" w:hAnsi="宋体" w:cs="宋体"/>
          <w:kern w:val="0"/>
          <w:sz w:val="24"/>
          <w:lang w:eastAsia="zh-CN"/>
        </w:rPr>
        <w:t>；</w:t>
      </w:r>
      <w:r>
        <w:rPr>
          <w:rFonts w:hint="eastAsia" w:ascii="宋体" w:hAnsi="宋体" w:cs="宋体"/>
          <w:bCs w:val="0"/>
          <w:kern w:val="0"/>
          <w:sz w:val="24"/>
          <w:szCs w:val="24"/>
        </w:rPr>
        <w:t>所有人员拥有本科及以上学历</w:t>
      </w:r>
      <w:r>
        <w:rPr>
          <w:rFonts w:hint="eastAsia" w:ascii="宋体" w:hAnsi="宋体" w:cs="宋体"/>
          <w:bCs w:val="0"/>
          <w:kern w:val="0"/>
          <w:sz w:val="24"/>
          <w:szCs w:val="24"/>
          <w:lang w:val="en-US" w:eastAsia="zh-CN"/>
        </w:rPr>
        <w:t>且</w:t>
      </w:r>
      <w:r>
        <w:rPr>
          <w:rFonts w:hint="eastAsia" w:ascii="宋体" w:hAnsi="宋体" w:cs="宋体"/>
          <w:bCs w:val="0"/>
          <w:kern w:val="0"/>
          <w:sz w:val="24"/>
          <w:szCs w:val="24"/>
        </w:rPr>
        <w:t>具备5年（含）以上的工作经验</w:t>
      </w:r>
      <w:r>
        <w:rPr>
          <w:rFonts w:hint="eastAsia" w:ascii="宋体" w:hAnsi="宋体" w:cs="宋体"/>
          <w:bCs w:val="0"/>
          <w:kern w:val="0"/>
          <w:sz w:val="24"/>
          <w:szCs w:val="24"/>
          <w:lang w:eastAsia="zh-CN"/>
        </w:rPr>
        <w:t>。</w:t>
      </w:r>
    </w:p>
    <w:p w14:paraId="4980AF76">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）投标人应承诺项目经理、技术负责人固定服务本项目，未经采购人同意，不得随意更换。</w:t>
      </w:r>
    </w:p>
    <w:p w14:paraId="69FC9587">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3、部署要求</w:t>
      </w:r>
    </w:p>
    <w:p w14:paraId="79978641">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本项目涉及的所有信息系统目前已在北京市政务云平台平稳运行，此次招标预算包括信息系统的云租用及安全费用，投标人如需要迁移部署，须自行考虑应用系统迁移部署及此项工作产生的相关费用并提供详细、具备可行性的迁移部署方案，投标人应承诺中标后3个工作日内，以最低风险完成所有应用迁移部署工作，无法完成采购人有权解除合同。</w:t>
      </w:r>
    </w:p>
    <w:p w14:paraId="4CB96C9A">
      <w:pPr>
        <w:adjustRightInd w:val="0"/>
        <w:spacing w:line="360" w:lineRule="auto"/>
        <w:ind w:firstLine="420"/>
        <w:jc w:val="left"/>
        <w:textAlignment w:val="baseline"/>
        <w:rPr>
          <w:rFonts w:ascii="宋体" w:hAnsi="宋体"/>
          <w:kern w:val="0"/>
          <w:sz w:val="24"/>
        </w:rPr>
      </w:pPr>
      <w:r>
        <w:rPr>
          <w:rFonts w:hint="eastAsia" w:ascii="宋体" w:hAnsi="宋体" w:cs="宋体"/>
          <w:kern w:val="0"/>
          <w:sz w:val="24"/>
        </w:rPr>
        <w:t>（三）</w:t>
      </w:r>
      <w:r>
        <w:rPr>
          <w:rFonts w:hint="eastAsia" w:ascii="宋体" w:hAnsi="宋体"/>
          <w:kern w:val="0"/>
          <w:sz w:val="24"/>
        </w:rPr>
        <w:t>运维服务要求</w:t>
      </w:r>
    </w:p>
    <w:p w14:paraId="41121855">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1、运维服务</w:t>
      </w:r>
    </w:p>
    <w:p w14:paraId="68200F32">
      <w:pPr>
        <w:adjustRightInd w:val="0"/>
        <w:spacing w:line="360" w:lineRule="auto"/>
        <w:ind w:firstLine="420"/>
        <w:jc w:val="left"/>
        <w:textAlignment w:val="baseline"/>
        <w:rPr>
          <w:rFonts w:ascii="宋体" w:hAnsi="宋体" w:cs="仿宋_GB2312"/>
          <w:kern w:val="0"/>
          <w:sz w:val="24"/>
        </w:rPr>
      </w:pPr>
      <w:r>
        <w:rPr>
          <w:rFonts w:hint="eastAsia" w:ascii="宋体" w:hAnsi="宋体" w:cs="仿宋_GB2312"/>
          <w:kern w:val="0"/>
          <w:sz w:val="24"/>
        </w:rPr>
        <w:t>中标人须利用监控系统或人工对硬件设备及应用系统的运行情况进行7*24小时的不间断巡检监控，及时发现安全隐患，应第一时间向采购人报告，并通知相关人员及时处理，最终成监控报告。</w:t>
      </w:r>
    </w:p>
    <w:p w14:paraId="5977A411">
      <w:pPr>
        <w:adjustRightInd w:val="0"/>
        <w:spacing w:line="360" w:lineRule="auto"/>
        <w:ind w:firstLine="420"/>
        <w:jc w:val="left"/>
        <w:textAlignment w:val="baseline"/>
        <w:rPr>
          <w:rFonts w:ascii="宋体" w:hAnsi="宋体" w:cs="仿宋_GB2312"/>
          <w:kern w:val="0"/>
          <w:sz w:val="24"/>
        </w:rPr>
      </w:pPr>
      <w:r>
        <w:rPr>
          <w:rFonts w:hint="eastAsia" w:ascii="宋体" w:hAnsi="宋体" w:cs="仿宋_GB2312"/>
          <w:kern w:val="0"/>
          <w:sz w:val="24"/>
        </w:rPr>
        <w:t>中标人负责设立技术支持热线，并安排专人值守，提供7*24小时热线支持服务。中标人针对采购人要求的云平台运维服务相关内容，需指定专业技术能力较强的工程师，根据采购人要求配合开展相关维护服务。</w:t>
      </w:r>
    </w:p>
    <w:p w14:paraId="5D13DD95">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2、故障响应服务</w:t>
      </w:r>
    </w:p>
    <w:p w14:paraId="5072C74F">
      <w:pPr>
        <w:adjustRightInd w:val="0"/>
        <w:spacing w:line="360" w:lineRule="auto"/>
        <w:ind w:firstLine="420"/>
        <w:jc w:val="left"/>
        <w:textAlignment w:val="baseline"/>
        <w:rPr>
          <w:rFonts w:ascii="宋体" w:hAnsi="宋体" w:cs="仿宋_GB2312"/>
          <w:kern w:val="0"/>
          <w:sz w:val="24"/>
        </w:rPr>
      </w:pPr>
      <w:r>
        <w:rPr>
          <w:rFonts w:hint="eastAsia" w:ascii="宋体" w:hAnsi="宋体" w:cs="仿宋_GB2312"/>
          <w:kern w:val="0"/>
          <w:sz w:val="24"/>
        </w:rPr>
        <w:t>中标人应当提供高效的系统维护服务，有效防范系统风险，中标人需保持7*24小时电话畅通，能够在系统发生除宕机外的其他故障问题时，能够协调人力资源在2小时内到达运维现场提供服务。系统发生宕机问题时，中标人应在15分钟内响应，故障处理完毕后提供相关系统宕机报告。</w:t>
      </w:r>
    </w:p>
    <w:p w14:paraId="4A8713A8">
      <w:pPr>
        <w:adjustRightInd w:val="0"/>
        <w:spacing w:line="360" w:lineRule="auto"/>
        <w:ind w:firstLine="420"/>
        <w:jc w:val="left"/>
        <w:textAlignment w:val="baseline"/>
        <w:rPr>
          <w:rFonts w:ascii="宋体" w:hAnsi="宋体" w:cs="仿宋_GB2312"/>
          <w:kern w:val="0"/>
          <w:sz w:val="24"/>
        </w:rPr>
      </w:pPr>
      <w:r>
        <w:rPr>
          <w:rFonts w:hint="eastAsia" w:ascii="宋体" w:hAnsi="宋体" w:cs="仿宋_GB2312"/>
          <w:kern w:val="0"/>
          <w:sz w:val="24"/>
        </w:rPr>
        <w:t>中标人须具备故障快速定位和恢复能力，故障定位排除时限不超过30分钟，重要信息系统故障定位排除时限不超过10分钟 。</w:t>
      </w:r>
    </w:p>
    <w:p w14:paraId="5FC6FF3D">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3、重点保障要求</w:t>
      </w:r>
    </w:p>
    <w:p w14:paraId="2B07C43D">
      <w:pPr>
        <w:adjustRightInd w:val="0"/>
        <w:spacing w:line="360" w:lineRule="auto"/>
        <w:ind w:firstLine="420"/>
        <w:jc w:val="left"/>
        <w:textAlignment w:val="baseline"/>
        <w:rPr>
          <w:rFonts w:ascii="宋体" w:hAnsi="宋体" w:cs="仿宋_GB2312"/>
          <w:kern w:val="0"/>
          <w:sz w:val="24"/>
        </w:rPr>
      </w:pPr>
      <w:r>
        <w:rPr>
          <w:rFonts w:hint="eastAsia" w:ascii="宋体" w:hAnsi="宋体" w:cs="仿宋_GB2312"/>
          <w:kern w:val="0"/>
          <w:sz w:val="24"/>
        </w:rPr>
        <w:t>为保障业务高峰期内系统平稳运行，缓解系统高峰期内因业务发生量增大而带来系统压力风险，要求中标人提供运维服务，保证在业务高峰期内系统平稳运行。</w:t>
      </w:r>
    </w:p>
    <w:p w14:paraId="1CF289EC">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4、安全及保密要求</w:t>
      </w:r>
    </w:p>
    <w:p w14:paraId="395EB796">
      <w:pPr>
        <w:adjustRightInd w:val="0"/>
        <w:spacing w:line="360" w:lineRule="auto"/>
        <w:ind w:firstLine="480" w:firstLineChars="200"/>
        <w:jc w:val="left"/>
        <w:textAlignment w:val="baseline"/>
        <w:rPr>
          <w:rFonts w:ascii="宋体" w:hAnsi="宋体" w:cs="仿宋_GB2312"/>
          <w:kern w:val="0"/>
          <w:sz w:val="24"/>
        </w:rPr>
      </w:pPr>
      <w:r>
        <w:rPr>
          <w:rFonts w:hint="eastAsia" w:ascii="宋体" w:hAnsi="宋体" w:cs="宋体"/>
          <w:sz w:val="24"/>
        </w:rPr>
        <w:t>中</w:t>
      </w:r>
      <w:r>
        <w:rPr>
          <w:rFonts w:hint="eastAsia" w:ascii="宋体" w:hAnsi="宋体" w:cs="仿宋_GB2312"/>
          <w:kern w:val="0"/>
          <w:sz w:val="24"/>
        </w:rPr>
        <w:t>标人须严格遵守采购人的相关信息安全规定，本项目涉及人员须与</w:t>
      </w:r>
      <w:r>
        <w:rPr>
          <w:rFonts w:hint="eastAsia" w:ascii="宋体" w:hAnsi="宋体" w:cs="宋体"/>
          <w:sz w:val="24"/>
        </w:rPr>
        <w:t>中</w:t>
      </w:r>
      <w:r>
        <w:rPr>
          <w:rFonts w:hint="eastAsia" w:ascii="宋体" w:hAnsi="宋体" w:cs="仿宋_GB2312"/>
          <w:kern w:val="0"/>
          <w:sz w:val="24"/>
        </w:rPr>
        <w:t>标人签订保密协议，项目中标后本项目服务人员须与我局签订针对本项目的保密协议，</w:t>
      </w:r>
      <w:r>
        <w:rPr>
          <w:rFonts w:hint="eastAsia" w:ascii="宋体" w:hAnsi="宋体" w:cs="宋体"/>
          <w:sz w:val="24"/>
        </w:rPr>
        <w:t>中</w:t>
      </w:r>
      <w:r>
        <w:rPr>
          <w:rFonts w:hint="eastAsia" w:ascii="宋体" w:hAnsi="宋体" w:cs="仿宋_GB2312"/>
          <w:kern w:val="0"/>
          <w:sz w:val="24"/>
        </w:rPr>
        <w:t>标人应选派具有良好职业道德的人员参与和从事本项目工作，不得利用系统维护服务时的便利对采购人数据及其他信息擅自修改或透漏，</w:t>
      </w:r>
      <w:r>
        <w:rPr>
          <w:rFonts w:hint="eastAsia" w:ascii="宋体" w:hAnsi="宋体" w:cs="宋体"/>
          <w:sz w:val="24"/>
        </w:rPr>
        <w:t>中</w:t>
      </w:r>
      <w:r>
        <w:rPr>
          <w:rFonts w:hint="eastAsia" w:ascii="宋体" w:hAnsi="宋体" w:cs="仿宋_GB2312"/>
          <w:kern w:val="0"/>
          <w:sz w:val="24"/>
        </w:rPr>
        <w:t>标人须承担相关保密责任。</w:t>
      </w:r>
    </w:p>
    <w:p w14:paraId="6D8F59E6">
      <w:pPr>
        <w:spacing w:line="360" w:lineRule="auto"/>
        <w:contextualSpacing/>
        <w:rPr>
          <w:i/>
          <w:iCs/>
          <w:sz w:val="24"/>
        </w:rPr>
      </w:pPr>
      <w:r>
        <w:rPr>
          <w:rFonts w:hint="eastAsia"/>
          <w:sz w:val="24"/>
        </w:rPr>
        <w:t>（四）</w:t>
      </w:r>
      <w:r>
        <w:rPr>
          <w:sz w:val="24"/>
        </w:rPr>
        <w:t>验收标准</w:t>
      </w:r>
    </w:p>
    <w:p w14:paraId="6BAD4363">
      <w:pPr>
        <w:spacing w:line="360" w:lineRule="auto"/>
        <w:ind w:firstLine="480" w:firstLineChars="200"/>
        <w:rPr>
          <w:rFonts w:ascii="宋体" w:hAnsi="宋体" w:cs="宋体"/>
          <w:sz w:val="24"/>
        </w:rPr>
      </w:pPr>
      <w:r>
        <w:rPr>
          <w:rFonts w:hint="eastAsia" w:ascii="宋体" w:hAnsi="宋体" w:cs="仿宋_GB2312"/>
          <w:kern w:val="0"/>
          <w:sz w:val="24"/>
        </w:rPr>
        <w:t>中</w:t>
      </w:r>
      <w:r>
        <w:rPr>
          <w:rFonts w:hint="eastAsia" w:ascii="宋体" w:hAnsi="宋体" w:cs="宋体"/>
          <w:sz w:val="24"/>
        </w:rPr>
        <w:t>标人所提供资源应满足招标文件规定的要求。保证合同期内系统安全稳定运行，不因硬件故障导致服务中断12小时。</w:t>
      </w:r>
      <w:r>
        <w:rPr>
          <w:rFonts w:ascii="宋体" w:hAnsi="宋体" w:cs="宋体"/>
          <w:sz w:val="24"/>
        </w:rPr>
        <w:t>在</w:t>
      </w:r>
      <w:r>
        <w:rPr>
          <w:rFonts w:hint="eastAsia" w:ascii="宋体" w:hAnsi="宋体" w:cs="宋体"/>
          <w:sz w:val="24"/>
        </w:rPr>
        <w:t>2025年11月底前对合同项目进行阶段性验收，服务期届满，对合同项目进行最终验收。</w:t>
      </w:r>
      <w:r>
        <w:rPr>
          <w:rFonts w:hint="eastAsia" w:ascii="宋体" w:hAnsi="宋体" w:cs="仿宋_GB2312"/>
          <w:kern w:val="0"/>
          <w:sz w:val="24"/>
        </w:rPr>
        <w:t>中</w:t>
      </w:r>
      <w:r>
        <w:rPr>
          <w:rFonts w:hint="eastAsia" w:ascii="宋体" w:hAnsi="宋体" w:cs="宋体"/>
          <w:sz w:val="24"/>
        </w:rPr>
        <w:t xml:space="preserve">标人应当在采购人指定的验收日前向采购人提交验收报告。验收报告的内容包括但不限于，合同规定的各项服务清单，各系统设备运行情况。   </w:t>
      </w:r>
    </w:p>
    <w:p w14:paraId="57F5D4AC">
      <w:pPr>
        <w:spacing w:line="360" w:lineRule="auto"/>
        <w:ind w:firstLine="480" w:firstLineChars="200"/>
      </w:pPr>
      <w:r>
        <w:rPr>
          <w:rFonts w:hint="eastAsia" w:ascii="宋体" w:hAnsi="宋体" w:cs="宋体"/>
          <w:sz w:val="24"/>
        </w:rPr>
        <w:t>项目完成后，由采购人组织验收，并作为支付尾款的参考。</w:t>
      </w:r>
    </w:p>
    <w:p w14:paraId="2BE74109">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F79DD"/>
    <w:rsid w:val="788F7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 w:type="paragraph" w:customStyle="1" w:styleId="5">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6">
    <w:name w:val="Table Text"/>
    <w:basedOn w:val="1"/>
    <w:semiHidden/>
    <w:qFormat/>
    <w:uiPriority w:val="0"/>
    <w:rPr>
      <w:rFonts w:ascii="微软雅黑" w:hAnsi="微软雅黑" w:eastAsia="微软雅黑" w:cs="微软雅黑"/>
      <w:sz w:val="16"/>
      <w:szCs w:val="16"/>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2025-07-02T06:59:00Z</dcterms:created>
  <dc:creator>卓</dc:creator>
  <cp:lastModifiedBy>卓</cp:lastModifiedBy>
  <dcterms:modified xsi:type="dcterms:W3CDTF">2025-07-02T06:59:43Z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F1B8122283EE45A08D3F9B2ED1D3BE97_11</vt:lpwstr>
  </property>
  <property fmtid="{D5CDD505-2E9C-101B-9397-08002B2CF9AE}" pid="4" name="KSOTemplateDocerSaveRecord">
    <vt:lpwstr>eyJoZGlkIjoiNTQ2YWU4ZmVkMTg2MmRlOGU2ZWVkODQzZWU5OTBiZDAiLCJ1c2VySWQiOiI1NDQ3NjE0MjMifQ==</vt:lpwstr>
  </property>
</Properties>
</file>