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1B154">
      <w:pPr>
        <w:spacing w:line="360" w:lineRule="auto"/>
        <w:jc w:val="center"/>
        <w:outlineLvl w:val="0"/>
        <w:rPr>
          <w:b/>
          <w:sz w:val="36"/>
          <w:szCs w:val="36"/>
        </w:rPr>
      </w:pPr>
      <w:bookmarkStart w:id="0" w:name="_Toc99301424"/>
      <w:r>
        <w:rPr>
          <w:b/>
          <w:sz w:val="36"/>
          <w:szCs w:val="36"/>
        </w:rPr>
        <w:t>第五章   采购需求</w:t>
      </w:r>
      <w:bookmarkEnd w:id="0"/>
    </w:p>
    <w:p w14:paraId="14FD8ED8">
      <w:pPr>
        <w:pStyle w:val="6"/>
        <w:spacing w:line="360" w:lineRule="auto"/>
        <w:ind w:firstLine="0" w:firstLineChars="0"/>
        <w:contextualSpacing/>
        <w:outlineLvl w:val="0"/>
        <w:rPr>
          <w:rFonts w:hint="eastAsia" w:ascii="宋体" w:hAnsi="宋体" w:cs="宋体"/>
          <w:b/>
          <w:sz w:val="24"/>
          <w:szCs w:val="24"/>
        </w:rPr>
      </w:pPr>
      <w:r>
        <w:rPr>
          <w:rFonts w:hint="eastAsia" w:ascii="宋体" w:hAnsi="宋体" w:cs="宋体"/>
          <w:b/>
          <w:sz w:val="24"/>
          <w:szCs w:val="24"/>
        </w:rPr>
        <w:t>一、采购标的</w:t>
      </w:r>
    </w:p>
    <w:p w14:paraId="089E1710">
      <w:pPr>
        <w:spacing w:line="360" w:lineRule="auto"/>
        <w:contextualSpacing/>
        <w:outlineLvl w:val="0"/>
        <w:rPr>
          <w:rFonts w:hint="eastAsia" w:ascii="宋体" w:hAnsi="宋体" w:cs="宋体"/>
          <w:bCs/>
          <w:sz w:val="24"/>
        </w:rPr>
      </w:pPr>
      <w:r>
        <w:rPr>
          <w:rFonts w:hint="eastAsia" w:ascii="宋体" w:hAnsi="宋体" w:cs="宋体"/>
          <w:bCs/>
          <w:sz w:val="24"/>
        </w:rPr>
        <w:t>1. 采购标的</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078"/>
        <w:gridCol w:w="2858"/>
        <w:gridCol w:w="1765"/>
        <w:gridCol w:w="819"/>
        <w:gridCol w:w="577"/>
      </w:tblGrid>
      <w:tr w14:paraId="5642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25" w:type="dxa"/>
            <w:noWrap w:val="0"/>
            <w:vAlign w:val="center"/>
          </w:tcPr>
          <w:p w14:paraId="0E130F69">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序号</w:t>
            </w:r>
          </w:p>
        </w:tc>
        <w:tc>
          <w:tcPr>
            <w:tcW w:w="2078" w:type="dxa"/>
            <w:noWrap w:val="0"/>
            <w:vAlign w:val="center"/>
          </w:tcPr>
          <w:p w14:paraId="4485DB2F">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项目名称</w:t>
            </w:r>
          </w:p>
        </w:tc>
        <w:tc>
          <w:tcPr>
            <w:tcW w:w="2858" w:type="dxa"/>
            <w:noWrap w:val="0"/>
            <w:vAlign w:val="center"/>
          </w:tcPr>
          <w:p w14:paraId="5711197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项目描述</w:t>
            </w:r>
          </w:p>
        </w:tc>
        <w:tc>
          <w:tcPr>
            <w:tcW w:w="1765" w:type="dxa"/>
            <w:noWrap w:val="0"/>
            <w:vAlign w:val="center"/>
          </w:tcPr>
          <w:p w14:paraId="46C6926C">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计量单位</w:t>
            </w:r>
          </w:p>
        </w:tc>
        <w:tc>
          <w:tcPr>
            <w:tcW w:w="819" w:type="dxa"/>
            <w:noWrap w:val="0"/>
            <w:vAlign w:val="center"/>
          </w:tcPr>
          <w:p w14:paraId="316C0F68">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数量</w:t>
            </w:r>
          </w:p>
        </w:tc>
        <w:tc>
          <w:tcPr>
            <w:tcW w:w="577" w:type="dxa"/>
            <w:noWrap w:val="0"/>
            <w:vAlign w:val="center"/>
          </w:tcPr>
          <w:p w14:paraId="370840F3">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租赁期限（</w:t>
            </w:r>
            <w:r>
              <w:rPr>
                <w:rFonts w:hint="eastAsia" w:ascii="宋体" w:hAnsi="宋体" w:cs="宋体"/>
                <w:color w:val="000000"/>
                <w:kern w:val="0"/>
                <w:sz w:val="24"/>
                <w:highlight w:val="none"/>
                <w:lang w:eastAsia="zh-CN" w:bidi="ar"/>
              </w:rPr>
              <w:t>月</w:t>
            </w:r>
            <w:r>
              <w:rPr>
                <w:rFonts w:hint="eastAsia" w:ascii="宋体" w:hAnsi="宋体" w:cs="宋体"/>
                <w:color w:val="000000"/>
                <w:kern w:val="0"/>
                <w:sz w:val="24"/>
                <w:highlight w:val="none"/>
                <w:lang w:bidi="ar"/>
              </w:rPr>
              <w:t>）</w:t>
            </w:r>
          </w:p>
        </w:tc>
      </w:tr>
      <w:tr w14:paraId="07F1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25" w:type="dxa"/>
            <w:noWrap w:val="0"/>
            <w:vAlign w:val="center"/>
          </w:tcPr>
          <w:p w14:paraId="35E2A29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078" w:type="dxa"/>
            <w:vMerge w:val="restart"/>
            <w:noWrap w:val="0"/>
            <w:vAlign w:val="center"/>
          </w:tcPr>
          <w:p w14:paraId="7C1CB13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云主机服务</w:t>
            </w:r>
          </w:p>
        </w:tc>
        <w:tc>
          <w:tcPr>
            <w:tcW w:w="2858" w:type="dxa"/>
            <w:noWrap w:val="0"/>
            <w:vAlign w:val="center"/>
          </w:tcPr>
          <w:p w14:paraId="70E2E7C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vCPU（主频不低于2.4GHz）</w:t>
            </w:r>
          </w:p>
        </w:tc>
        <w:tc>
          <w:tcPr>
            <w:tcW w:w="1765" w:type="dxa"/>
            <w:noWrap w:val="0"/>
            <w:vAlign w:val="center"/>
          </w:tcPr>
          <w:p w14:paraId="461F752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CPU/元/月</w:t>
            </w:r>
          </w:p>
        </w:tc>
        <w:tc>
          <w:tcPr>
            <w:tcW w:w="819" w:type="dxa"/>
            <w:noWrap w:val="0"/>
            <w:vAlign w:val="center"/>
          </w:tcPr>
          <w:p w14:paraId="7499BFF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516</w:t>
            </w:r>
          </w:p>
        </w:tc>
        <w:tc>
          <w:tcPr>
            <w:tcW w:w="577" w:type="dxa"/>
            <w:noWrap w:val="0"/>
            <w:vAlign w:val="center"/>
          </w:tcPr>
          <w:p w14:paraId="03A08C1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4B94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25" w:type="dxa"/>
            <w:noWrap w:val="0"/>
            <w:vAlign w:val="center"/>
          </w:tcPr>
          <w:p w14:paraId="72EEA94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2078" w:type="dxa"/>
            <w:vMerge w:val="continue"/>
            <w:noWrap w:val="0"/>
            <w:vAlign w:val="center"/>
          </w:tcPr>
          <w:p w14:paraId="543CDDE8">
            <w:pPr>
              <w:jc w:val="center"/>
              <w:rPr>
                <w:rFonts w:hint="eastAsia" w:ascii="宋体" w:hAnsi="宋体" w:cs="宋体"/>
                <w:color w:val="000000"/>
                <w:sz w:val="24"/>
              </w:rPr>
            </w:pPr>
          </w:p>
        </w:tc>
        <w:tc>
          <w:tcPr>
            <w:tcW w:w="2858" w:type="dxa"/>
            <w:noWrap w:val="0"/>
            <w:vAlign w:val="center"/>
          </w:tcPr>
          <w:p w14:paraId="106480E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内存</w:t>
            </w:r>
          </w:p>
        </w:tc>
        <w:tc>
          <w:tcPr>
            <w:tcW w:w="1765" w:type="dxa"/>
            <w:noWrap w:val="0"/>
            <w:vAlign w:val="center"/>
          </w:tcPr>
          <w:p w14:paraId="31846DD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GB/元/月</w:t>
            </w:r>
          </w:p>
        </w:tc>
        <w:tc>
          <w:tcPr>
            <w:tcW w:w="819" w:type="dxa"/>
            <w:noWrap w:val="0"/>
            <w:vAlign w:val="center"/>
          </w:tcPr>
          <w:p w14:paraId="623AE12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2056</w:t>
            </w:r>
          </w:p>
        </w:tc>
        <w:tc>
          <w:tcPr>
            <w:tcW w:w="577" w:type="dxa"/>
            <w:noWrap w:val="0"/>
            <w:vAlign w:val="center"/>
          </w:tcPr>
          <w:p w14:paraId="482421E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21A3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5" w:type="dxa"/>
            <w:noWrap w:val="0"/>
            <w:vAlign w:val="center"/>
          </w:tcPr>
          <w:p w14:paraId="66BC394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2078" w:type="dxa"/>
            <w:noWrap w:val="0"/>
            <w:vAlign w:val="center"/>
          </w:tcPr>
          <w:p w14:paraId="1415478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高性能存储</w:t>
            </w:r>
          </w:p>
        </w:tc>
        <w:tc>
          <w:tcPr>
            <w:tcW w:w="2858" w:type="dxa"/>
            <w:noWrap w:val="0"/>
            <w:vAlign w:val="center"/>
          </w:tcPr>
          <w:p w14:paraId="1606C42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SSD高性能存储；高性能存储（单盘技术指标：单盘IOPS 3000-20000 ）</w:t>
            </w:r>
          </w:p>
        </w:tc>
        <w:tc>
          <w:tcPr>
            <w:tcW w:w="1765" w:type="dxa"/>
            <w:noWrap w:val="0"/>
            <w:vAlign w:val="center"/>
          </w:tcPr>
          <w:p w14:paraId="304FB58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GB/元/月</w:t>
            </w:r>
          </w:p>
        </w:tc>
        <w:tc>
          <w:tcPr>
            <w:tcW w:w="819" w:type="dxa"/>
            <w:noWrap w:val="0"/>
            <w:vAlign w:val="center"/>
          </w:tcPr>
          <w:p w14:paraId="0E280FF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12000</w:t>
            </w:r>
          </w:p>
        </w:tc>
        <w:tc>
          <w:tcPr>
            <w:tcW w:w="577" w:type="dxa"/>
            <w:noWrap w:val="0"/>
            <w:vAlign w:val="center"/>
          </w:tcPr>
          <w:p w14:paraId="351A9E0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1ABC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5" w:type="dxa"/>
            <w:noWrap w:val="0"/>
            <w:vAlign w:val="center"/>
          </w:tcPr>
          <w:p w14:paraId="38134D2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2078" w:type="dxa"/>
            <w:noWrap w:val="0"/>
            <w:vAlign w:val="center"/>
          </w:tcPr>
          <w:p w14:paraId="54F5072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普通存储</w:t>
            </w:r>
          </w:p>
        </w:tc>
        <w:tc>
          <w:tcPr>
            <w:tcW w:w="2858" w:type="dxa"/>
            <w:noWrap w:val="0"/>
            <w:vAlign w:val="center"/>
          </w:tcPr>
          <w:p w14:paraId="4A2F701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SATA普通存储；普通存储（单盘技术指标: 单盘IOPS 1000-3000 ）</w:t>
            </w:r>
          </w:p>
        </w:tc>
        <w:tc>
          <w:tcPr>
            <w:tcW w:w="1765" w:type="dxa"/>
            <w:noWrap w:val="0"/>
            <w:vAlign w:val="center"/>
          </w:tcPr>
          <w:p w14:paraId="3F808ED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GB/元/月</w:t>
            </w:r>
          </w:p>
        </w:tc>
        <w:tc>
          <w:tcPr>
            <w:tcW w:w="819" w:type="dxa"/>
            <w:noWrap w:val="0"/>
            <w:vAlign w:val="center"/>
          </w:tcPr>
          <w:p w14:paraId="73997D6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8100</w:t>
            </w:r>
          </w:p>
        </w:tc>
        <w:tc>
          <w:tcPr>
            <w:tcW w:w="577" w:type="dxa"/>
            <w:noWrap w:val="0"/>
            <w:vAlign w:val="center"/>
          </w:tcPr>
          <w:p w14:paraId="7AE3332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5E85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5" w:type="dxa"/>
            <w:noWrap w:val="0"/>
            <w:vAlign w:val="center"/>
          </w:tcPr>
          <w:p w14:paraId="42E7C9A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2078" w:type="dxa"/>
            <w:noWrap w:val="0"/>
            <w:vAlign w:val="center"/>
          </w:tcPr>
          <w:p w14:paraId="28E708C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静态存储</w:t>
            </w:r>
          </w:p>
        </w:tc>
        <w:tc>
          <w:tcPr>
            <w:tcW w:w="2858" w:type="dxa"/>
            <w:noWrap w:val="0"/>
            <w:vAlign w:val="center"/>
          </w:tcPr>
          <w:p w14:paraId="3397F77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备份存储，总容量的60% 保留2副本；普通存储（单盘技术指标: 单盘IOPS 1000-3000 ）</w:t>
            </w:r>
          </w:p>
        </w:tc>
        <w:tc>
          <w:tcPr>
            <w:tcW w:w="1765" w:type="dxa"/>
            <w:noWrap w:val="0"/>
            <w:vAlign w:val="center"/>
          </w:tcPr>
          <w:p w14:paraId="5AB11C5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TB/元/月</w:t>
            </w:r>
          </w:p>
        </w:tc>
        <w:tc>
          <w:tcPr>
            <w:tcW w:w="819" w:type="dxa"/>
            <w:noWrap w:val="0"/>
            <w:vAlign w:val="center"/>
          </w:tcPr>
          <w:p w14:paraId="3C5EDD0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577" w:type="dxa"/>
            <w:noWrap w:val="0"/>
            <w:vAlign w:val="center"/>
          </w:tcPr>
          <w:p w14:paraId="5401E00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10CB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25" w:type="dxa"/>
            <w:noWrap w:val="0"/>
            <w:vAlign w:val="center"/>
          </w:tcPr>
          <w:p w14:paraId="3A5ACC1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2078" w:type="dxa"/>
            <w:noWrap w:val="0"/>
            <w:vAlign w:val="center"/>
          </w:tcPr>
          <w:p w14:paraId="1FC7484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本地备份服务</w:t>
            </w:r>
          </w:p>
        </w:tc>
        <w:tc>
          <w:tcPr>
            <w:tcW w:w="2858" w:type="dxa"/>
            <w:noWrap w:val="0"/>
            <w:vAlign w:val="center"/>
          </w:tcPr>
          <w:p w14:paraId="7DF8170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本地备份服务，与备份存储数量相同；通过备份策略实现文件、操作系统、数据库的本地备份（不包含备份存储空间费用）</w:t>
            </w:r>
          </w:p>
        </w:tc>
        <w:tc>
          <w:tcPr>
            <w:tcW w:w="1765" w:type="dxa"/>
            <w:noWrap w:val="0"/>
            <w:vAlign w:val="center"/>
          </w:tcPr>
          <w:p w14:paraId="3AB3E7F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GB/元/月</w:t>
            </w:r>
          </w:p>
        </w:tc>
        <w:tc>
          <w:tcPr>
            <w:tcW w:w="819" w:type="dxa"/>
            <w:noWrap w:val="0"/>
            <w:vAlign w:val="center"/>
          </w:tcPr>
          <w:p w14:paraId="12AA38E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12000</w:t>
            </w:r>
          </w:p>
        </w:tc>
        <w:tc>
          <w:tcPr>
            <w:tcW w:w="577" w:type="dxa"/>
            <w:noWrap w:val="0"/>
            <w:vAlign w:val="center"/>
          </w:tcPr>
          <w:p w14:paraId="2CECE95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1D70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5" w:type="dxa"/>
            <w:noWrap w:val="0"/>
            <w:vAlign w:val="center"/>
          </w:tcPr>
          <w:p w14:paraId="7083868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2078" w:type="dxa"/>
            <w:vMerge w:val="restart"/>
            <w:noWrap w:val="0"/>
            <w:vAlign w:val="center"/>
          </w:tcPr>
          <w:p w14:paraId="4D5F1D4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互联网链路服务</w:t>
            </w:r>
          </w:p>
        </w:tc>
        <w:tc>
          <w:tcPr>
            <w:tcW w:w="2858" w:type="dxa"/>
            <w:noWrap w:val="0"/>
            <w:vAlign w:val="center"/>
          </w:tcPr>
          <w:p w14:paraId="6E06218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互联网带宽；互联网链路带宽</w:t>
            </w:r>
          </w:p>
        </w:tc>
        <w:tc>
          <w:tcPr>
            <w:tcW w:w="1765" w:type="dxa"/>
            <w:noWrap w:val="0"/>
            <w:vAlign w:val="center"/>
          </w:tcPr>
          <w:p w14:paraId="2C0A915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MB/元/月</w:t>
            </w:r>
          </w:p>
        </w:tc>
        <w:tc>
          <w:tcPr>
            <w:tcW w:w="819" w:type="dxa"/>
            <w:noWrap w:val="0"/>
            <w:vAlign w:val="center"/>
          </w:tcPr>
          <w:p w14:paraId="675D579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c>
          <w:tcPr>
            <w:tcW w:w="577" w:type="dxa"/>
            <w:noWrap w:val="0"/>
            <w:vAlign w:val="center"/>
          </w:tcPr>
          <w:p w14:paraId="3102FB2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3D06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5" w:type="dxa"/>
            <w:noWrap w:val="0"/>
            <w:vAlign w:val="center"/>
          </w:tcPr>
          <w:p w14:paraId="13847CA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2078" w:type="dxa"/>
            <w:vMerge w:val="continue"/>
            <w:noWrap w:val="0"/>
            <w:vAlign w:val="center"/>
          </w:tcPr>
          <w:p w14:paraId="6EE75B24">
            <w:pPr>
              <w:jc w:val="center"/>
              <w:rPr>
                <w:rFonts w:hint="eastAsia" w:ascii="宋体" w:hAnsi="宋体" w:cs="宋体"/>
                <w:color w:val="000000"/>
                <w:sz w:val="24"/>
              </w:rPr>
            </w:pPr>
          </w:p>
        </w:tc>
        <w:tc>
          <w:tcPr>
            <w:tcW w:w="2858" w:type="dxa"/>
            <w:noWrap w:val="0"/>
            <w:vAlign w:val="center"/>
          </w:tcPr>
          <w:p w14:paraId="1B6F76C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IP地址；互联网IP地址租用服务、并提供备案服务</w:t>
            </w:r>
          </w:p>
        </w:tc>
        <w:tc>
          <w:tcPr>
            <w:tcW w:w="1765" w:type="dxa"/>
            <w:noWrap w:val="0"/>
            <w:vAlign w:val="center"/>
          </w:tcPr>
          <w:p w14:paraId="3A42EB1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IP/元/月</w:t>
            </w:r>
          </w:p>
        </w:tc>
        <w:tc>
          <w:tcPr>
            <w:tcW w:w="819" w:type="dxa"/>
            <w:noWrap w:val="0"/>
            <w:vAlign w:val="center"/>
          </w:tcPr>
          <w:p w14:paraId="7888EF1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577" w:type="dxa"/>
            <w:noWrap w:val="0"/>
            <w:vAlign w:val="center"/>
          </w:tcPr>
          <w:p w14:paraId="01AB712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55C6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5" w:type="dxa"/>
            <w:noWrap w:val="0"/>
            <w:vAlign w:val="center"/>
          </w:tcPr>
          <w:p w14:paraId="2462599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2078" w:type="dxa"/>
            <w:noWrap w:val="0"/>
            <w:vAlign w:val="center"/>
          </w:tcPr>
          <w:p w14:paraId="23B4C6B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远程接入服务</w:t>
            </w:r>
          </w:p>
        </w:tc>
        <w:tc>
          <w:tcPr>
            <w:tcW w:w="2858" w:type="dxa"/>
            <w:noWrap w:val="0"/>
            <w:vAlign w:val="center"/>
          </w:tcPr>
          <w:p w14:paraId="6FC3708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每个账号结合身份验证通过VPN远程接入堡垒机维护</w:t>
            </w:r>
          </w:p>
        </w:tc>
        <w:tc>
          <w:tcPr>
            <w:tcW w:w="1765" w:type="dxa"/>
            <w:noWrap w:val="0"/>
            <w:vAlign w:val="center"/>
          </w:tcPr>
          <w:p w14:paraId="0C98A2E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账号/元/月</w:t>
            </w:r>
          </w:p>
        </w:tc>
        <w:tc>
          <w:tcPr>
            <w:tcW w:w="819" w:type="dxa"/>
            <w:noWrap w:val="0"/>
            <w:vAlign w:val="center"/>
          </w:tcPr>
          <w:p w14:paraId="4041C0A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577" w:type="dxa"/>
            <w:noWrap w:val="0"/>
            <w:vAlign w:val="center"/>
          </w:tcPr>
          <w:p w14:paraId="1571B2A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27A1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25" w:type="dxa"/>
            <w:noWrap w:val="0"/>
            <w:vAlign w:val="center"/>
          </w:tcPr>
          <w:p w14:paraId="62EB1AD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2078" w:type="dxa"/>
            <w:noWrap w:val="0"/>
            <w:vAlign w:val="center"/>
          </w:tcPr>
          <w:p w14:paraId="2F2A661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WAF防护</w:t>
            </w:r>
          </w:p>
        </w:tc>
        <w:tc>
          <w:tcPr>
            <w:tcW w:w="2858" w:type="dxa"/>
            <w:noWrap w:val="0"/>
            <w:vAlign w:val="center"/>
          </w:tcPr>
          <w:p w14:paraId="0FF7C6D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满足信息系统安全等级二级中恶意代码防范方面的要求：“应在网络边界处对恶意代码进行检测和清除”。web应用防火墙服务。</w:t>
            </w:r>
          </w:p>
        </w:tc>
        <w:tc>
          <w:tcPr>
            <w:tcW w:w="1765" w:type="dxa"/>
            <w:noWrap w:val="0"/>
            <w:vAlign w:val="center"/>
          </w:tcPr>
          <w:p w14:paraId="2A7575F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IP（互联网）/元/月</w:t>
            </w:r>
          </w:p>
        </w:tc>
        <w:tc>
          <w:tcPr>
            <w:tcW w:w="819" w:type="dxa"/>
            <w:noWrap w:val="0"/>
            <w:vAlign w:val="center"/>
          </w:tcPr>
          <w:p w14:paraId="24AC2FA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577" w:type="dxa"/>
            <w:noWrap w:val="0"/>
            <w:vAlign w:val="center"/>
          </w:tcPr>
          <w:p w14:paraId="0098BCE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5E9F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5" w:type="dxa"/>
            <w:noWrap w:val="0"/>
            <w:vAlign w:val="center"/>
          </w:tcPr>
          <w:p w14:paraId="66F4167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2078" w:type="dxa"/>
            <w:noWrap w:val="0"/>
            <w:vAlign w:val="center"/>
          </w:tcPr>
          <w:p w14:paraId="75CD506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国产操作系统</w:t>
            </w:r>
          </w:p>
        </w:tc>
        <w:tc>
          <w:tcPr>
            <w:tcW w:w="2858" w:type="dxa"/>
            <w:noWrap w:val="0"/>
            <w:vAlign w:val="center"/>
          </w:tcPr>
          <w:p w14:paraId="75B1835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提供国产操作系统授权及相关运维支撑服务</w:t>
            </w:r>
          </w:p>
        </w:tc>
        <w:tc>
          <w:tcPr>
            <w:tcW w:w="1765" w:type="dxa"/>
            <w:noWrap w:val="0"/>
            <w:vAlign w:val="center"/>
          </w:tcPr>
          <w:p w14:paraId="7401EE4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套/元/月</w:t>
            </w:r>
          </w:p>
        </w:tc>
        <w:tc>
          <w:tcPr>
            <w:tcW w:w="819" w:type="dxa"/>
            <w:noWrap w:val="0"/>
            <w:vAlign w:val="center"/>
          </w:tcPr>
          <w:p w14:paraId="5ABACBA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577" w:type="dxa"/>
            <w:noWrap w:val="0"/>
            <w:vAlign w:val="center"/>
          </w:tcPr>
          <w:p w14:paraId="42BB76B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3368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5" w:type="dxa"/>
            <w:noWrap w:val="0"/>
            <w:vAlign w:val="center"/>
          </w:tcPr>
          <w:p w14:paraId="370AB14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2078" w:type="dxa"/>
            <w:noWrap w:val="0"/>
            <w:vAlign w:val="center"/>
          </w:tcPr>
          <w:p w14:paraId="1E84154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7*24小时监控</w:t>
            </w:r>
          </w:p>
        </w:tc>
        <w:tc>
          <w:tcPr>
            <w:tcW w:w="2858" w:type="dxa"/>
            <w:noWrap w:val="0"/>
            <w:vAlign w:val="center"/>
          </w:tcPr>
          <w:p w14:paraId="1D5CFC3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针对所有主机监控；7*24小时监控</w:t>
            </w:r>
          </w:p>
        </w:tc>
        <w:tc>
          <w:tcPr>
            <w:tcW w:w="1765" w:type="dxa"/>
            <w:noWrap w:val="0"/>
            <w:vAlign w:val="center"/>
          </w:tcPr>
          <w:p w14:paraId="402502D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主机/元/月</w:t>
            </w:r>
          </w:p>
        </w:tc>
        <w:tc>
          <w:tcPr>
            <w:tcW w:w="819" w:type="dxa"/>
            <w:noWrap w:val="0"/>
            <w:vAlign w:val="center"/>
          </w:tcPr>
          <w:p w14:paraId="20C81A1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577" w:type="dxa"/>
            <w:noWrap w:val="0"/>
            <w:vAlign w:val="center"/>
          </w:tcPr>
          <w:p w14:paraId="718F938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3413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5" w:type="dxa"/>
            <w:noWrap w:val="0"/>
            <w:vAlign w:val="center"/>
          </w:tcPr>
          <w:p w14:paraId="6C3CDFB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2078" w:type="dxa"/>
            <w:noWrap w:val="0"/>
            <w:vAlign w:val="center"/>
          </w:tcPr>
          <w:p w14:paraId="01039B6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云端APT服务</w:t>
            </w:r>
          </w:p>
        </w:tc>
        <w:tc>
          <w:tcPr>
            <w:tcW w:w="2858" w:type="dxa"/>
            <w:noWrap w:val="0"/>
            <w:vAlign w:val="center"/>
          </w:tcPr>
          <w:p w14:paraId="0D982AB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政务外网和互联网区；对未知攻击威胁进行检测和防护，发现隐蔽威胁、木马后门等异常威胁。</w:t>
            </w:r>
          </w:p>
        </w:tc>
        <w:tc>
          <w:tcPr>
            <w:tcW w:w="1765" w:type="dxa"/>
            <w:noWrap w:val="0"/>
            <w:vAlign w:val="center"/>
          </w:tcPr>
          <w:p w14:paraId="234AF92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套/元/月</w:t>
            </w:r>
          </w:p>
        </w:tc>
        <w:tc>
          <w:tcPr>
            <w:tcW w:w="819" w:type="dxa"/>
            <w:noWrap w:val="0"/>
            <w:vAlign w:val="center"/>
          </w:tcPr>
          <w:p w14:paraId="698F05C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577" w:type="dxa"/>
            <w:noWrap w:val="0"/>
            <w:vAlign w:val="center"/>
          </w:tcPr>
          <w:p w14:paraId="5577570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320C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5" w:type="dxa"/>
            <w:noWrap w:val="0"/>
            <w:vAlign w:val="center"/>
          </w:tcPr>
          <w:p w14:paraId="15B6C20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2078" w:type="dxa"/>
            <w:noWrap w:val="0"/>
            <w:vAlign w:val="center"/>
          </w:tcPr>
          <w:p w14:paraId="0FB32E7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主机杀毒服务</w:t>
            </w:r>
          </w:p>
        </w:tc>
        <w:tc>
          <w:tcPr>
            <w:tcW w:w="2858" w:type="dxa"/>
            <w:noWrap w:val="0"/>
            <w:vAlign w:val="center"/>
          </w:tcPr>
          <w:p w14:paraId="598FC2B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针对所有主机杀毒服务；对云主机进行定期的病毒查杀，杀毒软件集中控制，对网络性能无影响。</w:t>
            </w:r>
          </w:p>
        </w:tc>
        <w:tc>
          <w:tcPr>
            <w:tcW w:w="1765" w:type="dxa"/>
            <w:noWrap w:val="0"/>
            <w:vAlign w:val="center"/>
          </w:tcPr>
          <w:p w14:paraId="11762DA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台/元/月</w:t>
            </w:r>
          </w:p>
        </w:tc>
        <w:tc>
          <w:tcPr>
            <w:tcW w:w="819" w:type="dxa"/>
            <w:noWrap w:val="0"/>
            <w:vAlign w:val="center"/>
          </w:tcPr>
          <w:p w14:paraId="1D12C6A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577" w:type="dxa"/>
            <w:noWrap w:val="0"/>
            <w:vAlign w:val="center"/>
          </w:tcPr>
          <w:p w14:paraId="460ADCD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075E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5" w:type="dxa"/>
            <w:noWrap w:val="0"/>
            <w:vAlign w:val="center"/>
          </w:tcPr>
          <w:p w14:paraId="585DE2F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p>
        </w:tc>
        <w:tc>
          <w:tcPr>
            <w:tcW w:w="2078" w:type="dxa"/>
            <w:noWrap w:val="0"/>
            <w:vAlign w:val="center"/>
          </w:tcPr>
          <w:p w14:paraId="637CDCD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主机防护</w:t>
            </w:r>
          </w:p>
        </w:tc>
        <w:tc>
          <w:tcPr>
            <w:tcW w:w="2858" w:type="dxa"/>
            <w:noWrap w:val="0"/>
            <w:vAlign w:val="center"/>
          </w:tcPr>
          <w:p w14:paraId="6F2CEE8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针对数据库主机进行主机防护；主机防护：提供符合等保三级要求的主机权限管理及安全防护。</w:t>
            </w:r>
          </w:p>
        </w:tc>
        <w:tc>
          <w:tcPr>
            <w:tcW w:w="1765" w:type="dxa"/>
            <w:noWrap w:val="0"/>
            <w:vAlign w:val="center"/>
          </w:tcPr>
          <w:p w14:paraId="5F7DA2D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台/元/月</w:t>
            </w:r>
          </w:p>
        </w:tc>
        <w:tc>
          <w:tcPr>
            <w:tcW w:w="819" w:type="dxa"/>
            <w:noWrap w:val="0"/>
            <w:vAlign w:val="center"/>
          </w:tcPr>
          <w:p w14:paraId="59BD7F9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577" w:type="dxa"/>
            <w:noWrap w:val="0"/>
            <w:vAlign w:val="center"/>
          </w:tcPr>
          <w:p w14:paraId="4694A0A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3CBD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25" w:type="dxa"/>
            <w:noWrap w:val="0"/>
            <w:vAlign w:val="center"/>
          </w:tcPr>
          <w:p w14:paraId="17CA91B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2078" w:type="dxa"/>
            <w:noWrap w:val="0"/>
            <w:vAlign w:val="center"/>
          </w:tcPr>
          <w:p w14:paraId="7B9D22A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主机安全加固</w:t>
            </w:r>
          </w:p>
        </w:tc>
        <w:tc>
          <w:tcPr>
            <w:tcW w:w="2858" w:type="dxa"/>
            <w:noWrap w:val="0"/>
            <w:vAlign w:val="center"/>
          </w:tcPr>
          <w:p w14:paraId="5DCB07B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针对所有主机每年1次；针对漏扫或等级测评结果对操作系统进行安全加固，用以解决等级测评结果中所显示的漏洞。</w:t>
            </w:r>
          </w:p>
        </w:tc>
        <w:tc>
          <w:tcPr>
            <w:tcW w:w="1765" w:type="dxa"/>
            <w:noWrap w:val="0"/>
            <w:vAlign w:val="center"/>
          </w:tcPr>
          <w:p w14:paraId="4476235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台/次/年</w:t>
            </w:r>
          </w:p>
        </w:tc>
        <w:tc>
          <w:tcPr>
            <w:tcW w:w="819" w:type="dxa"/>
            <w:noWrap w:val="0"/>
            <w:vAlign w:val="center"/>
          </w:tcPr>
          <w:p w14:paraId="474A01B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44</w:t>
            </w:r>
          </w:p>
        </w:tc>
        <w:tc>
          <w:tcPr>
            <w:tcW w:w="577" w:type="dxa"/>
            <w:noWrap w:val="0"/>
            <w:vAlign w:val="center"/>
          </w:tcPr>
          <w:p w14:paraId="177C945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1021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5" w:type="dxa"/>
            <w:noWrap w:val="0"/>
            <w:vAlign w:val="center"/>
          </w:tcPr>
          <w:p w14:paraId="0E10378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17</w:t>
            </w:r>
          </w:p>
        </w:tc>
        <w:tc>
          <w:tcPr>
            <w:tcW w:w="2078" w:type="dxa"/>
            <w:noWrap w:val="0"/>
            <w:vAlign w:val="center"/>
          </w:tcPr>
          <w:p w14:paraId="64D8EA5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云端抗DDOS服务</w:t>
            </w:r>
          </w:p>
        </w:tc>
        <w:tc>
          <w:tcPr>
            <w:tcW w:w="2858" w:type="dxa"/>
            <w:noWrap w:val="0"/>
            <w:vAlign w:val="center"/>
          </w:tcPr>
          <w:p w14:paraId="577AA5B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根据流量提供云端抗DDOS服务，避免业务遭受拒绝服务攻击（攻击流量在10G以内）</w:t>
            </w:r>
          </w:p>
        </w:tc>
        <w:tc>
          <w:tcPr>
            <w:tcW w:w="1765" w:type="dxa"/>
            <w:noWrap w:val="0"/>
            <w:vAlign w:val="center"/>
          </w:tcPr>
          <w:p w14:paraId="77BA68C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站点/元/月</w:t>
            </w:r>
          </w:p>
        </w:tc>
        <w:tc>
          <w:tcPr>
            <w:tcW w:w="819" w:type="dxa"/>
            <w:noWrap w:val="0"/>
            <w:vAlign w:val="center"/>
          </w:tcPr>
          <w:p w14:paraId="78AE091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577" w:type="dxa"/>
            <w:noWrap w:val="0"/>
            <w:vAlign w:val="center"/>
          </w:tcPr>
          <w:p w14:paraId="1A99E50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5EAC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5" w:type="dxa"/>
            <w:noWrap w:val="0"/>
            <w:vAlign w:val="center"/>
          </w:tcPr>
          <w:p w14:paraId="1D4FE9A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18</w:t>
            </w:r>
          </w:p>
        </w:tc>
        <w:tc>
          <w:tcPr>
            <w:tcW w:w="2078" w:type="dxa"/>
            <w:noWrap w:val="0"/>
            <w:vAlign w:val="center"/>
          </w:tcPr>
          <w:p w14:paraId="51FDFB3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网页防篡改服务</w:t>
            </w:r>
          </w:p>
        </w:tc>
        <w:tc>
          <w:tcPr>
            <w:tcW w:w="2858" w:type="dxa"/>
            <w:noWrap w:val="0"/>
            <w:vAlign w:val="center"/>
          </w:tcPr>
          <w:p w14:paraId="5F79CFF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网页防篡改服务</w:t>
            </w:r>
          </w:p>
        </w:tc>
        <w:tc>
          <w:tcPr>
            <w:tcW w:w="1765" w:type="dxa"/>
            <w:noWrap w:val="0"/>
            <w:vAlign w:val="center"/>
          </w:tcPr>
          <w:p w14:paraId="4226B1F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控制点/元/月</w:t>
            </w:r>
          </w:p>
        </w:tc>
        <w:tc>
          <w:tcPr>
            <w:tcW w:w="819" w:type="dxa"/>
            <w:noWrap w:val="0"/>
            <w:vAlign w:val="center"/>
          </w:tcPr>
          <w:p w14:paraId="65BE6B2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577" w:type="dxa"/>
            <w:noWrap w:val="0"/>
            <w:vAlign w:val="center"/>
          </w:tcPr>
          <w:p w14:paraId="3DBC544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6A46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25" w:type="dxa"/>
            <w:noWrap w:val="0"/>
            <w:vAlign w:val="center"/>
          </w:tcPr>
          <w:p w14:paraId="0B1ED57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19</w:t>
            </w:r>
          </w:p>
        </w:tc>
        <w:tc>
          <w:tcPr>
            <w:tcW w:w="2078" w:type="dxa"/>
            <w:noWrap w:val="0"/>
            <w:vAlign w:val="center"/>
          </w:tcPr>
          <w:p w14:paraId="12D00BF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主机日志分析</w:t>
            </w:r>
          </w:p>
        </w:tc>
        <w:tc>
          <w:tcPr>
            <w:tcW w:w="2858" w:type="dxa"/>
            <w:noWrap w:val="0"/>
            <w:vAlign w:val="center"/>
          </w:tcPr>
          <w:p w14:paraId="79F1FA23">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针对所有主机每年1次；针对操作系统进行日志收集，并且进行分析，并将结果反馈给用户，用于了解主机安全情况及资源使用情况</w:t>
            </w:r>
          </w:p>
        </w:tc>
        <w:tc>
          <w:tcPr>
            <w:tcW w:w="1765" w:type="dxa"/>
            <w:noWrap w:val="0"/>
            <w:vAlign w:val="center"/>
          </w:tcPr>
          <w:p w14:paraId="32EF325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台/次/年</w:t>
            </w:r>
          </w:p>
        </w:tc>
        <w:tc>
          <w:tcPr>
            <w:tcW w:w="819" w:type="dxa"/>
            <w:noWrap w:val="0"/>
            <w:vAlign w:val="center"/>
          </w:tcPr>
          <w:p w14:paraId="7A47176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577" w:type="dxa"/>
            <w:noWrap w:val="0"/>
            <w:vAlign w:val="center"/>
          </w:tcPr>
          <w:p w14:paraId="2716ED7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4483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25" w:type="dxa"/>
            <w:noWrap w:val="0"/>
            <w:vAlign w:val="center"/>
          </w:tcPr>
          <w:p w14:paraId="1B08441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w:t>
            </w:r>
          </w:p>
        </w:tc>
        <w:tc>
          <w:tcPr>
            <w:tcW w:w="2078" w:type="dxa"/>
            <w:noWrap w:val="0"/>
            <w:vAlign w:val="center"/>
          </w:tcPr>
          <w:p w14:paraId="0AE1D16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数据库审计服务</w:t>
            </w:r>
          </w:p>
        </w:tc>
        <w:tc>
          <w:tcPr>
            <w:tcW w:w="2858" w:type="dxa"/>
            <w:noWrap w:val="0"/>
            <w:vAlign w:val="center"/>
          </w:tcPr>
          <w:p w14:paraId="026E421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针对数据库主机进行审计服务；支持Oracle、SQL-Server、DB2、MySQL、国产数据库等数据库审计。（1套为1个数据库实例）。</w:t>
            </w:r>
          </w:p>
        </w:tc>
        <w:tc>
          <w:tcPr>
            <w:tcW w:w="1765" w:type="dxa"/>
            <w:noWrap w:val="0"/>
            <w:vAlign w:val="center"/>
          </w:tcPr>
          <w:p w14:paraId="186EC7F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套/元/月</w:t>
            </w:r>
          </w:p>
        </w:tc>
        <w:tc>
          <w:tcPr>
            <w:tcW w:w="819" w:type="dxa"/>
            <w:noWrap w:val="0"/>
            <w:vAlign w:val="center"/>
          </w:tcPr>
          <w:p w14:paraId="059C851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577" w:type="dxa"/>
            <w:noWrap w:val="0"/>
            <w:vAlign w:val="center"/>
          </w:tcPr>
          <w:p w14:paraId="20054AC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26F7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5" w:type="dxa"/>
            <w:noWrap w:val="0"/>
            <w:vAlign w:val="center"/>
          </w:tcPr>
          <w:p w14:paraId="4F4118A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w:t>
            </w:r>
          </w:p>
        </w:tc>
        <w:tc>
          <w:tcPr>
            <w:tcW w:w="2078" w:type="dxa"/>
            <w:noWrap w:val="0"/>
            <w:vAlign w:val="center"/>
          </w:tcPr>
          <w:p w14:paraId="53EB459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主机漏洞扫描(次/年)</w:t>
            </w:r>
          </w:p>
        </w:tc>
        <w:tc>
          <w:tcPr>
            <w:tcW w:w="2858" w:type="dxa"/>
            <w:noWrap w:val="0"/>
            <w:vAlign w:val="center"/>
          </w:tcPr>
          <w:p w14:paraId="3A0F3F6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针对所有主机每年2次；为用户提供针对主机层面的安全扫描服务，并反馈相关结果。</w:t>
            </w:r>
          </w:p>
        </w:tc>
        <w:tc>
          <w:tcPr>
            <w:tcW w:w="1765" w:type="dxa"/>
            <w:noWrap w:val="0"/>
            <w:vAlign w:val="center"/>
          </w:tcPr>
          <w:p w14:paraId="3776BA0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台/次/年</w:t>
            </w:r>
          </w:p>
        </w:tc>
        <w:tc>
          <w:tcPr>
            <w:tcW w:w="819" w:type="dxa"/>
            <w:noWrap w:val="0"/>
            <w:vAlign w:val="center"/>
          </w:tcPr>
          <w:p w14:paraId="0FCBE2E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44</w:t>
            </w:r>
          </w:p>
        </w:tc>
        <w:tc>
          <w:tcPr>
            <w:tcW w:w="577" w:type="dxa"/>
            <w:noWrap w:val="0"/>
            <w:vAlign w:val="center"/>
          </w:tcPr>
          <w:p w14:paraId="56E13D8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5661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5" w:type="dxa"/>
            <w:noWrap w:val="0"/>
            <w:vAlign w:val="center"/>
          </w:tcPr>
          <w:p w14:paraId="1ED35C9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22</w:t>
            </w:r>
          </w:p>
        </w:tc>
        <w:tc>
          <w:tcPr>
            <w:tcW w:w="2078" w:type="dxa"/>
            <w:noWrap w:val="0"/>
            <w:vAlign w:val="center"/>
          </w:tcPr>
          <w:p w14:paraId="09516C0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密钥管理服务</w:t>
            </w:r>
          </w:p>
        </w:tc>
        <w:tc>
          <w:tcPr>
            <w:tcW w:w="2858" w:type="dxa"/>
            <w:noWrap w:val="0"/>
            <w:vAlign w:val="center"/>
          </w:tcPr>
          <w:p w14:paraId="17E9AD1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提供密钥生成、密钥更新、密钥备份与恢复、密钥归档、密钥销毁等密钥全生命周期管理</w:t>
            </w:r>
          </w:p>
        </w:tc>
        <w:tc>
          <w:tcPr>
            <w:tcW w:w="1765" w:type="dxa"/>
            <w:noWrap w:val="0"/>
            <w:vAlign w:val="center"/>
          </w:tcPr>
          <w:p w14:paraId="0FA027D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套/元/月</w:t>
            </w:r>
          </w:p>
        </w:tc>
        <w:tc>
          <w:tcPr>
            <w:tcW w:w="819" w:type="dxa"/>
            <w:noWrap w:val="0"/>
            <w:vAlign w:val="center"/>
          </w:tcPr>
          <w:p w14:paraId="00D0B12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577" w:type="dxa"/>
            <w:noWrap w:val="0"/>
            <w:vAlign w:val="center"/>
          </w:tcPr>
          <w:p w14:paraId="0B7FB34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3ED7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425" w:type="dxa"/>
            <w:noWrap w:val="0"/>
            <w:vAlign w:val="center"/>
          </w:tcPr>
          <w:p w14:paraId="12A4882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23</w:t>
            </w:r>
          </w:p>
        </w:tc>
        <w:tc>
          <w:tcPr>
            <w:tcW w:w="2078" w:type="dxa"/>
            <w:noWrap w:val="0"/>
            <w:vAlign w:val="center"/>
          </w:tcPr>
          <w:p w14:paraId="685CD51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数据加密服务</w:t>
            </w:r>
          </w:p>
        </w:tc>
        <w:tc>
          <w:tcPr>
            <w:tcW w:w="2858" w:type="dxa"/>
            <w:noWrap w:val="0"/>
            <w:vAlign w:val="center"/>
          </w:tcPr>
          <w:p w14:paraId="677CE06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数据加解密和完整性保护服务，实现数据库加解密、文件加解密。支持数据库字段级或表级加密与完整性保护，支持“一字段一密钥”；支持文件数据加密与完整性保护，支持“一文件一密钥”细粒度数据加密控制；</w:t>
            </w:r>
          </w:p>
        </w:tc>
        <w:tc>
          <w:tcPr>
            <w:tcW w:w="1765" w:type="dxa"/>
            <w:noWrap w:val="0"/>
            <w:vAlign w:val="center"/>
          </w:tcPr>
          <w:p w14:paraId="48FD68D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套/元/月</w:t>
            </w:r>
          </w:p>
        </w:tc>
        <w:tc>
          <w:tcPr>
            <w:tcW w:w="819" w:type="dxa"/>
            <w:noWrap w:val="0"/>
            <w:vAlign w:val="center"/>
          </w:tcPr>
          <w:p w14:paraId="007A1D0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577" w:type="dxa"/>
            <w:noWrap w:val="0"/>
            <w:vAlign w:val="center"/>
          </w:tcPr>
          <w:p w14:paraId="65C69F7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1D98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25" w:type="dxa"/>
            <w:noWrap w:val="0"/>
            <w:vAlign w:val="center"/>
          </w:tcPr>
          <w:p w14:paraId="0D8FDF7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24</w:t>
            </w:r>
          </w:p>
        </w:tc>
        <w:tc>
          <w:tcPr>
            <w:tcW w:w="2078" w:type="dxa"/>
            <w:noWrap w:val="0"/>
            <w:vAlign w:val="center"/>
          </w:tcPr>
          <w:p w14:paraId="7C37644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签名验签服务</w:t>
            </w:r>
          </w:p>
        </w:tc>
        <w:tc>
          <w:tcPr>
            <w:tcW w:w="2858" w:type="dxa"/>
            <w:noWrap w:val="0"/>
            <w:vAlign w:val="center"/>
          </w:tcPr>
          <w:p w14:paraId="613D102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提供数字签名与签名验证服务功能，用于身份认证时签名数据验证，基于数字签名技术实现数据的完整性保护。</w:t>
            </w:r>
          </w:p>
        </w:tc>
        <w:tc>
          <w:tcPr>
            <w:tcW w:w="1765" w:type="dxa"/>
            <w:noWrap w:val="0"/>
            <w:vAlign w:val="center"/>
          </w:tcPr>
          <w:p w14:paraId="5EC4B5F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套/元/月</w:t>
            </w:r>
          </w:p>
        </w:tc>
        <w:tc>
          <w:tcPr>
            <w:tcW w:w="819" w:type="dxa"/>
            <w:noWrap w:val="0"/>
            <w:vAlign w:val="center"/>
          </w:tcPr>
          <w:p w14:paraId="79021C9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577" w:type="dxa"/>
            <w:noWrap w:val="0"/>
            <w:vAlign w:val="center"/>
          </w:tcPr>
          <w:p w14:paraId="4DF0A64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6D2D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25" w:type="dxa"/>
            <w:noWrap w:val="0"/>
            <w:vAlign w:val="center"/>
          </w:tcPr>
          <w:p w14:paraId="5702410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25</w:t>
            </w:r>
          </w:p>
        </w:tc>
        <w:tc>
          <w:tcPr>
            <w:tcW w:w="2078" w:type="dxa"/>
            <w:noWrap w:val="0"/>
            <w:vAlign w:val="center"/>
          </w:tcPr>
          <w:p w14:paraId="70FCCDA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虚拟密码机（VSM)服务</w:t>
            </w:r>
          </w:p>
        </w:tc>
        <w:tc>
          <w:tcPr>
            <w:tcW w:w="2858" w:type="dxa"/>
            <w:noWrap w:val="0"/>
            <w:vAlign w:val="center"/>
          </w:tcPr>
          <w:p w14:paraId="2317DCF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基于符合国密要求的密码算法和密钥安全管理机制，提供密钥产生、使用以及基础密码运算服务功能。密评必备产品</w:t>
            </w:r>
          </w:p>
        </w:tc>
        <w:tc>
          <w:tcPr>
            <w:tcW w:w="1765" w:type="dxa"/>
            <w:noWrap w:val="0"/>
            <w:vAlign w:val="center"/>
          </w:tcPr>
          <w:p w14:paraId="0AEF248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套/元/月</w:t>
            </w:r>
          </w:p>
        </w:tc>
        <w:tc>
          <w:tcPr>
            <w:tcW w:w="819" w:type="dxa"/>
            <w:noWrap w:val="0"/>
            <w:vAlign w:val="center"/>
          </w:tcPr>
          <w:p w14:paraId="6D077E9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577" w:type="dxa"/>
            <w:noWrap w:val="0"/>
            <w:vAlign w:val="center"/>
          </w:tcPr>
          <w:p w14:paraId="5AE1CB7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268F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425" w:type="dxa"/>
            <w:noWrap w:val="0"/>
            <w:vAlign w:val="center"/>
          </w:tcPr>
          <w:p w14:paraId="24A76F2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26</w:t>
            </w:r>
          </w:p>
        </w:tc>
        <w:tc>
          <w:tcPr>
            <w:tcW w:w="2078" w:type="dxa"/>
            <w:noWrap w:val="0"/>
            <w:vAlign w:val="center"/>
          </w:tcPr>
          <w:p w14:paraId="3F91A79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密码API接口服务</w:t>
            </w:r>
          </w:p>
        </w:tc>
        <w:tc>
          <w:tcPr>
            <w:tcW w:w="2858" w:type="dxa"/>
            <w:noWrap w:val="0"/>
            <w:vAlign w:val="center"/>
          </w:tcPr>
          <w:p w14:paraId="1D50FFD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把密码调用接口进行业务级封装形成统一密码服务API和SDK，提供统一的密码API接口服务。支持业务应用的鉴别和密码服务权限控制；支持密码服务接口调度，匹配到对应的密码服务资源；支持日志采集，记录调用密码服务的详细日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密码平台管理服务：实现对各类密码服务接口、服务订购、应用调用、应用认证、平台运行等的管理。支持租户信息管理及服务订购；支持租户密码资源配置与信息管理；支持系统管理员、安全管理员、安全审计员等的系统管理；支持密码资源状态监控、统计展示和告警管理。</w:t>
            </w:r>
          </w:p>
        </w:tc>
        <w:tc>
          <w:tcPr>
            <w:tcW w:w="1765" w:type="dxa"/>
            <w:noWrap w:val="0"/>
            <w:vAlign w:val="center"/>
          </w:tcPr>
          <w:p w14:paraId="0ABB952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套/元/月</w:t>
            </w:r>
          </w:p>
        </w:tc>
        <w:tc>
          <w:tcPr>
            <w:tcW w:w="819" w:type="dxa"/>
            <w:noWrap w:val="0"/>
            <w:vAlign w:val="center"/>
          </w:tcPr>
          <w:p w14:paraId="3A62794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577" w:type="dxa"/>
            <w:noWrap w:val="0"/>
            <w:vAlign w:val="center"/>
          </w:tcPr>
          <w:p w14:paraId="3F7CD91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6B1F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25" w:type="dxa"/>
            <w:noWrap w:val="0"/>
            <w:vAlign w:val="center"/>
          </w:tcPr>
          <w:p w14:paraId="69DA0C9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27</w:t>
            </w:r>
          </w:p>
        </w:tc>
        <w:tc>
          <w:tcPr>
            <w:tcW w:w="2078" w:type="dxa"/>
            <w:noWrap w:val="0"/>
            <w:vAlign w:val="center"/>
          </w:tcPr>
          <w:p w14:paraId="653789A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数字证书服务（身份鉴别）</w:t>
            </w:r>
          </w:p>
        </w:tc>
        <w:tc>
          <w:tcPr>
            <w:tcW w:w="2858" w:type="dxa"/>
            <w:noWrap w:val="0"/>
            <w:vAlign w:val="center"/>
          </w:tcPr>
          <w:p w14:paraId="2CD2F27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数字证书全生命周期管理服务功能，支持用户信息注册、证书申请、证书更新申请、证书注销申请、证书冻结申请、证书解冻申请等注册审核；支持用户证书签发、证书更新、证书注销、证书冻结、证书解冻等证书管理；支持SM2等密码算法；默认1张证书送1个usbkey</w:t>
            </w:r>
          </w:p>
        </w:tc>
        <w:tc>
          <w:tcPr>
            <w:tcW w:w="1765" w:type="dxa"/>
            <w:noWrap w:val="0"/>
            <w:vAlign w:val="center"/>
          </w:tcPr>
          <w:p w14:paraId="528B511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套/元/月</w:t>
            </w:r>
          </w:p>
        </w:tc>
        <w:tc>
          <w:tcPr>
            <w:tcW w:w="819" w:type="dxa"/>
            <w:noWrap w:val="0"/>
            <w:vAlign w:val="center"/>
          </w:tcPr>
          <w:p w14:paraId="101DA9A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577" w:type="dxa"/>
            <w:noWrap w:val="0"/>
            <w:vAlign w:val="center"/>
          </w:tcPr>
          <w:p w14:paraId="24C32D0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6583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425" w:type="dxa"/>
            <w:noWrap w:val="0"/>
            <w:vAlign w:val="center"/>
          </w:tcPr>
          <w:p w14:paraId="42F2B43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28</w:t>
            </w:r>
          </w:p>
        </w:tc>
        <w:tc>
          <w:tcPr>
            <w:tcW w:w="2078" w:type="dxa"/>
            <w:noWrap w:val="0"/>
            <w:vAlign w:val="center"/>
          </w:tcPr>
          <w:p w14:paraId="6979D56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基于国密算法的远程安全接入</w:t>
            </w:r>
          </w:p>
        </w:tc>
        <w:tc>
          <w:tcPr>
            <w:tcW w:w="2858" w:type="dxa"/>
            <w:noWrap w:val="0"/>
            <w:vAlign w:val="center"/>
          </w:tcPr>
          <w:p w14:paraId="5068308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支持在终端与平台之间建立SSL VPN安全通道，支持对接入网络的终端设备进行安全认证，支持客户端与服务端之间数据加密传输，支持对终端设备的权限控制；支持与安全浏览器建立合规的HTTPS安全通道。</w:t>
            </w:r>
          </w:p>
        </w:tc>
        <w:tc>
          <w:tcPr>
            <w:tcW w:w="1765" w:type="dxa"/>
            <w:noWrap w:val="0"/>
            <w:vAlign w:val="center"/>
          </w:tcPr>
          <w:p w14:paraId="50B8926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套/元/月</w:t>
            </w:r>
          </w:p>
        </w:tc>
        <w:tc>
          <w:tcPr>
            <w:tcW w:w="819" w:type="dxa"/>
            <w:noWrap w:val="0"/>
            <w:vAlign w:val="center"/>
          </w:tcPr>
          <w:p w14:paraId="0520AAE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577" w:type="dxa"/>
            <w:noWrap w:val="0"/>
            <w:vAlign w:val="center"/>
          </w:tcPr>
          <w:p w14:paraId="404314A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6351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5" w:type="dxa"/>
            <w:noWrap w:val="0"/>
            <w:vAlign w:val="center"/>
          </w:tcPr>
          <w:p w14:paraId="6D27DE6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29</w:t>
            </w:r>
          </w:p>
        </w:tc>
        <w:tc>
          <w:tcPr>
            <w:tcW w:w="2078" w:type="dxa"/>
            <w:noWrap w:val="0"/>
            <w:vAlign w:val="center"/>
          </w:tcPr>
          <w:p w14:paraId="24386D8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智能密码钥匙（身份鉴别）</w:t>
            </w:r>
          </w:p>
        </w:tc>
        <w:tc>
          <w:tcPr>
            <w:tcW w:w="2858" w:type="dxa"/>
            <w:noWrap w:val="0"/>
            <w:vAlign w:val="center"/>
          </w:tcPr>
          <w:p w14:paraId="1D70275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PC终端密码支撑服务，PC端用户身份认证。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业务系统每个用户配发一个。不含证书。</w:t>
            </w:r>
          </w:p>
        </w:tc>
        <w:tc>
          <w:tcPr>
            <w:tcW w:w="1765" w:type="dxa"/>
            <w:noWrap w:val="0"/>
            <w:vAlign w:val="center"/>
          </w:tcPr>
          <w:p w14:paraId="41847CF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套/元/月</w:t>
            </w:r>
          </w:p>
        </w:tc>
        <w:tc>
          <w:tcPr>
            <w:tcW w:w="819" w:type="dxa"/>
            <w:noWrap w:val="0"/>
            <w:vAlign w:val="center"/>
          </w:tcPr>
          <w:p w14:paraId="1D63BE2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577" w:type="dxa"/>
            <w:noWrap w:val="0"/>
            <w:vAlign w:val="center"/>
          </w:tcPr>
          <w:p w14:paraId="25F2710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2F5F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5" w:type="dxa"/>
            <w:noWrap w:val="0"/>
            <w:vAlign w:val="center"/>
          </w:tcPr>
          <w:p w14:paraId="01510BA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30</w:t>
            </w:r>
          </w:p>
        </w:tc>
        <w:tc>
          <w:tcPr>
            <w:tcW w:w="2078" w:type="dxa"/>
            <w:noWrap w:val="0"/>
            <w:vAlign w:val="center"/>
          </w:tcPr>
          <w:p w14:paraId="2B6E6DF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SSL证书服务（应用层HTTPS）</w:t>
            </w:r>
          </w:p>
        </w:tc>
        <w:tc>
          <w:tcPr>
            <w:tcW w:w="2858" w:type="dxa"/>
            <w:noWrap w:val="0"/>
            <w:vAlign w:val="center"/>
          </w:tcPr>
          <w:p w14:paraId="1AAE015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提供基于通配符的应用层SSL证书</w:t>
            </w:r>
          </w:p>
        </w:tc>
        <w:tc>
          <w:tcPr>
            <w:tcW w:w="1765" w:type="dxa"/>
            <w:noWrap w:val="0"/>
            <w:vAlign w:val="center"/>
          </w:tcPr>
          <w:p w14:paraId="3C4AEC2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套/元/月</w:t>
            </w:r>
          </w:p>
        </w:tc>
        <w:tc>
          <w:tcPr>
            <w:tcW w:w="819" w:type="dxa"/>
            <w:noWrap w:val="0"/>
            <w:vAlign w:val="center"/>
          </w:tcPr>
          <w:p w14:paraId="7BF906D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577" w:type="dxa"/>
            <w:noWrap w:val="0"/>
            <w:vAlign w:val="center"/>
          </w:tcPr>
          <w:p w14:paraId="2C96E84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686C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5" w:type="dxa"/>
            <w:noWrap w:val="0"/>
            <w:vAlign w:val="center"/>
          </w:tcPr>
          <w:p w14:paraId="1E374AA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31</w:t>
            </w:r>
          </w:p>
        </w:tc>
        <w:tc>
          <w:tcPr>
            <w:tcW w:w="2078" w:type="dxa"/>
            <w:noWrap w:val="0"/>
            <w:vAlign w:val="center"/>
          </w:tcPr>
          <w:p w14:paraId="38A7C5D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应急演练服务</w:t>
            </w:r>
          </w:p>
        </w:tc>
        <w:tc>
          <w:tcPr>
            <w:tcW w:w="2858" w:type="dxa"/>
            <w:noWrap w:val="0"/>
            <w:vAlign w:val="center"/>
          </w:tcPr>
          <w:p w14:paraId="745E89B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含应急预案、应急演练、应急响应、服务总结</w:t>
            </w:r>
          </w:p>
        </w:tc>
        <w:tc>
          <w:tcPr>
            <w:tcW w:w="1765" w:type="dxa"/>
            <w:noWrap w:val="0"/>
            <w:vAlign w:val="center"/>
          </w:tcPr>
          <w:p w14:paraId="0C9D845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项/次/年</w:t>
            </w:r>
          </w:p>
        </w:tc>
        <w:tc>
          <w:tcPr>
            <w:tcW w:w="819" w:type="dxa"/>
            <w:noWrap w:val="0"/>
            <w:vAlign w:val="center"/>
          </w:tcPr>
          <w:p w14:paraId="1947074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577" w:type="dxa"/>
            <w:noWrap w:val="0"/>
            <w:vAlign w:val="center"/>
          </w:tcPr>
          <w:p w14:paraId="2C15C84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599C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25" w:type="dxa"/>
            <w:noWrap w:val="0"/>
            <w:vAlign w:val="center"/>
          </w:tcPr>
          <w:p w14:paraId="6F33DC4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32</w:t>
            </w:r>
          </w:p>
        </w:tc>
        <w:tc>
          <w:tcPr>
            <w:tcW w:w="2078" w:type="dxa"/>
            <w:noWrap w:val="0"/>
            <w:vAlign w:val="center"/>
          </w:tcPr>
          <w:p w14:paraId="2BD78C0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特殊时期安全专家分析</w:t>
            </w:r>
          </w:p>
        </w:tc>
        <w:tc>
          <w:tcPr>
            <w:tcW w:w="2858" w:type="dxa"/>
            <w:noWrap w:val="0"/>
            <w:vAlign w:val="center"/>
          </w:tcPr>
          <w:p w14:paraId="7D5CFAF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主要提供与安全相关的人工服务，安全隐患分析、安全培训、应急处置服务、木马病毒分析、日志隐患分析等服务。分析报告、人工协助解决隐患、解决方案等</w:t>
            </w:r>
          </w:p>
        </w:tc>
        <w:tc>
          <w:tcPr>
            <w:tcW w:w="1765" w:type="dxa"/>
            <w:noWrap w:val="0"/>
            <w:vAlign w:val="center"/>
          </w:tcPr>
          <w:p w14:paraId="0238189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项/次/年</w:t>
            </w:r>
          </w:p>
        </w:tc>
        <w:tc>
          <w:tcPr>
            <w:tcW w:w="819" w:type="dxa"/>
            <w:noWrap w:val="0"/>
            <w:vAlign w:val="center"/>
          </w:tcPr>
          <w:p w14:paraId="0207DD1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577" w:type="dxa"/>
            <w:noWrap w:val="0"/>
            <w:vAlign w:val="center"/>
          </w:tcPr>
          <w:p w14:paraId="40CCED6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7009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5" w:type="dxa"/>
            <w:noWrap w:val="0"/>
            <w:vAlign w:val="center"/>
          </w:tcPr>
          <w:p w14:paraId="4E29989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33</w:t>
            </w:r>
          </w:p>
        </w:tc>
        <w:tc>
          <w:tcPr>
            <w:tcW w:w="2078" w:type="dxa"/>
            <w:noWrap w:val="0"/>
            <w:vAlign w:val="center"/>
          </w:tcPr>
          <w:p w14:paraId="554DA104">
            <w:pPr>
              <w:widowControl/>
              <w:jc w:val="center"/>
              <w:textAlignment w:val="center"/>
              <w:rPr>
                <w:rFonts w:hint="eastAsia" w:ascii="宋体" w:hAnsi="宋体" w:cs="宋体"/>
                <w:color w:val="000000"/>
                <w:sz w:val="24"/>
              </w:rPr>
            </w:pPr>
            <w:r>
              <w:rPr>
                <w:rFonts w:hint="eastAsia" w:ascii="宋体" w:hAnsi="宋体" w:cs="宋体"/>
                <w:color w:val="000000"/>
                <w:kern w:val="0"/>
                <w:sz w:val="24"/>
                <w:lang w:eastAsia="zh-CN" w:bidi="ar"/>
              </w:rPr>
              <w:t>国产</w:t>
            </w:r>
            <w:r>
              <w:rPr>
                <w:rFonts w:hint="eastAsia" w:ascii="宋体" w:hAnsi="宋体" w:cs="宋体"/>
                <w:color w:val="000000"/>
                <w:kern w:val="0"/>
                <w:sz w:val="24"/>
                <w:lang w:bidi="ar"/>
              </w:rPr>
              <w:t>数据库</w:t>
            </w:r>
          </w:p>
        </w:tc>
        <w:tc>
          <w:tcPr>
            <w:tcW w:w="2858" w:type="dxa"/>
            <w:noWrap w:val="0"/>
            <w:vAlign w:val="center"/>
          </w:tcPr>
          <w:p w14:paraId="428489F0">
            <w:pPr>
              <w:widowControl/>
              <w:jc w:val="left"/>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国产</w:t>
            </w:r>
            <w:r>
              <w:rPr>
                <w:rFonts w:hint="eastAsia" w:ascii="宋体" w:hAnsi="宋体" w:cs="宋体"/>
                <w:color w:val="000000"/>
                <w:kern w:val="0"/>
                <w:sz w:val="24"/>
                <w:lang w:bidi="ar"/>
              </w:rPr>
              <w:t>数据库管理系统</w:t>
            </w:r>
          </w:p>
        </w:tc>
        <w:tc>
          <w:tcPr>
            <w:tcW w:w="1765" w:type="dxa"/>
            <w:noWrap w:val="0"/>
            <w:vAlign w:val="center"/>
          </w:tcPr>
          <w:p w14:paraId="5ED3F0F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套/元/月</w:t>
            </w:r>
          </w:p>
        </w:tc>
        <w:tc>
          <w:tcPr>
            <w:tcW w:w="819" w:type="dxa"/>
            <w:noWrap w:val="0"/>
            <w:vAlign w:val="center"/>
          </w:tcPr>
          <w:p w14:paraId="04D2AF6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577" w:type="dxa"/>
            <w:noWrap w:val="0"/>
            <w:vAlign w:val="center"/>
          </w:tcPr>
          <w:p w14:paraId="4CF4629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584C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5" w:type="dxa"/>
            <w:noWrap w:val="0"/>
            <w:vAlign w:val="center"/>
          </w:tcPr>
          <w:p w14:paraId="6ACBC56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34</w:t>
            </w:r>
          </w:p>
        </w:tc>
        <w:tc>
          <w:tcPr>
            <w:tcW w:w="2078" w:type="dxa"/>
            <w:noWrap w:val="0"/>
            <w:vAlign w:val="center"/>
          </w:tcPr>
          <w:p w14:paraId="47BD7EFD">
            <w:pPr>
              <w:widowControl/>
              <w:jc w:val="center"/>
              <w:textAlignment w:val="center"/>
              <w:rPr>
                <w:rFonts w:hint="eastAsia" w:ascii="宋体" w:hAnsi="宋体" w:cs="宋体"/>
                <w:color w:val="000000"/>
                <w:sz w:val="24"/>
              </w:rPr>
            </w:pPr>
            <w:r>
              <w:rPr>
                <w:rFonts w:hint="eastAsia" w:ascii="宋体" w:hAnsi="宋体" w:cs="宋体"/>
                <w:color w:val="000000"/>
                <w:kern w:val="0"/>
                <w:sz w:val="24"/>
                <w:lang w:eastAsia="zh-CN" w:bidi="ar"/>
              </w:rPr>
              <w:t>国产</w:t>
            </w:r>
            <w:r>
              <w:rPr>
                <w:rFonts w:hint="eastAsia" w:ascii="宋体" w:hAnsi="宋体" w:cs="宋体"/>
                <w:color w:val="000000"/>
                <w:kern w:val="0"/>
                <w:sz w:val="24"/>
                <w:lang w:bidi="ar"/>
              </w:rPr>
              <w:t>数据库</w:t>
            </w:r>
          </w:p>
        </w:tc>
        <w:tc>
          <w:tcPr>
            <w:tcW w:w="2858" w:type="dxa"/>
            <w:noWrap w:val="0"/>
            <w:vAlign w:val="center"/>
          </w:tcPr>
          <w:p w14:paraId="1783F549">
            <w:pPr>
              <w:widowControl/>
              <w:jc w:val="left"/>
              <w:textAlignment w:val="center"/>
              <w:rPr>
                <w:rFonts w:hint="eastAsia" w:ascii="宋体" w:hAnsi="宋体" w:cs="宋体"/>
                <w:color w:val="000000"/>
                <w:sz w:val="24"/>
              </w:rPr>
            </w:pPr>
            <w:r>
              <w:rPr>
                <w:rFonts w:hint="eastAsia" w:ascii="宋体" w:hAnsi="宋体" w:cs="宋体"/>
                <w:color w:val="000000"/>
                <w:kern w:val="0"/>
                <w:sz w:val="24"/>
                <w:lang w:val="en-US" w:eastAsia="zh-CN" w:bidi="ar"/>
              </w:rPr>
              <w:t>国产</w:t>
            </w:r>
            <w:r>
              <w:rPr>
                <w:rFonts w:hint="eastAsia" w:ascii="宋体" w:hAnsi="宋体" w:cs="宋体"/>
                <w:color w:val="000000"/>
                <w:kern w:val="0"/>
                <w:sz w:val="24"/>
                <w:lang w:bidi="ar"/>
              </w:rPr>
              <w:t>数据守护集群软件</w:t>
            </w:r>
          </w:p>
        </w:tc>
        <w:tc>
          <w:tcPr>
            <w:tcW w:w="1765" w:type="dxa"/>
            <w:noWrap w:val="0"/>
            <w:vAlign w:val="center"/>
          </w:tcPr>
          <w:p w14:paraId="511C43B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套/元/月</w:t>
            </w:r>
          </w:p>
        </w:tc>
        <w:tc>
          <w:tcPr>
            <w:tcW w:w="819" w:type="dxa"/>
            <w:noWrap w:val="0"/>
            <w:vAlign w:val="center"/>
          </w:tcPr>
          <w:p w14:paraId="7C59A72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577" w:type="dxa"/>
            <w:noWrap w:val="0"/>
            <w:vAlign w:val="center"/>
          </w:tcPr>
          <w:p w14:paraId="1B53A2F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bl>
    <w:p w14:paraId="56656835">
      <w:pPr>
        <w:spacing w:line="360" w:lineRule="auto"/>
        <w:contextualSpacing/>
        <w:rPr>
          <w:rFonts w:hint="eastAsia" w:ascii="宋体" w:hAnsi="宋体" w:cs="宋体"/>
          <w:bCs/>
          <w:sz w:val="24"/>
        </w:rPr>
      </w:pPr>
    </w:p>
    <w:p w14:paraId="04C70BAD">
      <w:pPr>
        <w:spacing w:line="360" w:lineRule="auto"/>
        <w:contextualSpacing/>
        <w:outlineLvl w:val="0"/>
        <w:rPr>
          <w:rFonts w:hint="eastAsia" w:ascii="宋体" w:hAnsi="宋体" w:cs="宋体"/>
          <w:bCs/>
          <w:sz w:val="24"/>
        </w:rPr>
      </w:pPr>
      <w:r>
        <w:rPr>
          <w:rFonts w:hint="eastAsia" w:ascii="宋体" w:hAnsi="宋体" w:cs="宋体"/>
          <w:bCs/>
          <w:sz w:val="24"/>
        </w:rPr>
        <w:t>2. 项目背景/项目概述</w:t>
      </w:r>
    </w:p>
    <w:p w14:paraId="0D9AE3D2">
      <w:pPr>
        <w:adjustRightInd w:val="0"/>
        <w:spacing w:line="360" w:lineRule="auto"/>
        <w:ind w:firstLine="480" w:firstLineChars="200"/>
        <w:jc w:val="left"/>
        <w:textAlignment w:val="baseline"/>
        <w:rPr>
          <w:rFonts w:hint="eastAsia" w:ascii="宋体" w:hAnsi="宋体" w:cs="宋体"/>
          <w:bCs/>
          <w:sz w:val="24"/>
        </w:rPr>
      </w:pPr>
      <w:r>
        <w:rPr>
          <w:rFonts w:hint="eastAsia" w:ascii="宋体" w:hAnsi="宋体" w:cs="宋体"/>
          <w:bCs/>
          <w:sz w:val="24"/>
        </w:rPr>
        <w:t>根据《北京市市级政务云管理办法》文件中“上云为常态，不上云为例外”的政策要求，北京市公安</w:t>
      </w:r>
      <w:r>
        <w:rPr>
          <w:rFonts w:hint="eastAsia" w:ascii="宋体" w:hAnsi="宋体" w:cs="宋体"/>
          <w:bCs/>
          <w:sz w:val="24"/>
          <w:lang w:eastAsia="zh"/>
        </w:rPr>
        <w:t>局</w:t>
      </w:r>
      <w:r>
        <w:rPr>
          <w:rFonts w:hint="eastAsia" w:ascii="宋体" w:hAnsi="宋体" w:cs="宋体"/>
          <w:bCs/>
          <w:sz w:val="24"/>
        </w:rPr>
        <w:t>人口基层总队需进行人口总队信息管理平台系统入云工作。为了巩固前期工作成果，本项目继续租用北京市级政务云的计算服务、存储服务、网络服务等各类服务，保障已入云系统安全，实现系统在云长期稳定的运行。</w:t>
      </w:r>
    </w:p>
    <w:p w14:paraId="2C9389C7">
      <w:pPr>
        <w:adjustRightInd w:val="0"/>
        <w:spacing w:line="360" w:lineRule="auto"/>
        <w:ind w:firstLine="480" w:firstLineChars="200"/>
        <w:jc w:val="left"/>
        <w:textAlignment w:val="baseline"/>
        <w:rPr>
          <w:rFonts w:hint="eastAsia" w:ascii="宋体" w:hAnsi="宋体" w:cs="宋体"/>
          <w:bCs/>
          <w:sz w:val="24"/>
        </w:rPr>
      </w:pPr>
      <w:r>
        <w:rPr>
          <w:rFonts w:hint="eastAsia" w:ascii="宋体" w:hAnsi="宋体" w:cs="宋体"/>
          <w:bCs/>
          <w:sz w:val="24"/>
        </w:rPr>
        <w:t>本次采购政务云基础服务为人口总队信息管理平台提供云上平台基础计算、存储、网络、安全等政务云资源及服务。</w:t>
      </w:r>
    </w:p>
    <w:p w14:paraId="33007481">
      <w:pPr>
        <w:adjustRightInd w:val="0"/>
        <w:spacing w:line="360" w:lineRule="auto"/>
        <w:ind w:firstLine="480" w:firstLineChars="200"/>
        <w:jc w:val="left"/>
        <w:textAlignment w:val="baseline"/>
        <w:rPr>
          <w:rFonts w:hint="eastAsia" w:ascii="宋体" w:hAnsi="宋体" w:cs="宋体"/>
          <w:bCs/>
          <w:sz w:val="24"/>
        </w:rPr>
      </w:pPr>
    </w:p>
    <w:p w14:paraId="34E26E8E">
      <w:pPr>
        <w:pStyle w:val="6"/>
        <w:spacing w:line="360" w:lineRule="auto"/>
        <w:ind w:firstLine="0" w:firstLineChars="0"/>
        <w:contextualSpacing/>
        <w:outlineLvl w:val="0"/>
        <w:rPr>
          <w:rFonts w:hint="eastAsia" w:ascii="宋体" w:hAnsi="宋体" w:cs="宋体"/>
          <w:b/>
          <w:sz w:val="24"/>
          <w:szCs w:val="24"/>
        </w:rPr>
      </w:pPr>
      <w:r>
        <w:rPr>
          <w:rFonts w:hint="eastAsia" w:ascii="宋体" w:hAnsi="宋体" w:cs="宋体"/>
          <w:b/>
          <w:sz w:val="24"/>
          <w:szCs w:val="24"/>
        </w:rPr>
        <w:t>二、商务要求</w:t>
      </w:r>
    </w:p>
    <w:p w14:paraId="36DF8808">
      <w:pPr>
        <w:spacing w:line="360" w:lineRule="auto"/>
        <w:contextualSpacing/>
        <w:rPr>
          <w:rFonts w:hint="eastAsia" w:ascii="宋体" w:hAnsi="宋体" w:cs="宋体"/>
          <w:i/>
          <w:sz w:val="24"/>
        </w:rPr>
      </w:pPr>
      <w:r>
        <w:rPr>
          <w:rFonts w:hint="eastAsia" w:ascii="宋体" w:hAnsi="宋体" w:cs="宋体"/>
          <w:sz w:val="24"/>
        </w:rPr>
        <w:t>1. 交付（实施）的时间（期限）和地点（范围）</w:t>
      </w:r>
    </w:p>
    <w:p w14:paraId="63917868">
      <w:pPr>
        <w:adjustRightInd w:val="0"/>
        <w:spacing w:line="360" w:lineRule="auto"/>
        <w:ind w:firstLine="480" w:firstLineChars="200"/>
        <w:jc w:val="left"/>
        <w:textAlignment w:val="baseline"/>
        <w:rPr>
          <w:rFonts w:hint="eastAsia" w:ascii="宋体" w:hAnsi="宋体" w:cs="宋体"/>
          <w:bCs/>
          <w:sz w:val="24"/>
        </w:rPr>
      </w:pPr>
      <w:r>
        <w:rPr>
          <w:rFonts w:hint="eastAsia" w:ascii="宋体" w:hAnsi="宋体" w:cs="宋体"/>
          <w:bCs/>
          <w:sz w:val="24"/>
        </w:rPr>
        <w:t>服务周期：1年。</w:t>
      </w:r>
    </w:p>
    <w:p w14:paraId="7C26D219">
      <w:pPr>
        <w:adjustRightInd w:val="0"/>
        <w:spacing w:line="360" w:lineRule="auto"/>
        <w:ind w:firstLine="480" w:firstLineChars="200"/>
        <w:jc w:val="left"/>
        <w:textAlignment w:val="baseline"/>
        <w:rPr>
          <w:rFonts w:hint="eastAsia" w:ascii="宋体" w:hAnsi="宋体" w:cs="宋体"/>
          <w:bCs/>
          <w:sz w:val="24"/>
        </w:rPr>
      </w:pPr>
      <w:r>
        <w:rPr>
          <w:rFonts w:hint="eastAsia" w:ascii="宋体" w:hAnsi="宋体" w:cs="宋体"/>
          <w:bCs/>
          <w:sz w:val="24"/>
        </w:rPr>
        <w:t>交付地点：</w:t>
      </w:r>
      <w:bookmarkStart w:id="1" w:name="_Hlk129276634"/>
      <w:r>
        <w:rPr>
          <w:rFonts w:hint="eastAsia" w:ascii="宋体" w:hAnsi="宋体" w:cs="宋体"/>
          <w:bCs/>
          <w:sz w:val="24"/>
        </w:rPr>
        <w:t>招标人指定</w:t>
      </w:r>
      <w:bookmarkEnd w:id="1"/>
      <w:r>
        <w:rPr>
          <w:rFonts w:hint="eastAsia" w:ascii="宋体" w:hAnsi="宋体" w:cs="宋体"/>
          <w:bCs/>
          <w:sz w:val="24"/>
        </w:rPr>
        <w:t>。</w:t>
      </w:r>
    </w:p>
    <w:p w14:paraId="79B4F87A">
      <w:pPr>
        <w:spacing w:line="360" w:lineRule="auto"/>
        <w:ind w:firstLine="480" w:firstLineChars="200"/>
        <w:rPr>
          <w:rFonts w:hint="eastAsia" w:ascii="宋体" w:hAnsi="宋体" w:cs="宋体"/>
          <w:sz w:val="24"/>
        </w:rPr>
      </w:pPr>
      <w:r>
        <w:rPr>
          <w:rFonts w:hint="eastAsia" w:ascii="宋体" w:hAnsi="宋体" w:cs="宋体"/>
          <w:sz w:val="24"/>
        </w:rPr>
        <w:t>交付实施：合同签订后1周内完成服务交付，如涉及系统迁移需保证在服务交付期间完成系统迁移工作。</w:t>
      </w:r>
    </w:p>
    <w:p w14:paraId="5F927997">
      <w:pPr>
        <w:spacing w:line="360" w:lineRule="auto"/>
        <w:contextualSpacing/>
        <w:rPr>
          <w:rFonts w:hint="eastAsia" w:ascii="宋体" w:hAnsi="宋体" w:cs="宋体"/>
          <w:i/>
          <w:sz w:val="24"/>
        </w:rPr>
      </w:pPr>
    </w:p>
    <w:p w14:paraId="0D47DF31">
      <w:pPr>
        <w:spacing w:line="360" w:lineRule="auto"/>
        <w:contextualSpacing/>
        <w:rPr>
          <w:rFonts w:hint="eastAsia" w:ascii="宋体" w:hAnsi="宋体" w:cs="宋体"/>
          <w:sz w:val="24"/>
        </w:rPr>
      </w:pPr>
      <w:r>
        <w:rPr>
          <w:rFonts w:hint="eastAsia" w:ascii="宋体" w:hAnsi="宋体" w:cs="宋体"/>
          <w:sz w:val="24"/>
        </w:rPr>
        <w:t>2. 付款条件（进度和方式）</w:t>
      </w:r>
    </w:p>
    <w:p w14:paraId="41336074">
      <w:pPr>
        <w:adjustRightInd w:val="0"/>
        <w:spacing w:line="360" w:lineRule="auto"/>
        <w:ind w:firstLine="480" w:firstLineChars="200"/>
        <w:jc w:val="left"/>
        <w:textAlignment w:val="baseline"/>
        <w:rPr>
          <w:rFonts w:hint="eastAsia" w:ascii="宋体" w:hAnsi="宋体" w:cs="宋体"/>
          <w:bCs/>
          <w:sz w:val="24"/>
        </w:rPr>
      </w:pPr>
      <w:r>
        <w:rPr>
          <w:rFonts w:hint="eastAsia" w:ascii="宋体" w:hAnsi="宋体" w:cs="宋体"/>
          <w:bCs/>
          <w:sz w:val="24"/>
        </w:rPr>
        <w:t>合同签订生效后15个工作日内，甲方向乙方支付合同总价的50</w:t>
      </w:r>
      <w:r>
        <w:rPr>
          <w:rFonts w:ascii="宋体" w:hAnsi="宋体" w:cs="宋体"/>
          <w:bCs/>
          <w:sz w:val="24"/>
        </w:rPr>
        <w:t>%</w:t>
      </w:r>
      <w:r>
        <w:rPr>
          <w:rFonts w:hint="eastAsia" w:ascii="宋体" w:hAnsi="宋体" w:cs="宋体"/>
          <w:bCs/>
          <w:sz w:val="24"/>
        </w:rPr>
        <w:t>；合同到期后，乙方按照合同约定内容完成义务后，甲方向乙方支付合同剩余的50%。</w:t>
      </w:r>
    </w:p>
    <w:p w14:paraId="0AF79EFE">
      <w:pPr>
        <w:spacing w:line="360" w:lineRule="auto"/>
        <w:contextualSpacing/>
        <w:rPr>
          <w:rFonts w:hint="eastAsia" w:ascii="宋体" w:hAnsi="宋体" w:cs="宋体"/>
          <w:bCs/>
          <w:sz w:val="24"/>
        </w:rPr>
      </w:pPr>
    </w:p>
    <w:p w14:paraId="02F6643E">
      <w:pPr>
        <w:spacing w:line="360" w:lineRule="auto"/>
        <w:contextualSpacing/>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 售后服务（质保期）</w:t>
      </w:r>
    </w:p>
    <w:p w14:paraId="2EBC8D47">
      <w:pPr>
        <w:spacing w:line="360" w:lineRule="auto"/>
        <w:ind w:firstLine="420"/>
        <w:rPr>
          <w:rFonts w:hint="eastAsia" w:ascii="宋体" w:hAnsi="宋体" w:cs="宋体"/>
          <w:sz w:val="24"/>
        </w:rPr>
      </w:pPr>
      <w:r>
        <w:rPr>
          <w:rFonts w:hint="eastAsia" w:ascii="宋体" w:hAnsi="宋体" w:cs="宋体"/>
          <w:sz w:val="24"/>
        </w:rPr>
        <w:t>为保障业务高峰期内系统平稳运行，缓解系统高峰期内因业务发生量增大而带来系统压力风险，要求投标人根据业务周期性特点，提供必要的运维值守服务，包含所有云主机的运维维保和远程值守以及定期的巡检服务，包含重要时间节点的重保服务，保证在业务高峰期内系统平稳运行，服务期</w:t>
      </w:r>
      <w:r>
        <w:rPr>
          <w:rFonts w:hint="eastAsia" w:ascii="宋体" w:hAnsi="宋体" w:cs="宋体"/>
          <w:bCs/>
          <w:sz w:val="24"/>
        </w:rPr>
        <w:t>1年。</w:t>
      </w:r>
    </w:p>
    <w:p w14:paraId="7EB8C4B2">
      <w:pPr>
        <w:spacing w:line="360" w:lineRule="auto"/>
        <w:contextualSpacing/>
        <w:rPr>
          <w:rFonts w:hint="eastAsia" w:ascii="宋体" w:hAnsi="宋体" w:cs="宋体"/>
          <w:sz w:val="24"/>
        </w:rPr>
      </w:pPr>
    </w:p>
    <w:p w14:paraId="74606949">
      <w:pPr>
        <w:spacing w:line="360" w:lineRule="auto"/>
        <w:ind w:firstLine="0"/>
        <w:rPr>
          <w:rFonts w:hint="eastAsia" w:ascii="宋体" w:hAnsi="宋体" w:cs="宋体"/>
          <w:sz w:val="24"/>
        </w:rPr>
      </w:pPr>
    </w:p>
    <w:p w14:paraId="7B39198B">
      <w:pPr>
        <w:pStyle w:val="6"/>
        <w:spacing w:line="360" w:lineRule="auto"/>
        <w:ind w:firstLine="0" w:firstLineChars="0"/>
        <w:contextualSpacing/>
        <w:outlineLvl w:val="0"/>
        <w:rPr>
          <w:rFonts w:hint="eastAsia" w:ascii="宋体" w:hAnsi="宋体" w:cs="宋体"/>
          <w:b/>
          <w:sz w:val="24"/>
          <w:szCs w:val="24"/>
        </w:rPr>
      </w:pPr>
      <w:r>
        <w:rPr>
          <w:rFonts w:hint="eastAsia" w:ascii="宋体" w:hAnsi="宋体" w:cs="宋体"/>
          <w:b/>
          <w:sz w:val="24"/>
          <w:szCs w:val="24"/>
        </w:rPr>
        <w:t>三、技术要求</w:t>
      </w:r>
    </w:p>
    <w:p w14:paraId="75916FB0">
      <w:pPr>
        <w:spacing w:line="360" w:lineRule="auto"/>
        <w:contextualSpacing/>
        <w:outlineLvl w:val="0"/>
        <w:rPr>
          <w:rFonts w:hint="eastAsia" w:ascii="宋体" w:hAnsi="宋体" w:cs="宋体"/>
          <w:sz w:val="24"/>
        </w:rPr>
      </w:pPr>
      <w:r>
        <w:rPr>
          <w:rFonts w:hint="eastAsia" w:ascii="宋体" w:hAnsi="宋体" w:cs="宋体"/>
          <w:sz w:val="24"/>
        </w:rPr>
        <w:t>1. 基本要求</w:t>
      </w:r>
    </w:p>
    <w:p w14:paraId="00A04D42">
      <w:pPr>
        <w:adjustRightInd w:val="0"/>
        <w:spacing w:line="360" w:lineRule="auto"/>
        <w:ind w:firstLine="480" w:firstLineChars="200"/>
        <w:jc w:val="left"/>
        <w:textAlignment w:val="baseline"/>
        <w:rPr>
          <w:rFonts w:hint="eastAsia" w:ascii="宋体" w:hAnsi="宋体" w:cs="宋体"/>
          <w:bCs/>
          <w:sz w:val="24"/>
        </w:rPr>
      </w:pPr>
      <w:r>
        <w:rPr>
          <w:rFonts w:hint="eastAsia" w:ascii="宋体" w:hAnsi="宋体" w:cs="宋体"/>
          <w:bCs/>
          <w:sz w:val="24"/>
        </w:rPr>
        <w:t>符合《北京市市级政务云管理办法》文件中“上云为常态，不上云为例外”的政策要求；</w:t>
      </w:r>
    </w:p>
    <w:p w14:paraId="787FDC70">
      <w:pPr>
        <w:adjustRightInd w:val="0"/>
        <w:spacing w:line="360" w:lineRule="auto"/>
        <w:ind w:firstLine="480" w:firstLineChars="200"/>
        <w:jc w:val="left"/>
        <w:textAlignment w:val="baseline"/>
        <w:rPr>
          <w:rFonts w:hint="eastAsia" w:ascii="宋体" w:hAnsi="宋体" w:cs="宋体"/>
          <w:b/>
          <w:sz w:val="24"/>
        </w:rPr>
      </w:pPr>
      <w:r>
        <w:rPr>
          <w:rFonts w:hint="eastAsia" w:ascii="宋体" w:hAnsi="宋体" w:cs="宋体"/>
          <w:bCs/>
          <w:sz w:val="24"/>
        </w:rPr>
        <w:t>提供云上平台基础计算、存储、网络、安全、密码等政务云资源及服务。</w:t>
      </w:r>
    </w:p>
    <w:p w14:paraId="76FE23F2">
      <w:pPr>
        <w:spacing w:line="360" w:lineRule="auto"/>
        <w:contextualSpacing/>
        <w:rPr>
          <w:rFonts w:hint="eastAsia" w:ascii="宋体" w:hAnsi="宋体" w:cs="宋体"/>
          <w:sz w:val="24"/>
        </w:rPr>
      </w:pPr>
    </w:p>
    <w:p w14:paraId="74226027">
      <w:pPr>
        <w:spacing w:line="360" w:lineRule="auto"/>
        <w:contextualSpacing/>
        <w:outlineLvl w:val="0"/>
        <w:rPr>
          <w:rFonts w:hint="eastAsia" w:ascii="宋体" w:hAnsi="宋体" w:cs="宋体"/>
          <w:sz w:val="24"/>
        </w:rPr>
      </w:pPr>
      <w:r>
        <w:rPr>
          <w:rFonts w:hint="eastAsia" w:ascii="宋体" w:hAnsi="宋体" w:cs="宋体"/>
          <w:sz w:val="24"/>
        </w:rPr>
        <w:t>2. 服务内容及要求/货物技术要求</w:t>
      </w:r>
    </w:p>
    <w:p w14:paraId="7BCE6209">
      <w:pPr>
        <w:widowControl/>
        <w:spacing w:line="360" w:lineRule="auto"/>
        <w:ind w:firstLine="480" w:firstLineChars="200"/>
        <w:contextualSpacing/>
        <w:outlineLvl w:val="0"/>
        <w:rPr>
          <w:rFonts w:hint="eastAsia" w:ascii="宋体" w:hAnsi="宋体" w:cs="宋体"/>
          <w:sz w:val="24"/>
        </w:rPr>
      </w:pPr>
      <w:r>
        <w:rPr>
          <w:rFonts w:hint="eastAsia" w:ascii="宋体" w:hAnsi="宋体" w:cs="宋体"/>
          <w:sz w:val="24"/>
        </w:rPr>
        <w:t>2.1采购标的需满足的性能、材料、结构、外观、质量、安全、技术规格、物理特性等要求；</w:t>
      </w:r>
    </w:p>
    <w:p w14:paraId="37FD3DF4">
      <w:pPr>
        <w:adjustRightInd w:val="0"/>
        <w:spacing w:line="360" w:lineRule="auto"/>
        <w:ind w:firstLine="472" w:firstLineChars="196"/>
        <w:textAlignment w:val="baseline"/>
        <w:outlineLvl w:val="0"/>
        <w:rPr>
          <w:rFonts w:hint="eastAsia" w:ascii="宋体" w:hAnsi="宋体" w:cs="宋体"/>
          <w:b/>
          <w:sz w:val="24"/>
        </w:rPr>
      </w:pPr>
      <w:r>
        <w:rPr>
          <w:rFonts w:hint="eastAsia" w:ascii="宋体" w:hAnsi="宋体" w:cs="宋体"/>
          <w:b/>
          <w:sz w:val="24"/>
        </w:rPr>
        <w:t>2.1.1 云计算技术需求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6739"/>
      </w:tblGrid>
      <w:tr w14:paraId="1132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50" w:type="dxa"/>
            <w:shd w:val="clear" w:color="auto" w:fill="CCCCCC"/>
            <w:noWrap w:val="0"/>
            <w:vAlign w:val="center"/>
          </w:tcPr>
          <w:p w14:paraId="6C9F4AED">
            <w:pPr>
              <w:spacing w:line="360" w:lineRule="auto"/>
              <w:jc w:val="center"/>
              <w:rPr>
                <w:rFonts w:hint="eastAsia" w:ascii="宋体" w:hAnsi="宋体" w:cs="宋体"/>
                <w:b/>
                <w:sz w:val="24"/>
              </w:rPr>
            </w:pPr>
            <w:r>
              <w:rPr>
                <w:rFonts w:hint="eastAsia" w:ascii="宋体" w:hAnsi="宋体" w:cs="宋体"/>
                <w:b/>
                <w:sz w:val="24"/>
              </w:rPr>
              <w:t>指标项</w:t>
            </w:r>
          </w:p>
        </w:tc>
        <w:tc>
          <w:tcPr>
            <w:tcW w:w="6739" w:type="dxa"/>
            <w:shd w:val="clear" w:color="auto" w:fill="CCCCCC"/>
            <w:noWrap w:val="0"/>
            <w:vAlign w:val="center"/>
          </w:tcPr>
          <w:p w14:paraId="7E7ECD5E">
            <w:pPr>
              <w:spacing w:line="360" w:lineRule="auto"/>
              <w:jc w:val="center"/>
              <w:rPr>
                <w:rFonts w:hint="eastAsia" w:ascii="宋体" w:hAnsi="宋体" w:cs="宋体"/>
                <w:b/>
                <w:sz w:val="24"/>
              </w:rPr>
            </w:pPr>
            <w:r>
              <w:rPr>
                <w:rFonts w:hint="eastAsia" w:ascii="宋体" w:hAnsi="宋体" w:cs="宋体"/>
                <w:b/>
                <w:sz w:val="24"/>
              </w:rPr>
              <w:t>招标要求</w:t>
            </w:r>
          </w:p>
        </w:tc>
      </w:tr>
      <w:tr w14:paraId="48C1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50" w:type="dxa"/>
            <w:vMerge w:val="restart"/>
            <w:shd w:val="clear" w:color="auto" w:fill="auto"/>
            <w:noWrap w:val="0"/>
            <w:vAlign w:val="center"/>
          </w:tcPr>
          <w:p w14:paraId="414B9A17">
            <w:pPr>
              <w:widowControl/>
              <w:spacing w:line="360" w:lineRule="auto"/>
              <w:rPr>
                <w:rFonts w:hint="eastAsia" w:ascii="宋体" w:hAnsi="宋体" w:cs="宋体"/>
                <w:sz w:val="24"/>
              </w:rPr>
            </w:pPr>
            <w:r>
              <w:rPr>
                <w:rFonts w:hint="eastAsia" w:ascii="宋体" w:hAnsi="宋体" w:cs="宋体"/>
                <w:sz w:val="24"/>
              </w:rPr>
              <w:t>基本需求</w:t>
            </w:r>
          </w:p>
        </w:tc>
        <w:tc>
          <w:tcPr>
            <w:tcW w:w="6739" w:type="dxa"/>
            <w:shd w:val="clear" w:color="auto" w:fill="FFFFFF"/>
            <w:noWrap w:val="0"/>
            <w:vAlign w:val="top"/>
          </w:tcPr>
          <w:p w14:paraId="11214EED">
            <w:pPr>
              <w:spacing w:line="360" w:lineRule="auto"/>
              <w:rPr>
                <w:rFonts w:hint="eastAsia" w:ascii="宋体" w:hAnsi="宋体" w:cs="宋体"/>
                <w:sz w:val="24"/>
              </w:rPr>
            </w:pPr>
            <w:r>
              <w:rPr>
                <w:rFonts w:hint="eastAsia" w:ascii="宋体" w:hAnsi="宋体" w:cs="宋体"/>
                <w:sz w:val="24"/>
              </w:rPr>
              <w:t>云主机资源支持弹性调整，可提供弹性扩展CPU、内存及数据盘磁盘，实例可用性达99.99%</w:t>
            </w:r>
          </w:p>
        </w:tc>
      </w:tr>
      <w:tr w14:paraId="7CC8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50" w:type="dxa"/>
            <w:vMerge w:val="continue"/>
            <w:shd w:val="clear" w:color="auto" w:fill="auto"/>
            <w:noWrap w:val="0"/>
            <w:vAlign w:val="center"/>
          </w:tcPr>
          <w:p w14:paraId="377942D9">
            <w:pPr>
              <w:widowControl/>
              <w:spacing w:line="360" w:lineRule="auto"/>
              <w:rPr>
                <w:rFonts w:hint="eastAsia" w:ascii="宋体" w:hAnsi="宋体" w:cs="宋体"/>
                <w:sz w:val="24"/>
              </w:rPr>
            </w:pPr>
          </w:p>
        </w:tc>
        <w:tc>
          <w:tcPr>
            <w:tcW w:w="6739" w:type="dxa"/>
            <w:shd w:val="clear" w:color="auto" w:fill="FFFFFF"/>
            <w:noWrap w:val="0"/>
            <w:vAlign w:val="top"/>
          </w:tcPr>
          <w:p w14:paraId="70D1FCA2">
            <w:pPr>
              <w:spacing w:line="360" w:lineRule="auto"/>
              <w:rPr>
                <w:rFonts w:hint="eastAsia" w:ascii="宋体" w:hAnsi="宋体" w:cs="宋体"/>
                <w:sz w:val="24"/>
              </w:rPr>
            </w:pPr>
            <w:r>
              <w:rPr>
                <w:rFonts w:hint="eastAsia" w:ascii="宋体" w:hAnsi="宋体" w:cs="宋体"/>
                <w:sz w:val="24"/>
              </w:rPr>
              <w:t>支持虚拟机的跨物理服务器的在线迁移</w:t>
            </w:r>
          </w:p>
        </w:tc>
      </w:tr>
      <w:tr w14:paraId="66D5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50" w:type="dxa"/>
            <w:vMerge w:val="continue"/>
            <w:shd w:val="clear" w:color="auto" w:fill="auto"/>
            <w:noWrap w:val="0"/>
            <w:vAlign w:val="center"/>
          </w:tcPr>
          <w:p w14:paraId="40745296">
            <w:pPr>
              <w:widowControl/>
              <w:spacing w:line="360" w:lineRule="auto"/>
              <w:rPr>
                <w:rFonts w:hint="eastAsia" w:ascii="宋体" w:hAnsi="宋体" w:cs="宋体"/>
                <w:sz w:val="24"/>
              </w:rPr>
            </w:pPr>
          </w:p>
        </w:tc>
        <w:tc>
          <w:tcPr>
            <w:tcW w:w="6739" w:type="dxa"/>
            <w:shd w:val="clear" w:color="auto" w:fill="FFFFFF"/>
            <w:noWrap w:val="0"/>
            <w:vAlign w:val="top"/>
          </w:tcPr>
          <w:p w14:paraId="6615802A">
            <w:pPr>
              <w:spacing w:line="360" w:lineRule="auto"/>
              <w:rPr>
                <w:rFonts w:hint="eastAsia" w:ascii="宋体" w:hAnsi="宋体" w:cs="宋体"/>
                <w:sz w:val="24"/>
              </w:rPr>
            </w:pPr>
            <w:r>
              <w:rPr>
                <w:rFonts w:hint="eastAsia" w:ascii="宋体" w:hAnsi="宋体" w:cs="宋体"/>
                <w:sz w:val="24"/>
              </w:rPr>
              <w:t>虚拟机支持秒级启动功能</w:t>
            </w:r>
          </w:p>
        </w:tc>
      </w:tr>
      <w:tr w14:paraId="6F17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50" w:type="dxa"/>
            <w:vMerge w:val="continue"/>
            <w:shd w:val="clear" w:color="auto" w:fill="auto"/>
            <w:noWrap w:val="0"/>
            <w:vAlign w:val="center"/>
          </w:tcPr>
          <w:p w14:paraId="51423387">
            <w:pPr>
              <w:widowControl/>
              <w:spacing w:line="360" w:lineRule="auto"/>
              <w:rPr>
                <w:rFonts w:hint="eastAsia" w:ascii="宋体" w:hAnsi="宋体" w:cs="宋体"/>
                <w:sz w:val="24"/>
              </w:rPr>
            </w:pPr>
          </w:p>
        </w:tc>
        <w:tc>
          <w:tcPr>
            <w:tcW w:w="6739" w:type="dxa"/>
            <w:shd w:val="clear" w:color="auto" w:fill="FFFFFF"/>
            <w:noWrap w:val="0"/>
            <w:vAlign w:val="top"/>
          </w:tcPr>
          <w:p w14:paraId="29B2539F">
            <w:pPr>
              <w:spacing w:line="360" w:lineRule="auto"/>
              <w:rPr>
                <w:rFonts w:hint="eastAsia" w:ascii="宋体" w:hAnsi="宋体" w:cs="宋体"/>
                <w:sz w:val="24"/>
              </w:rPr>
            </w:pPr>
            <w:r>
              <w:rPr>
                <w:rFonts w:hint="eastAsia" w:ascii="宋体" w:hAnsi="宋体" w:cs="宋体"/>
                <w:sz w:val="24"/>
              </w:rPr>
              <w:t>支持用户自主制作镜像功能</w:t>
            </w:r>
          </w:p>
        </w:tc>
      </w:tr>
      <w:tr w14:paraId="4DD6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50" w:type="dxa"/>
            <w:vMerge w:val="continue"/>
            <w:shd w:val="clear" w:color="auto" w:fill="auto"/>
            <w:noWrap w:val="0"/>
            <w:vAlign w:val="center"/>
          </w:tcPr>
          <w:p w14:paraId="7F9F2580">
            <w:pPr>
              <w:widowControl/>
              <w:spacing w:line="360" w:lineRule="auto"/>
              <w:rPr>
                <w:rFonts w:hint="eastAsia" w:ascii="宋体" w:hAnsi="宋体" w:cs="宋体"/>
                <w:sz w:val="24"/>
              </w:rPr>
            </w:pPr>
          </w:p>
        </w:tc>
        <w:tc>
          <w:tcPr>
            <w:tcW w:w="6739" w:type="dxa"/>
            <w:shd w:val="clear" w:color="auto" w:fill="FFFFFF"/>
            <w:noWrap w:val="0"/>
            <w:vAlign w:val="top"/>
          </w:tcPr>
          <w:p w14:paraId="0D926813">
            <w:pPr>
              <w:spacing w:line="360" w:lineRule="auto"/>
              <w:rPr>
                <w:rFonts w:hint="eastAsia" w:ascii="宋体" w:hAnsi="宋体" w:cs="宋体"/>
                <w:sz w:val="24"/>
              </w:rPr>
            </w:pPr>
            <w:r>
              <w:rPr>
                <w:rFonts w:hint="eastAsia" w:ascii="宋体" w:hAnsi="宋体" w:cs="宋体"/>
                <w:sz w:val="24"/>
              </w:rPr>
              <w:t>支持用户自主访问、操作自服务平台</w:t>
            </w:r>
          </w:p>
        </w:tc>
      </w:tr>
      <w:tr w14:paraId="0186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Merge w:val="continue"/>
            <w:shd w:val="clear" w:color="auto" w:fill="auto"/>
            <w:noWrap w:val="0"/>
            <w:vAlign w:val="center"/>
          </w:tcPr>
          <w:p w14:paraId="502C2738">
            <w:pPr>
              <w:widowControl/>
              <w:spacing w:line="360" w:lineRule="auto"/>
              <w:rPr>
                <w:rFonts w:hint="eastAsia" w:ascii="宋体" w:hAnsi="宋体" w:cs="宋体"/>
                <w:sz w:val="24"/>
              </w:rPr>
            </w:pPr>
          </w:p>
        </w:tc>
        <w:tc>
          <w:tcPr>
            <w:tcW w:w="6739" w:type="dxa"/>
            <w:shd w:val="clear" w:color="auto" w:fill="FFFFFF"/>
            <w:noWrap w:val="0"/>
            <w:vAlign w:val="top"/>
          </w:tcPr>
          <w:p w14:paraId="4A107294">
            <w:pPr>
              <w:spacing w:line="360" w:lineRule="auto"/>
              <w:rPr>
                <w:rFonts w:hint="eastAsia" w:ascii="宋体" w:hAnsi="宋体" w:cs="宋体"/>
                <w:sz w:val="24"/>
              </w:rPr>
            </w:pPr>
            <w:r>
              <w:rPr>
                <w:rFonts w:hint="eastAsia" w:ascii="宋体" w:hAnsi="宋体" w:cs="宋体"/>
                <w:sz w:val="24"/>
              </w:rPr>
              <w:t>支持实时监控功能</w:t>
            </w:r>
          </w:p>
        </w:tc>
      </w:tr>
      <w:tr w14:paraId="649C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Merge w:val="continue"/>
            <w:shd w:val="clear" w:color="auto" w:fill="auto"/>
            <w:noWrap w:val="0"/>
            <w:vAlign w:val="center"/>
          </w:tcPr>
          <w:p w14:paraId="5EA51D01">
            <w:pPr>
              <w:widowControl/>
              <w:spacing w:line="360" w:lineRule="auto"/>
              <w:rPr>
                <w:rFonts w:hint="eastAsia" w:ascii="宋体" w:hAnsi="宋体" w:cs="宋体"/>
                <w:sz w:val="24"/>
              </w:rPr>
            </w:pPr>
          </w:p>
        </w:tc>
        <w:tc>
          <w:tcPr>
            <w:tcW w:w="6739" w:type="dxa"/>
            <w:shd w:val="clear" w:color="auto" w:fill="FFFFFF"/>
            <w:noWrap w:val="0"/>
            <w:vAlign w:val="top"/>
          </w:tcPr>
          <w:p w14:paraId="69483D23">
            <w:pPr>
              <w:spacing w:line="360" w:lineRule="auto"/>
              <w:rPr>
                <w:rFonts w:hint="eastAsia" w:ascii="宋体" w:hAnsi="宋体" w:cs="宋体"/>
                <w:sz w:val="24"/>
              </w:rPr>
            </w:pPr>
            <w:r>
              <w:rPr>
                <w:rFonts w:hint="eastAsia" w:ascii="宋体" w:hAnsi="宋体" w:cs="宋体"/>
                <w:b/>
                <w:bCs/>
                <w:sz w:val="24"/>
              </w:rPr>
              <w:t>#</w:t>
            </w:r>
            <w:r>
              <w:rPr>
                <w:rFonts w:hint="eastAsia" w:ascii="宋体" w:hAnsi="宋体" w:cs="宋体"/>
                <w:sz w:val="24"/>
              </w:rPr>
              <w:t xml:space="preserve">支持云主机深度监控能力，结合深度监控服务提供云主机CPU、内存、磁盘、网络相关资源使用率分析，能够清晰判别资源使用率数值及变化情况，如1天内变化；并支持自动巡检能力，可快速获取巡检时刻资源使用率。提供演示系统链接及管理工具截图证明文件。 </w:t>
            </w:r>
          </w:p>
        </w:tc>
      </w:tr>
      <w:tr w14:paraId="4979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0" w:type="dxa"/>
            <w:vMerge w:val="continue"/>
            <w:shd w:val="clear" w:color="auto" w:fill="auto"/>
            <w:noWrap w:val="0"/>
            <w:vAlign w:val="center"/>
          </w:tcPr>
          <w:p w14:paraId="2FFEF6D1">
            <w:pPr>
              <w:widowControl/>
              <w:spacing w:line="360" w:lineRule="auto"/>
              <w:rPr>
                <w:rFonts w:hint="eastAsia" w:ascii="宋体" w:hAnsi="宋体" w:cs="宋体"/>
                <w:sz w:val="24"/>
              </w:rPr>
            </w:pPr>
          </w:p>
        </w:tc>
        <w:tc>
          <w:tcPr>
            <w:tcW w:w="6739" w:type="dxa"/>
            <w:shd w:val="clear" w:color="auto" w:fill="FFFFFF"/>
            <w:noWrap w:val="0"/>
            <w:vAlign w:val="top"/>
          </w:tcPr>
          <w:p w14:paraId="7281D72C">
            <w:pPr>
              <w:spacing w:line="360" w:lineRule="auto"/>
              <w:rPr>
                <w:rFonts w:hint="eastAsia" w:ascii="宋体" w:hAnsi="宋体" w:cs="宋体"/>
                <w:sz w:val="24"/>
              </w:rPr>
            </w:pPr>
            <w:r>
              <w:rPr>
                <w:rFonts w:hint="eastAsia" w:ascii="宋体" w:hAnsi="宋体" w:cs="宋体"/>
                <w:b/>
                <w:bCs/>
                <w:sz w:val="24"/>
              </w:rPr>
              <w:t>#</w:t>
            </w:r>
            <w:r>
              <w:rPr>
                <w:rFonts w:hint="eastAsia" w:ascii="宋体" w:hAnsi="宋体" w:cs="宋体"/>
                <w:sz w:val="24"/>
              </w:rPr>
              <w:t>通过《云计算服务安全要求 第一部分：通用安全要求》核验，达到增强级要求。（提供通过相关检验的证明材料复印件并加盖证明材料持有人公章，证明材料持有人与投标人必须完全一致。））</w:t>
            </w:r>
          </w:p>
        </w:tc>
      </w:tr>
    </w:tbl>
    <w:p w14:paraId="1CF66070">
      <w:pPr>
        <w:adjustRightInd w:val="0"/>
        <w:spacing w:line="360" w:lineRule="auto"/>
        <w:ind w:firstLine="482" w:firstLineChars="200"/>
        <w:textAlignment w:val="baseline"/>
        <w:outlineLvl w:val="0"/>
        <w:rPr>
          <w:rFonts w:hint="eastAsia" w:ascii="宋体" w:hAnsi="宋体" w:cs="宋体"/>
          <w:b/>
          <w:sz w:val="24"/>
        </w:rPr>
      </w:pPr>
      <w:r>
        <w:rPr>
          <w:rFonts w:hint="eastAsia" w:ascii="宋体" w:hAnsi="宋体" w:cs="宋体"/>
          <w:b/>
          <w:sz w:val="24"/>
        </w:rPr>
        <w:t>2.1.2云存储技术需求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6716"/>
      </w:tblGrid>
      <w:tr w14:paraId="2BEA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76" w:type="dxa"/>
            <w:shd w:val="clear" w:color="auto" w:fill="CCCCCC"/>
            <w:noWrap w:val="0"/>
            <w:vAlign w:val="center"/>
          </w:tcPr>
          <w:p w14:paraId="7A80E601">
            <w:pPr>
              <w:spacing w:line="360" w:lineRule="auto"/>
              <w:jc w:val="center"/>
              <w:rPr>
                <w:rFonts w:hint="eastAsia" w:ascii="宋体" w:hAnsi="宋体" w:cs="宋体"/>
                <w:b/>
                <w:sz w:val="24"/>
              </w:rPr>
            </w:pPr>
            <w:r>
              <w:rPr>
                <w:rFonts w:hint="eastAsia" w:ascii="宋体" w:hAnsi="宋体" w:cs="宋体"/>
                <w:b/>
                <w:sz w:val="24"/>
              </w:rPr>
              <w:t>指标项</w:t>
            </w:r>
          </w:p>
        </w:tc>
        <w:tc>
          <w:tcPr>
            <w:tcW w:w="6716" w:type="dxa"/>
            <w:shd w:val="clear" w:color="auto" w:fill="CCCCCC"/>
            <w:noWrap w:val="0"/>
            <w:vAlign w:val="center"/>
          </w:tcPr>
          <w:p w14:paraId="1400B6D9">
            <w:pPr>
              <w:spacing w:line="360" w:lineRule="auto"/>
              <w:jc w:val="center"/>
              <w:rPr>
                <w:rFonts w:hint="eastAsia" w:ascii="宋体" w:hAnsi="宋体" w:cs="宋体"/>
                <w:b/>
                <w:sz w:val="24"/>
              </w:rPr>
            </w:pPr>
            <w:r>
              <w:rPr>
                <w:rFonts w:hint="eastAsia" w:ascii="宋体" w:hAnsi="宋体" w:cs="宋体"/>
                <w:b/>
                <w:sz w:val="24"/>
              </w:rPr>
              <w:t>招标要求</w:t>
            </w:r>
          </w:p>
        </w:tc>
      </w:tr>
      <w:tr w14:paraId="3DDB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restart"/>
            <w:shd w:val="clear" w:color="auto" w:fill="auto"/>
            <w:noWrap w:val="0"/>
            <w:vAlign w:val="center"/>
          </w:tcPr>
          <w:p w14:paraId="14E44781">
            <w:pPr>
              <w:spacing w:line="360" w:lineRule="auto"/>
              <w:jc w:val="center"/>
              <w:rPr>
                <w:rFonts w:hint="eastAsia" w:ascii="宋体" w:hAnsi="宋体" w:cs="宋体"/>
                <w:sz w:val="24"/>
              </w:rPr>
            </w:pPr>
            <w:r>
              <w:rPr>
                <w:rFonts w:hint="eastAsia" w:ascii="宋体" w:hAnsi="宋体" w:cs="宋体"/>
                <w:sz w:val="24"/>
              </w:rPr>
              <w:t>基本要求</w:t>
            </w:r>
          </w:p>
        </w:tc>
        <w:tc>
          <w:tcPr>
            <w:tcW w:w="6716" w:type="dxa"/>
            <w:shd w:val="clear" w:color="auto" w:fill="FFFFFF"/>
            <w:noWrap w:val="0"/>
            <w:vAlign w:val="center"/>
          </w:tcPr>
          <w:p w14:paraId="1165AFD1">
            <w:pPr>
              <w:spacing w:line="360" w:lineRule="auto"/>
              <w:rPr>
                <w:rFonts w:hint="eastAsia" w:ascii="宋体" w:hAnsi="宋体" w:cs="宋体"/>
                <w:sz w:val="24"/>
              </w:rPr>
            </w:pPr>
            <w:r>
              <w:rPr>
                <w:rFonts w:hint="eastAsia" w:ascii="宋体" w:hAnsi="宋体" w:cs="宋体"/>
                <w:sz w:val="24"/>
              </w:rPr>
              <w:t>提供块存储服务：普通性能存储，读写IOPS：1000-3000</w:t>
            </w:r>
          </w:p>
        </w:tc>
      </w:tr>
      <w:tr w14:paraId="5ED7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shd w:val="clear" w:color="auto" w:fill="auto"/>
            <w:noWrap w:val="0"/>
            <w:vAlign w:val="center"/>
          </w:tcPr>
          <w:p w14:paraId="713BD891">
            <w:pPr>
              <w:widowControl/>
              <w:spacing w:line="360" w:lineRule="auto"/>
              <w:rPr>
                <w:rFonts w:hint="eastAsia" w:ascii="宋体" w:hAnsi="宋体" w:cs="宋体"/>
                <w:sz w:val="24"/>
              </w:rPr>
            </w:pPr>
          </w:p>
        </w:tc>
        <w:tc>
          <w:tcPr>
            <w:tcW w:w="6716" w:type="dxa"/>
            <w:shd w:val="clear" w:color="auto" w:fill="FFFFFF"/>
            <w:noWrap w:val="0"/>
            <w:vAlign w:val="center"/>
          </w:tcPr>
          <w:p w14:paraId="29272D3D">
            <w:pPr>
              <w:spacing w:line="360" w:lineRule="auto"/>
              <w:rPr>
                <w:rFonts w:hint="eastAsia" w:ascii="宋体" w:hAnsi="宋体" w:cs="宋体"/>
                <w:sz w:val="24"/>
              </w:rPr>
            </w:pPr>
            <w:r>
              <w:rPr>
                <w:rFonts w:hint="eastAsia" w:ascii="宋体" w:hAnsi="宋体" w:cs="宋体"/>
                <w:sz w:val="24"/>
              </w:rPr>
              <w:t>提供块存储服务：高性能存储，读写IOPS： 3000-20000</w:t>
            </w:r>
          </w:p>
        </w:tc>
      </w:tr>
      <w:tr w14:paraId="6D7F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shd w:val="clear" w:color="auto" w:fill="auto"/>
            <w:noWrap w:val="0"/>
            <w:vAlign w:val="center"/>
          </w:tcPr>
          <w:p w14:paraId="45C0455E">
            <w:pPr>
              <w:widowControl/>
              <w:spacing w:line="360" w:lineRule="auto"/>
              <w:rPr>
                <w:rFonts w:hint="eastAsia" w:ascii="宋体" w:hAnsi="宋体" w:cs="宋体"/>
                <w:sz w:val="24"/>
              </w:rPr>
            </w:pPr>
          </w:p>
        </w:tc>
        <w:tc>
          <w:tcPr>
            <w:tcW w:w="6716" w:type="dxa"/>
            <w:shd w:val="clear" w:color="auto" w:fill="FFFFFF"/>
            <w:noWrap w:val="0"/>
            <w:vAlign w:val="center"/>
          </w:tcPr>
          <w:p w14:paraId="79B6473D">
            <w:pPr>
              <w:spacing w:line="360" w:lineRule="auto"/>
              <w:rPr>
                <w:rFonts w:hint="eastAsia" w:ascii="宋体" w:hAnsi="宋体" w:cs="宋体"/>
                <w:sz w:val="24"/>
              </w:rPr>
            </w:pPr>
            <w:r>
              <w:rPr>
                <w:rFonts w:hint="eastAsia" w:ascii="宋体" w:hAnsi="宋体" w:cs="宋体"/>
                <w:sz w:val="24"/>
              </w:rPr>
              <w:t>提供对象存储服务：静态存储，读写IOPS：1000-3000</w:t>
            </w:r>
          </w:p>
        </w:tc>
      </w:tr>
      <w:tr w14:paraId="1FCC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shd w:val="clear" w:color="auto" w:fill="auto"/>
            <w:noWrap w:val="0"/>
            <w:vAlign w:val="center"/>
          </w:tcPr>
          <w:p w14:paraId="627AE269">
            <w:pPr>
              <w:widowControl/>
              <w:spacing w:line="360" w:lineRule="auto"/>
              <w:rPr>
                <w:rFonts w:hint="eastAsia" w:ascii="宋体" w:hAnsi="宋体" w:cs="宋体"/>
                <w:sz w:val="24"/>
              </w:rPr>
            </w:pPr>
          </w:p>
        </w:tc>
        <w:tc>
          <w:tcPr>
            <w:tcW w:w="6716" w:type="dxa"/>
            <w:shd w:val="clear" w:color="auto" w:fill="FFFFFF"/>
            <w:noWrap w:val="0"/>
            <w:vAlign w:val="center"/>
          </w:tcPr>
          <w:p w14:paraId="5E32D4B8">
            <w:pPr>
              <w:spacing w:line="360" w:lineRule="auto"/>
              <w:rPr>
                <w:rFonts w:hint="eastAsia" w:ascii="宋体" w:hAnsi="宋体" w:cs="宋体"/>
                <w:sz w:val="24"/>
              </w:rPr>
            </w:pPr>
            <w:r>
              <w:rPr>
                <w:rFonts w:hint="eastAsia" w:ascii="宋体" w:hAnsi="宋体" w:cs="宋体"/>
                <w:sz w:val="24"/>
              </w:rPr>
              <w:t>投标人支持对象存储技术，采用基于服务器本地硬盘提供对象存储资源池，云平台支持通过Web界面对对象存储文件夹进行增删改查（提供所投产品此项要求的系统截图或其他有效证明文件）</w:t>
            </w:r>
          </w:p>
        </w:tc>
      </w:tr>
      <w:tr w14:paraId="545B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shd w:val="clear" w:color="auto" w:fill="auto"/>
            <w:noWrap w:val="0"/>
            <w:vAlign w:val="center"/>
          </w:tcPr>
          <w:p w14:paraId="54E104F7">
            <w:pPr>
              <w:widowControl/>
              <w:spacing w:line="360" w:lineRule="auto"/>
              <w:rPr>
                <w:rFonts w:hint="eastAsia" w:ascii="宋体" w:hAnsi="宋体" w:cs="宋体"/>
                <w:sz w:val="24"/>
              </w:rPr>
            </w:pPr>
          </w:p>
        </w:tc>
        <w:tc>
          <w:tcPr>
            <w:tcW w:w="6716" w:type="dxa"/>
            <w:shd w:val="clear" w:color="auto" w:fill="FFFFFF"/>
            <w:noWrap w:val="0"/>
            <w:vAlign w:val="center"/>
          </w:tcPr>
          <w:p w14:paraId="29B8A6AF">
            <w:pPr>
              <w:spacing w:line="360" w:lineRule="auto"/>
              <w:rPr>
                <w:rFonts w:hint="eastAsia" w:ascii="宋体" w:hAnsi="宋体" w:cs="宋体"/>
                <w:sz w:val="24"/>
              </w:rPr>
            </w:pPr>
            <w:r>
              <w:rPr>
                <w:rFonts w:hint="eastAsia" w:ascii="宋体" w:hAnsi="宋体" w:cs="宋体"/>
                <w:sz w:val="24"/>
              </w:rPr>
              <w:t>本地数据零丢失，提供备份数据内容</w:t>
            </w:r>
          </w:p>
        </w:tc>
      </w:tr>
      <w:tr w14:paraId="33EC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shd w:val="clear" w:color="auto" w:fill="auto"/>
            <w:noWrap w:val="0"/>
            <w:vAlign w:val="center"/>
          </w:tcPr>
          <w:p w14:paraId="5F936E81">
            <w:pPr>
              <w:widowControl/>
              <w:spacing w:line="360" w:lineRule="auto"/>
              <w:rPr>
                <w:rFonts w:hint="eastAsia" w:ascii="宋体" w:hAnsi="宋体" w:cs="宋体"/>
                <w:sz w:val="24"/>
              </w:rPr>
            </w:pPr>
          </w:p>
        </w:tc>
        <w:tc>
          <w:tcPr>
            <w:tcW w:w="6716" w:type="dxa"/>
            <w:shd w:val="clear" w:color="auto" w:fill="FFFFFF"/>
            <w:noWrap w:val="0"/>
            <w:vAlign w:val="center"/>
          </w:tcPr>
          <w:p w14:paraId="26AEC314">
            <w:pPr>
              <w:spacing w:line="360" w:lineRule="auto"/>
              <w:rPr>
                <w:rFonts w:hint="eastAsia" w:ascii="宋体" w:hAnsi="宋体" w:cs="宋体"/>
                <w:sz w:val="24"/>
              </w:rPr>
            </w:pPr>
            <w:r>
              <w:rPr>
                <w:rFonts w:hint="eastAsia" w:ascii="宋体" w:hAnsi="宋体" w:cs="宋体"/>
                <w:sz w:val="24"/>
              </w:rPr>
              <w:t>支持NFS，CIFS，SAMBA等协议，可进行跨平台文件共享</w:t>
            </w:r>
          </w:p>
        </w:tc>
      </w:tr>
      <w:tr w14:paraId="73E2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shd w:val="clear" w:color="auto" w:fill="auto"/>
            <w:noWrap w:val="0"/>
            <w:vAlign w:val="center"/>
          </w:tcPr>
          <w:p w14:paraId="3BFD94DA">
            <w:pPr>
              <w:widowControl/>
              <w:spacing w:line="360" w:lineRule="auto"/>
              <w:rPr>
                <w:rFonts w:hint="eastAsia" w:ascii="宋体" w:hAnsi="宋体" w:cs="宋体"/>
                <w:sz w:val="24"/>
              </w:rPr>
            </w:pPr>
          </w:p>
        </w:tc>
        <w:tc>
          <w:tcPr>
            <w:tcW w:w="6716" w:type="dxa"/>
            <w:shd w:val="clear" w:color="auto" w:fill="FFFFFF"/>
            <w:noWrap w:val="0"/>
            <w:vAlign w:val="top"/>
          </w:tcPr>
          <w:p w14:paraId="30DDA1AD">
            <w:pPr>
              <w:spacing w:line="360" w:lineRule="auto"/>
              <w:rPr>
                <w:rFonts w:hint="eastAsia" w:ascii="宋体" w:hAnsi="宋体" w:cs="宋体"/>
                <w:sz w:val="24"/>
              </w:rPr>
            </w:pPr>
            <w:r>
              <w:rPr>
                <w:rFonts w:hint="eastAsia" w:ascii="宋体" w:hAnsi="宋体" w:cs="宋体"/>
                <w:sz w:val="24"/>
              </w:rPr>
              <w:t>支持存储快照，对系统盘、磁盘数据生成备份，快速恢复数据</w:t>
            </w:r>
          </w:p>
        </w:tc>
      </w:tr>
      <w:tr w14:paraId="7A7C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shd w:val="clear" w:color="auto" w:fill="auto"/>
            <w:noWrap w:val="0"/>
            <w:vAlign w:val="center"/>
          </w:tcPr>
          <w:p w14:paraId="5AE07D9A">
            <w:pPr>
              <w:widowControl/>
              <w:spacing w:line="360" w:lineRule="auto"/>
              <w:rPr>
                <w:rFonts w:hint="eastAsia" w:ascii="宋体" w:hAnsi="宋体" w:cs="宋体"/>
                <w:sz w:val="24"/>
              </w:rPr>
            </w:pPr>
          </w:p>
        </w:tc>
        <w:tc>
          <w:tcPr>
            <w:tcW w:w="6716" w:type="dxa"/>
            <w:shd w:val="clear" w:color="auto" w:fill="FFFFFF"/>
            <w:noWrap w:val="0"/>
            <w:vAlign w:val="top"/>
          </w:tcPr>
          <w:p w14:paraId="5DE9AD8C">
            <w:pPr>
              <w:spacing w:line="360" w:lineRule="auto"/>
              <w:rPr>
                <w:rFonts w:hint="eastAsia" w:ascii="宋体" w:hAnsi="宋体" w:cs="宋体"/>
                <w:sz w:val="24"/>
              </w:rPr>
            </w:pPr>
            <w:r>
              <w:rPr>
                <w:rFonts w:hint="eastAsia" w:ascii="宋体" w:hAnsi="宋体" w:cs="宋体"/>
                <w:sz w:val="24"/>
              </w:rPr>
              <w:t>支持云磁盘的创建、删除、挂载到一个特定的虚拟机，作为用户的数据盘使用，支持逻辑卷快照及恢复，支持逻辑卷按需扩容</w:t>
            </w:r>
          </w:p>
        </w:tc>
      </w:tr>
      <w:tr w14:paraId="14B3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shd w:val="clear" w:color="auto" w:fill="auto"/>
            <w:noWrap w:val="0"/>
            <w:vAlign w:val="center"/>
          </w:tcPr>
          <w:p w14:paraId="6F5CC462">
            <w:pPr>
              <w:widowControl/>
              <w:spacing w:line="360" w:lineRule="auto"/>
              <w:rPr>
                <w:rFonts w:hint="eastAsia" w:ascii="宋体" w:hAnsi="宋体" w:cs="宋体"/>
                <w:sz w:val="24"/>
              </w:rPr>
            </w:pPr>
          </w:p>
        </w:tc>
        <w:tc>
          <w:tcPr>
            <w:tcW w:w="6716" w:type="dxa"/>
            <w:shd w:val="clear" w:color="auto" w:fill="FFFFFF"/>
            <w:noWrap w:val="0"/>
            <w:vAlign w:val="top"/>
          </w:tcPr>
          <w:p w14:paraId="419EEC02">
            <w:pPr>
              <w:spacing w:line="360" w:lineRule="auto"/>
              <w:rPr>
                <w:rFonts w:hint="eastAsia" w:ascii="宋体" w:hAnsi="宋体" w:cs="宋体"/>
                <w:sz w:val="24"/>
              </w:rPr>
            </w:pPr>
            <w:r>
              <w:rPr>
                <w:rFonts w:hint="eastAsia" w:ascii="宋体" w:hAnsi="宋体" w:cs="宋体"/>
                <w:b/>
                <w:bCs/>
                <w:sz w:val="24"/>
              </w:rPr>
              <w:t>#</w:t>
            </w:r>
            <w:r>
              <w:rPr>
                <w:rFonts w:hint="eastAsia" w:ascii="宋体" w:hAnsi="宋体" w:cs="宋体"/>
                <w:sz w:val="24"/>
              </w:rPr>
              <w:t>块存储服务符合《云计算服务协议参考框架》要求（提供相关证明材料复印件并加盖证明材料持有人公章，证明材料持有人与投标人必须完全一致。）</w:t>
            </w:r>
          </w:p>
        </w:tc>
      </w:tr>
      <w:tr w14:paraId="1488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6" w:type="dxa"/>
            <w:vMerge w:val="continue"/>
            <w:shd w:val="clear" w:color="auto" w:fill="auto"/>
            <w:noWrap w:val="0"/>
            <w:vAlign w:val="center"/>
          </w:tcPr>
          <w:p w14:paraId="3B4D1237">
            <w:pPr>
              <w:widowControl/>
              <w:spacing w:line="360" w:lineRule="auto"/>
              <w:rPr>
                <w:rFonts w:hint="eastAsia" w:ascii="宋体" w:hAnsi="宋体" w:cs="宋体"/>
                <w:sz w:val="24"/>
              </w:rPr>
            </w:pPr>
          </w:p>
        </w:tc>
        <w:tc>
          <w:tcPr>
            <w:tcW w:w="6716" w:type="dxa"/>
            <w:shd w:val="clear" w:color="auto" w:fill="FFFFFF"/>
            <w:noWrap w:val="0"/>
            <w:vAlign w:val="top"/>
          </w:tcPr>
          <w:p w14:paraId="36E78991">
            <w:pPr>
              <w:spacing w:line="360" w:lineRule="auto"/>
              <w:rPr>
                <w:rFonts w:hint="eastAsia" w:ascii="宋体" w:hAnsi="宋体" w:cs="宋体"/>
                <w:sz w:val="24"/>
              </w:rPr>
            </w:pPr>
            <w:r>
              <w:rPr>
                <w:rFonts w:hint="eastAsia" w:ascii="宋体" w:hAnsi="宋体" w:cs="宋体"/>
                <w:b/>
                <w:bCs/>
                <w:sz w:val="24"/>
              </w:rPr>
              <w:t>#</w:t>
            </w:r>
            <w:r>
              <w:rPr>
                <w:rFonts w:hint="eastAsia" w:ascii="宋体" w:hAnsi="宋体" w:cs="宋体"/>
                <w:sz w:val="24"/>
              </w:rPr>
              <w:t>对象存储服务符合《云计算服务协议参考框架》要求（提供相关证明材料复印件并加盖证明材料持有人公章，证明材料持有人与投标人必须完全一致。）</w:t>
            </w:r>
          </w:p>
        </w:tc>
      </w:tr>
    </w:tbl>
    <w:p w14:paraId="12866CA3">
      <w:pPr>
        <w:adjustRightInd w:val="0"/>
        <w:spacing w:line="360" w:lineRule="auto"/>
        <w:ind w:firstLine="482" w:firstLineChars="200"/>
        <w:textAlignment w:val="baseline"/>
        <w:outlineLvl w:val="0"/>
        <w:rPr>
          <w:rFonts w:hint="eastAsia" w:ascii="宋体" w:hAnsi="宋体" w:cs="宋体"/>
          <w:b/>
          <w:sz w:val="24"/>
        </w:rPr>
      </w:pPr>
      <w:r>
        <w:rPr>
          <w:rFonts w:hint="eastAsia" w:ascii="宋体" w:hAnsi="宋体" w:cs="宋体"/>
          <w:b/>
          <w:sz w:val="24"/>
        </w:rPr>
        <w:t>2.1.3云平台技术需求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6830"/>
      </w:tblGrid>
      <w:tr w14:paraId="0FB3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21" w:type="dxa"/>
            <w:shd w:val="clear" w:color="auto" w:fill="D9D9D9"/>
            <w:noWrap w:val="0"/>
            <w:vAlign w:val="center"/>
          </w:tcPr>
          <w:p w14:paraId="34B89309">
            <w:pPr>
              <w:widowControl/>
              <w:spacing w:line="360" w:lineRule="auto"/>
              <w:jc w:val="center"/>
              <w:rPr>
                <w:rFonts w:hint="eastAsia" w:ascii="宋体" w:hAnsi="宋体" w:cs="宋体"/>
                <w:b/>
                <w:bCs/>
                <w:sz w:val="24"/>
              </w:rPr>
            </w:pPr>
            <w:r>
              <w:rPr>
                <w:rFonts w:hint="eastAsia" w:ascii="宋体" w:hAnsi="宋体" w:cs="宋体"/>
                <w:b/>
                <w:bCs/>
                <w:sz w:val="24"/>
              </w:rPr>
              <w:t>指标项</w:t>
            </w:r>
          </w:p>
        </w:tc>
        <w:tc>
          <w:tcPr>
            <w:tcW w:w="6830" w:type="dxa"/>
            <w:shd w:val="clear" w:color="auto" w:fill="D9D9D9"/>
            <w:noWrap w:val="0"/>
            <w:vAlign w:val="center"/>
          </w:tcPr>
          <w:p w14:paraId="5F1A885B">
            <w:pPr>
              <w:widowControl/>
              <w:spacing w:line="360" w:lineRule="auto"/>
              <w:jc w:val="center"/>
              <w:rPr>
                <w:rFonts w:hint="eastAsia" w:ascii="宋体" w:hAnsi="宋体" w:cs="宋体"/>
                <w:b/>
                <w:bCs/>
                <w:sz w:val="24"/>
              </w:rPr>
            </w:pPr>
            <w:r>
              <w:rPr>
                <w:rFonts w:hint="eastAsia" w:ascii="宋体" w:hAnsi="宋体" w:cs="宋体"/>
                <w:b/>
                <w:bCs/>
                <w:sz w:val="24"/>
              </w:rPr>
              <w:t>招标要求</w:t>
            </w:r>
          </w:p>
        </w:tc>
      </w:tr>
      <w:tr w14:paraId="7DE9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21" w:type="dxa"/>
            <w:vMerge w:val="restart"/>
            <w:noWrap w:val="0"/>
            <w:vAlign w:val="center"/>
          </w:tcPr>
          <w:p w14:paraId="7969C588">
            <w:pPr>
              <w:spacing w:line="360" w:lineRule="auto"/>
              <w:rPr>
                <w:rFonts w:hint="eastAsia" w:ascii="宋体" w:hAnsi="宋体" w:cs="宋体"/>
                <w:sz w:val="24"/>
              </w:rPr>
            </w:pPr>
            <w:r>
              <w:rPr>
                <w:rFonts w:hint="eastAsia" w:ascii="宋体" w:hAnsi="宋体" w:cs="宋体"/>
                <w:sz w:val="24"/>
              </w:rPr>
              <w:t>基本要求</w:t>
            </w:r>
          </w:p>
        </w:tc>
        <w:tc>
          <w:tcPr>
            <w:tcW w:w="6830" w:type="dxa"/>
            <w:noWrap w:val="0"/>
            <w:vAlign w:val="center"/>
          </w:tcPr>
          <w:p w14:paraId="07E5120D">
            <w:pPr>
              <w:spacing w:line="360" w:lineRule="auto"/>
              <w:rPr>
                <w:rFonts w:hint="eastAsia" w:ascii="宋体" w:hAnsi="宋体" w:cs="宋体"/>
                <w:sz w:val="24"/>
              </w:rPr>
            </w:pPr>
            <w:r>
              <w:rPr>
                <w:rFonts w:hint="eastAsia" w:ascii="宋体" w:hAnsi="宋体" w:cs="宋体"/>
                <w:sz w:val="24"/>
              </w:rPr>
              <w:t>云平台应具备不低于99.99%可用性标准，可支持用户自主配置主机、存储、网络、安全等资源，支持定制化开发</w:t>
            </w:r>
          </w:p>
        </w:tc>
      </w:tr>
      <w:tr w14:paraId="20D1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21" w:type="dxa"/>
            <w:vMerge w:val="continue"/>
            <w:noWrap w:val="0"/>
            <w:vAlign w:val="center"/>
          </w:tcPr>
          <w:p w14:paraId="378CE6B6">
            <w:pPr>
              <w:widowControl/>
              <w:spacing w:line="360" w:lineRule="auto"/>
              <w:rPr>
                <w:rFonts w:hint="eastAsia" w:ascii="宋体" w:hAnsi="宋体" w:cs="宋体"/>
                <w:sz w:val="24"/>
              </w:rPr>
            </w:pPr>
          </w:p>
        </w:tc>
        <w:tc>
          <w:tcPr>
            <w:tcW w:w="6830" w:type="dxa"/>
            <w:noWrap w:val="0"/>
            <w:vAlign w:val="center"/>
          </w:tcPr>
          <w:p w14:paraId="08C6EEA5">
            <w:pPr>
              <w:spacing w:line="360" w:lineRule="auto"/>
              <w:rPr>
                <w:rFonts w:hint="eastAsia" w:ascii="宋体" w:hAnsi="宋体" w:cs="宋体"/>
                <w:sz w:val="24"/>
              </w:rPr>
            </w:pPr>
            <w:r>
              <w:rPr>
                <w:rFonts w:hint="eastAsia" w:ascii="宋体" w:hAnsi="宋体" w:cs="宋体"/>
                <w:sz w:val="24"/>
              </w:rPr>
              <w:t>支持数据中心资源动态调度，可根据业务压力随时调整虚拟机数量，停机时间可控制在秒级</w:t>
            </w:r>
          </w:p>
        </w:tc>
      </w:tr>
      <w:tr w14:paraId="529B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21" w:type="dxa"/>
            <w:vMerge w:val="continue"/>
            <w:noWrap w:val="0"/>
            <w:vAlign w:val="center"/>
          </w:tcPr>
          <w:p w14:paraId="7D91FA52">
            <w:pPr>
              <w:widowControl/>
              <w:spacing w:line="360" w:lineRule="auto"/>
              <w:rPr>
                <w:rFonts w:hint="eastAsia" w:ascii="宋体" w:hAnsi="宋体" w:cs="宋体"/>
                <w:sz w:val="24"/>
              </w:rPr>
            </w:pPr>
          </w:p>
        </w:tc>
        <w:tc>
          <w:tcPr>
            <w:tcW w:w="6830" w:type="dxa"/>
            <w:noWrap w:val="0"/>
            <w:vAlign w:val="center"/>
          </w:tcPr>
          <w:p w14:paraId="06204CC0">
            <w:pPr>
              <w:spacing w:line="360" w:lineRule="auto"/>
              <w:rPr>
                <w:rFonts w:hint="eastAsia" w:ascii="宋体" w:hAnsi="宋体" w:cs="宋体"/>
                <w:sz w:val="24"/>
              </w:rPr>
            </w:pPr>
            <w:r>
              <w:rPr>
                <w:rFonts w:hint="eastAsia" w:ascii="宋体" w:hAnsi="宋体" w:cs="宋体"/>
                <w:sz w:val="24"/>
              </w:rPr>
              <w:t>支持对虚拟机CPU、内存、存储、带宽进行实时监控，并支持自定义告警规则</w:t>
            </w:r>
          </w:p>
        </w:tc>
      </w:tr>
      <w:tr w14:paraId="4195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321" w:type="dxa"/>
            <w:vMerge w:val="continue"/>
            <w:noWrap w:val="0"/>
            <w:vAlign w:val="center"/>
          </w:tcPr>
          <w:p w14:paraId="2E4214C5">
            <w:pPr>
              <w:widowControl/>
              <w:spacing w:line="360" w:lineRule="auto"/>
              <w:rPr>
                <w:rFonts w:hint="eastAsia" w:ascii="宋体" w:hAnsi="宋体" w:cs="宋体"/>
                <w:sz w:val="24"/>
              </w:rPr>
            </w:pPr>
          </w:p>
        </w:tc>
        <w:tc>
          <w:tcPr>
            <w:tcW w:w="6830" w:type="dxa"/>
            <w:noWrap w:val="0"/>
            <w:vAlign w:val="center"/>
          </w:tcPr>
          <w:p w14:paraId="09DD9BD6">
            <w:pPr>
              <w:spacing w:line="360" w:lineRule="auto"/>
              <w:rPr>
                <w:rFonts w:hint="eastAsia" w:ascii="宋体" w:hAnsi="宋体" w:cs="宋体"/>
                <w:sz w:val="24"/>
              </w:rPr>
            </w:pPr>
            <w:r>
              <w:rPr>
                <w:rFonts w:hint="eastAsia" w:ascii="宋体" w:hAnsi="宋体" w:cs="宋体"/>
                <w:sz w:val="24"/>
              </w:rPr>
              <w:t xml:space="preserve">支持用户自定义虚拟主机专用网络或VLAN，并支持7层和4层的软件负载均衡 </w:t>
            </w:r>
          </w:p>
        </w:tc>
      </w:tr>
      <w:tr w14:paraId="5BB4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21" w:type="dxa"/>
            <w:vMerge w:val="continue"/>
            <w:noWrap w:val="0"/>
            <w:vAlign w:val="center"/>
          </w:tcPr>
          <w:p w14:paraId="5E7DF23C">
            <w:pPr>
              <w:widowControl/>
              <w:spacing w:line="360" w:lineRule="auto"/>
              <w:rPr>
                <w:rFonts w:hint="eastAsia" w:ascii="宋体" w:hAnsi="宋体" w:cs="宋体"/>
                <w:sz w:val="24"/>
              </w:rPr>
            </w:pPr>
          </w:p>
        </w:tc>
        <w:tc>
          <w:tcPr>
            <w:tcW w:w="6830" w:type="dxa"/>
            <w:noWrap w:val="0"/>
            <w:vAlign w:val="center"/>
          </w:tcPr>
          <w:p w14:paraId="261C25C9">
            <w:pPr>
              <w:spacing w:line="360" w:lineRule="auto"/>
              <w:rPr>
                <w:rFonts w:hint="eastAsia" w:ascii="宋体" w:hAnsi="宋体" w:cs="宋体"/>
                <w:sz w:val="24"/>
              </w:rPr>
            </w:pPr>
            <w:r>
              <w:rPr>
                <w:rFonts w:hint="eastAsia" w:ascii="宋体" w:hAnsi="宋体" w:cs="宋体"/>
                <w:sz w:val="24"/>
              </w:rPr>
              <w:t>支持虚拟机的跨物理服务器的在线迁移</w:t>
            </w:r>
          </w:p>
        </w:tc>
      </w:tr>
      <w:tr w14:paraId="36FB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21" w:type="dxa"/>
            <w:vMerge w:val="continue"/>
            <w:noWrap w:val="0"/>
            <w:vAlign w:val="center"/>
          </w:tcPr>
          <w:p w14:paraId="6AE5F90B">
            <w:pPr>
              <w:widowControl/>
              <w:spacing w:line="360" w:lineRule="auto"/>
              <w:rPr>
                <w:rFonts w:hint="eastAsia" w:ascii="宋体" w:hAnsi="宋体" w:cs="宋体"/>
                <w:sz w:val="24"/>
              </w:rPr>
            </w:pPr>
          </w:p>
        </w:tc>
        <w:tc>
          <w:tcPr>
            <w:tcW w:w="6830" w:type="dxa"/>
            <w:noWrap w:val="0"/>
            <w:vAlign w:val="center"/>
          </w:tcPr>
          <w:p w14:paraId="0A47E5D8">
            <w:pPr>
              <w:spacing w:line="360" w:lineRule="auto"/>
              <w:rPr>
                <w:rFonts w:hint="eastAsia" w:ascii="宋体" w:hAnsi="宋体" w:cs="宋体"/>
                <w:sz w:val="24"/>
              </w:rPr>
            </w:pPr>
            <w:r>
              <w:rPr>
                <w:rFonts w:hint="eastAsia" w:ascii="宋体" w:hAnsi="宋体" w:cs="宋体"/>
                <w:sz w:val="24"/>
              </w:rPr>
              <w:t>支持用户自主进行虚拟资源的新建、添加、删除、启动、停止、资源释放和回收</w:t>
            </w:r>
          </w:p>
        </w:tc>
      </w:tr>
      <w:tr w14:paraId="3CB2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21" w:type="dxa"/>
            <w:vMerge w:val="continue"/>
            <w:noWrap w:val="0"/>
            <w:vAlign w:val="center"/>
          </w:tcPr>
          <w:p w14:paraId="0BEACBF6">
            <w:pPr>
              <w:widowControl/>
              <w:spacing w:line="360" w:lineRule="auto"/>
              <w:rPr>
                <w:rFonts w:hint="eastAsia" w:ascii="宋体" w:hAnsi="宋体" w:cs="宋体"/>
                <w:sz w:val="24"/>
              </w:rPr>
            </w:pPr>
          </w:p>
        </w:tc>
        <w:tc>
          <w:tcPr>
            <w:tcW w:w="6830" w:type="dxa"/>
            <w:noWrap w:val="0"/>
            <w:vAlign w:val="top"/>
          </w:tcPr>
          <w:p w14:paraId="068FA0AD">
            <w:pPr>
              <w:spacing w:line="360" w:lineRule="auto"/>
              <w:rPr>
                <w:rFonts w:hint="eastAsia" w:ascii="宋体" w:hAnsi="宋体" w:cs="宋体"/>
                <w:sz w:val="24"/>
              </w:rPr>
            </w:pPr>
            <w:r>
              <w:rPr>
                <w:rFonts w:hint="eastAsia" w:ascii="宋体" w:hAnsi="宋体" w:cs="宋体"/>
                <w:sz w:val="24"/>
              </w:rPr>
              <w:t>支持多种虚拟机调度模式，松散调度、紧凑调度、高可用调度等调度策略。其中高可用调度策略开放给云的租户</w:t>
            </w:r>
          </w:p>
        </w:tc>
      </w:tr>
      <w:tr w14:paraId="0B03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1" w:type="dxa"/>
            <w:vMerge w:val="continue"/>
            <w:noWrap w:val="0"/>
            <w:vAlign w:val="center"/>
          </w:tcPr>
          <w:p w14:paraId="6DE73A95">
            <w:pPr>
              <w:widowControl/>
              <w:spacing w:line="360" w:lineRule="auto"/>
              <w:rPr>
                <w:rFonts w:hint="eastAsia" w:ascii="宋体" w:hAnsi="宋体" w:cs="宋体"/>
                <w:sz w:val="24"/>
              </w:rPr>
            </w:pPr>
          </w:p>
        </w:tc>
        <w:tc>
          <w:tcPr>
            <w:tcW w:w="6830" w:type="dxa"/>
            <w:noWrap w:val="0"/>
            <w:vAlign w:val="top"/>
          </w:tcPr>
          <w:p w14:paraId="335B22CD">
            <w:pPr>
              <w:spacing w:line="360" w:lineRule="auto"/>
              <w:rPr>
                <w:rFonts w:hint="eastAsia" w:ascii="宋体" w:hAnsi="宋体" w:cs="宋体"/>
                <w:sz w:val="24"/>
              </w:rPr>
            </w:pPr>
            <w:r>
              <w:rPr>
                <w:rFonts w:hint="eastAsia" w:ascii="宋体" w:hAnsi="宋体" w:cs="宋体"/>
                <w:sz w:val="24"/>
              </w:rPr>
              <w:t>支持云平台租户自行指定云主机的网卡IP</w:t>
            </w:r>
          </w:p>
        </w:tc>
      </w:tr>
      <w:tr w14:paraId="3CB7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1" w:type="dxa"/>
            <w:vMerge w:val="continue"/>
            <w:noWrap w:val="0"/>
            <w:vAlign w:val="center"/>
          </w:tcPr>
          <w:p w14:paraId="6BF4E56A">
            <w:pPr>
              <w:widowControl/>
              <w:spacing w:line="360" w:lineRule="auto"/>
              <w:rPr>
                <w:rFonts w:hint="eastAsia" w:ascii="宋体" w:hAnsi="宋体" w:cs="宋体"/>
                <w:sz w:val="24"/>
              </w:rPr>
            </w:pPr>
          </w:p>
        </w:tc>
        <w:tc>
          <w:tcPr>
            <w:tcW w:w="6830" w:type="dxa"/>
            <w:noWrap w:val="0"/>
            <w:vAlign w:val="top"/>
          </w:tcPr>
          <w:p w14:paraId="1D7FE119">
            <w:pPr>
              <w:rPr>
                <w:rFonts w:hint="eastAsia" w:ascii="宋体" w:hAnsi="宋体" w:cs="宋体"/>
                <w:sz w:val="24"/>
              </w:rPr>
            </w:pPr>
            <w:r>
              <w:rPr>
                <w:rFonts w:hint="eastAsia" w:ascii="宋体" w:hAnsi="宋体" w:cs="宋体"/>
                <w:b/>
                <w:bCs/>
                <w:sz w:val="24"/>
              </w:rPr>
              <w:t>#</w:t>
            </w:r>
            <w:r>
              <w:rPr>
                <w:rFonts w:hint="eastAsia" w:ascii="宋体" w:hAnsi="宋体" w:cs="宋体"/>
                <w:sz w:val="24"/>
              </w:rPr>
              <w:t>云服务器、负载均衡(SLB)、云解析(DNS) 、对象存储(KS3)、API 网关、Web 应用防火墙(WAF) 、高防弹性 IP(KEAD) 、文件存储 KFS、对等连接(Peering)、云数据库 MySQL、托管 Hadoop(KMR)通过云服务IPv6支持能力测评，（提供通过相关检验的证明材料复印件并加盖证明材料持有人公章，证明材料持有人与投标人必须完全一致。）</w:t>
            </w:r>
          </w:p>
        </w:tc>
      </w:tr>
      <w:tr w14:paraId="5FF1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21" w:type="dxa"/>
            <w:vMerge w:val="continue"/>
            <w:noWrap w:val="0"/>
            <w:vAlign w:val="center"/>
          </w:tcPr>
          <w:p w14:paraId="354380E7">
            <w:pPr>
              <w:widowControl/>
              <w:spacing w:line="360" w:lineRule="auto"/>
              <w:rPr>
                <w:rFonts w:hint="eastAsia" w:ascii="宋体" w:hAnsi="宋体" w:cs="宋体"/>
                <w:sz w:val="24"/>
              </w:rPr>
            </w:pPr>
          </w:p>
        </w:tc>
        <w:tc>
          <w:tcPr>
            <w:tcW w:w="6830" w:type="dxa"/>
            <w:noWrap w:val="0"/>
            <w:vAlign w:val="top"/>
          </w:tcPr>
          <w:p w14:paraId="6A076398">
            <w:pPr>
              <w:rPr>
                <w:rFonts w:hint="eastAsia"/>
              </w:rPr>
            </w:pPr>
            <w:r>
              <w:rPr>
                <w:rFonts w:hint="eastAsia" w:ascii="宋体" w:hAnsi="宋体" w:cs="宋体"/>
                <w:b/>
                <w:bCs/>
                <w:sz w:val="24"/>
              </w:rPr>
              <w:t>#</w:t>
            </w:r>
            <w:r>
              <w:rPr>
                <w:rFonts w:hint="eastAsia" w:ascii="宋体" w:hAnsi="宋体" w:cs="宋体"/>
                <w:sz w:val="24"/>
              </w:rPr>
              <w:t>通过《云平台网络能力评估方法 第4部分：云组网》检验。（提供通过相关检验的证明材料复印件并加盖证明材料持有人公章，证明材料持有人与投标人必须完全一致。）</w:t>
            </w:r>
          </w:p>
        </w:tc>
      </w:tr>
    </w:tbl>
    <w:p w14:paraId="09F964C0">
      <w:pPr>
        <w:adjustRightInd w:val="0"/>
        <w:spacing w:line="360" w:lineRule="auto"/>
        <w:ind w:firstLine="482" w:firstLineChars="200"/>
        <w:textAlignment w:val="baseline"/>
        <w:outlineLvl w:val="0"/>
        <w:rPr>
          <w:rFonts w:hint="eastAsia" w:ascii="宋体" w:hAnsi="宋体" w:cs="宋体"/>
          <w:b/>
          <w:sz w:val="24"/>
        </w:rPr>
      </w:pPr>
      <w:r>
        <w:rPr>
          <w:rFonts w:hint="eastAsia" w:ascii="宋体" w:hAnsi="宋体" w:cs="宋体"/>
          <w:b/>
          <w:sz w:val="24"/>
        </w:rPr>
        <w:t>2.1.4备份服务技术需求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6956"/>
      </w:tblGrid>
      <w:tr w14:paraId="16CD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5" w:type="dxa"/>
            <w:shd w:val="clear" w:color="auto" w:fill="D9D9D9"/>
            <w:noWrap w:val="0"/>
            <w:vAlign w:val="center"/>
          </w:tcPr>
          <w:p w14:paraId="62E04C65">
            <w:pPr>
              <w:widowControl/>
              <w:spacing w:line="360" w:lineRule="auto"/>
              <w:jc w:val="center"/>
              <w:rPr>
                <w:rFonts w:hint="eastAsia" w:ascii="宋体" w:hAnsi="宋体" w:cs="宋体"/>
                <w:b/>
                <w:bCs/>
                <w:sz w:val="24"/>
              </w:rPr>
            </w:pPr>
            <w:r>
              <w:rPr>
                <w:rFonts w:hint="eastAsia" w:ascii="宋体" w:hAnsi="宋体" w:cs="宋体"/>
                <w:b/>
                <w:bCs/>
                <w:sz w:val="24"/>
              </w:rPr>
              <w:t>指标项</w:t>
            </w:r>
          </w:p>
        </w:tc>
        <w:tc>
          <w:tcPr>
            <w:tcW w:w="6956" w:type="dxa"/>
            <w:shd w:val="clear" w:color="auto" w:fill="D9D9D9"/>
            <w:noWrap w:val="0"/>
            <w:vAlign w:val="center"/>
          </w:tcPr>
          <w:p w14:paraId="5E44F59B">
            <w:pPr>
              <w:widowControl/>
              <w:spacing w:line="360" w:lineRule="auto"/>
              <w:jc w:val="center"/>
              <w:rPr>
                <w:rFonts w:hint="eastAsia" w:ascii="宋体" w:hAnsi="宋体" w:cs="宋体"/>
                <w:b/>
                <w:bCs/>
                <w:sz w:val="24"/>
              </w:rPr>
            </w:pPr>
            <w:r>
              <w:rPr>
                <w:rFonts w:hint="eastAsia" w:ascii="宋体" w:hAnsi="宋体" w:cs="宋体"/>
                <w:b/>
                <w:bCs/>
                <w:sz w:val="24"/>
              </w:rPr>
              <w:t>招标要求</w:t>
            </w:r>
          </w:p>
        </w:tc>
      </w:tr>
      <w:tr w14:paraId="158E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75" w:type="dxa"/>
            <w:vMerge w:val="restart"/>
            <w:shd w:val="clear" w:color="auto" w:fill="FFFFFF"/>
            <w:noWrap w:val="0"/>
            <w:vAlign w:val="center"/>
          </w:tcPr>
          <w:p w14:paraId="619F3B25">
            <w:pPr>
              <w:spacing w:line="360" w:lineRule="auto"/>
              <w:rPr>
                <w:rFonts w:hint="eastAsia" w:ascii="宋体" w:hAnsi="宋体" w:cs="宋体"/>
                <w:sz w:val="24"/>
              </w:rPr>
            </w:pPr>
            <w:r>
              <w:rPr>
                <w:rFonts w:hint="eastAsia" w:ascii="宋体" w:hAnsi="宋体" w:cs="宋体"/>
                <w:sz w:val="24"/>
              </w:rPr>
              <w:t>基本要求</w:t>
            </w:r>
          </w:p>
        </w:tc>
        <w:tc>
          <w:tcPr>
            <w:tcW w:w="6956" w:type="dxa"/>
            <w:shd w:val="clear" w:color="auto" w:fill="FFFFFF"/>
            <w:noWrap w:val="0"/>
            <w:vAlign w:val="center"/>
          </w:tcPr>
          <w:p w14:paraId="49FFAF34">
            <w:pPr>
              <w:spacing w:line="360" w:lineRule="auto"/>
              <w:rPr>
                <w:rFonts w:hint="eastAsia" w:ascii="宋体" w:hAnsi="宋体" w:cs="宋体"/>
                <w:sz w:val="24"/>
              </w:rPr>
            </w:pPr>
            <w:r>
              <w:rPr>
                <w:rFonts w:hint="eastAsia" w:ascii="宋体" w:hAnsi="宋体" w:cs="宋体"/>
                <w:sz w:val="24"/>
              </w:rPr>
              <w:t>采用B/S架构；支持生产端主流操作系统LINUX/Windows 平台；支持多种数据库类型包括Oracle、MS SQL Server、Mysql等，并且支持这些数据库的所有版本；</w:t>
            </w:r>
          </w:p>
        </w:tc>
      </w:tr>
      <w:tr w14:paraId="59C1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5" w:type="dxa"/>
            <w:vMerge w:val="continue"/>
            <w:noWrap w:val="0"/>
            <w:vAlign w:val="center"/>
          </w:tcPr>
          <w:p w14:paraId="61EEF17F">
            <w:pPr>
              <w:widowControl/>
              <w:spacing w:line="360" w:lineRule="auto"/>
              <w:rPr>
                <w:rFonts w:hint="eastAsia" w:ascii="宋体" w:hAnsi="宋体" w:cs="宋体"/>
                <w:sz w:val="24"/>
              </w:rPr>
            </w:pPr>
          </w:p>
        </w:tc>
        <w:tc>
          <w:tcPr>
            <w:tcW w:w="6956" w:type="dxa"/>
            <w:noWrap w:val="0"/>
            <w:vAlign w:val="center"/>
          </w:tcPr>
          <w:p w14:paraId="581CD540">
            <w:pPr>
              <w:spacing w:line="360" w:lineRule="auto"/>
              <w:rPr>
                <w:rFonts w:hint="eastAsia" w:ascii="宋体" w:hAnsi="宋体" w:cs="宋体"/>
                <w:sz w:val="24"/>
              </w:rPr>
            </w:pPr>
            <w:r>
              <w:rPr>
                <w:rFonts w:hint="eastAsia" w:ascii="宋体" w:hAnsi="宋体" w:cs="宋体"/>
                <w:sz w:val="24"/>
              </w:rPr>
              <w:t>基于服务器操作系统层，旁路监测被保护数据每次磁盘I/O的变化。实时监测每一笔磁盘写I/O操作，并以事件日志的方式记录。恢复时基于事件日志可以做任意时刻数据恢复；</w:t>
            </w:r>
          </w:p>
        </w:tc>
      </w:tr>
      <w:tr w14:paraId="664F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75" w:type="dxa"/>
            <w:vMerge w:val="continue"/>
            <w:noWrap w:val="0"/>
            <w:vAlign w:val="center"/>
          </w:tcPr>
          <w:p w14:paraId="15368CD6">
            <w:pPr>
              <w:widowControl/>
              <w:spacing w:line="360" w:lineRule="auto"/>
              <w:rPr>
                <w:rFonts w:hint="eastAsia" w:ascii="宋体" w:hAnsi="宋体" w:cs="宋体"/>
                <w:sz w:val="24"/>
              </w:rPr>
            </w:pPr>
          </w:p>
        </w:tc>
        <w:tc>
          <w:tcPr>
            <w:tcW w:w="6956" w:type="dxa"/>
            <w:noWrap w:val="0"/>
            <w:vAlign w:val="center"/>
          </w:tcPr>
          <w:p w14:paraId="4686F0A3">
            <w:pPr>
              <w:spacing w:line="360" w:lineRule="auto"/>
              <w:rPr>
                <w:rFonts w:hint="eastAsia" w:ascii="宋体" w:hAnsi="宋体" w:cs="宋体"/>
                <w:sz w:val="24"/>
              </w:rPr>
            </w:pPr>
            <w:r>
              <w:rPr>
                <w:rFonts w:hint="eastAsia" w:ascii="宋体" w:hAnsi="宋体" w:cs="宋体"/>
                <w:sz w:val="24"/>
              </w:rPr>
              <w:t>生产端到灾备端数据传输时要基于字节级实时数据传输而非存储块级；</w:t>
            </w:r>
          </w:p>
        </w:tc>
      </w:tr>
      <w:tr w14:paraId="0DFA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75" w:type="dxa"/>
            <w:vMerge w:val="continue"/>
            <w:noWrap w:val="0"/>
            <w:vAlign w:val="center"/>
          </w:tcPr>
          <w:p w14:paraId="58BC02D8">
            <w:pPr>
              <w:widowControl/>
              <w:spacing w:line="360" w:lineRule="auto"/>
              <w:rPr>
                <w:rFonts w:hint="eastAsia" w:ascii="宋体" w:hAnsi="宋体" w:cs="宋体"/>
                <w:sz w:val="24"/>
              </w:rPr>
            </w:pPr>
          </w:p>
        </w:tc>
        <w:tc>
          <w:tcPr>
            <w:tcW w:w="6956" w:type="dxa"/>
            <w:noWrap w:val="0"/>
            <w:vAlign w:val="center"/>
          </w:tcPr>
          <w:p w14:paraId="48566002">
            <w:pPr>
              <w:spacing w:line="360" w:lineRule="auto"/>
              <w:rPr>
                <w:rFonts w:hint="eastAsia" w:ascii="宋体" w:hAnsi="宋体" w:cs="宋体"/>
                <w:sz w:val="24"/>
              </w:rPr>
            </w:pPr>
            <w:r>
              <w:rPr>
                <w:rFonts w:hint="eastAsia" w:ascii="宋体" w:hAnsi="宋体" w:cs="宋体"/>
                <w:sz w:val="24"/>
              </w:rPr>
              <w:t>支持实时、定时两种备份方式；支持一对一、一对多、多对一、级联、双向等部署方式，且在多对一复制时备份端只需配置一套备份端软件；</w:t>
            </w:r>
          </w:p>
        </w:tc>
      </w:tr>
      <w:tr w14:paraId="7B37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75" w:type="dxa"/>
            <w:vMerge w:val="continue"/>
            <w:noWrap w:val="0"/>
            <w:vAlign w:val="center"/>
          </w:tcPr>
          <w:p w14:paraId="11A223A7">
            <w:pPr>
              <w:widowControl/>
              <w:spacing w:line="360" w:lineRule="auto"/>
              <w:rPr>
                <w:rFonts w:hint="eastAsia" w:ascii="宋体" w:hAnsi="宋体" w:cs="宋体"/>
                <w:sz w:val="24"/>
              </w:rPr>
            </w:pPr>
          </w:p>
        </w:tc>
        <w:tc>
          <w:tcPr>
            <w:tcW w:w="6956" w:type="dxa"/>
            <w:noWrap w:val="0"/>
            <w:vAlign w:val="center"/>
          </w:tcPr>
          <w:p w14:paraId="1C050006">
            <w:pPr>
              <w:spacing w:line="360" w:lineRule="auto"/>
              <w:rPr>
                <w:rFonts w:hint="eastAsia" w:ascii="宋体" w:hAnsi="宋体" w:cs="宋体"/>
                <w:sz w:val="24"/>
              </w:rPr>
            </w:pPr>
            <w:r>
              <w:rPr>
                <w:rFonts w:hint="eastAsia" w:ascii="宋体" w:hAnsi="宋体" w:cs="宋体"/>
                <w:sz w:val="24"/>
              </w:rPr>
              <w:t>服务器主机层做应用/数据库高可用，不依赖于某个具体的硬件平台；</w:t>
            </w:r>
          </w:p>
        </w:tc>
      </w:tr>
      <w:tr w14:paraId="5C93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75" w:type="dxa"/>
            <w:vMerge w:val="continue"/>
            <w:noWrap w:val="0"/>
            <w:vAlign w:val="center"/>
          </w:tcPr>
          <w:p w14:paraId="31164804">
            <w:pPr>
              <w:widowControl/>
              <w:spacing w:line="360" w:lineRule="auto"/>
              <w:rPr>
                <w:rFonts w:hint="eastAsia" w:ascii="宋体" w:hAnsi="宋体" w:cs="宋体"/>
                <w:sz w:val="24"/>
              </w:rPr>
            </w:pPr>
          </w:p>
        </w:tc>
        <w:tc>
          <w:tcPr>
            <w:tcW w:w="6956" w:type="dxa"/>
            <w:noWrap w:val="0"/>
            <w:vAlign w:val="center"/>
          </w:tcPr>
          <w:p w14:paraId="77155303">
            <w:pPr>
              <w:spacing w:line="360" w:lineRule="auto"/>
              <w:rPr>
                <w:rFonts w:hint="eastAsia" w:ascii="宋体" w:hAnsi="宋体" w:cs="宋体"/>
                <w:sz w:val="24"/>
              </w:rPr>
            </w:pPr>
            <w:r>
              <w:rPr>
                <w:rFonts w:hint="eastAsia" w:ascii="宋体" w:hAnsi="宋体" w:cs="宋体"/>
                <w:sz w:val="24"/>
              </w:rPr>
              <w:t>支持主机/备机之间实时数据同步，基于主机被保护数据每一笔磁盘I/O操作，以字节的方式高效的传输到备机进行数据同步；</w:t>
            </w:r>
          </w:p>
        </w:tc>
      </w:tr>
      <w:tr w14:paraId="1FE1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5" w:type="dxa"/>
            <w:vMerge w:val="continue"/>
            <w:noWrap w:val="0"/>
            <w:vAlign w:val="center"/>
          </w:tcPr>
          <w:p w14:paraId="2F605B09">
            <w:pPr>
              <w:widowControl/>
              <w:spacing w:line="360" w:lineRule="auto"/>
              <w:rPr>
                <w:rFonts w:hint="eastAsia" w:ascii="宋体" w:hAnsi="宋体" w:cs="宋体"/>
                <w:sz w:val="24"/>
              </w:rPr>
            </w:pPr>
          </w:p>
        </w:tc>
        <w:tc>
          <w:tcPr>
            <w:tcW w:w="6956" w:type="dxa"/>
            <w:noWrap w:val="0"/>
            <w:vAlign w:val="center"/>
          </w:tcPr>
          <w:p w14:paraId="27021A19">
            <w:pPr>
              <w:spacing w:line="360" w:lineRule="auto"/>
              <w:rPr>
                <w:rFonts w:hint="eastAsia" w:ascii="宋体" w:hAnsi="宋体" w:cs="宋体"/>
                <w:sz w:val="24"/>
              </w:rPr>
            </w:pPr>
            <w:r>
              <w:rPr>
                <w:rFonts w:hint="eastAsia" w:ascii="宋体" w:hAnsi="宋体" w:cs="宋体"/>
                <w:sz w:val="24"/>
              </w:rPr>
              <w:t>支持缓存和断点续传机制。当备份端硬件故障或网络传输异常中断时，自动缓存生产端数据库的新增数据，系统或网络故障恢复后自动实现断点续传；</w:t>
            </w:r>
          </w:p>
        </w:tc>
      </w:tr>
      <w:tr w14:paraId="761F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75" w:type="dxa"/>
            <w:vMerge w:val="continue"/>
            <w:noWrap w:val="0"/>
            <w:vAlign w:val="center"/>
          </w:tcPr>
          <w:p w14:paraId="764C6CB6">
            <w:pPr>
              <w:widowControl/>
              <w:spacing w:line="360" w:lineRule="auto"/>
              <w:rPr>
                <w:rFonts w:hint="eastAsia" w:ascii="宋体" w:hAnsi="宋体" w:cs="宋体"/>
                <w:sz w:val="24"/>
              </w:rPr>
            </w:pPr>
          </w:p>
        </w:tc>
        <w:tc>
          <w:tcPr>
            <w:tcW w:w="6956" w:type="dxa"/>
            <w:noWrap w:val="0"/>
            <w:vAlign w:val="center"/>
          </w:tcPr>
          <w:p w14:paraId="61064083">
            <w:pPr>
              <w:spacing w:line="360" w:lineRule="auto"/>
              <w:rPr>
                <w:rFonts w:hint="eastAsia" w:ascii="宋体" w:hAnsi="宋体" w:cs="宋体"/>
                <w:sz w:val="24"/>
              </w:rPr>
            </w:pPr>
            <w:r>
              <w:rPr>
                <w:rFonts w:hint="eastAsia" w:ascii="宋体" w:hAnsi="宋体" w:cs="宋体"/>
                <w:sz w:val="24"/>
              </w:rPr>
              <w:t>图形化管理方式，无需命令行操作；</w:t>
            </w:r>
          </w:p>
        </w:tc>
      </w:tr>
    </w:tbl>
    <w:p w14:paraId="735E4B22">
      <w:pPr>
        <w:adjustRightInd w:val="0"/>
        <w:spacing w:line="360" w:lineRule="auto"/>
        <w:ind w:firstLine="482" w:firstLineChars="200"/>
        <w:textAlignment w:val="baseline"/>
        <w:outlineLvl w:val="0"/>
        <w:rPr>
          <w:rFonts w:hint="eastAsia" w:ascii="宋体" w:hAnsi="宋体" w:cs="宋体"/>
          <w:b/>
          <w:sz w:val="24"/>
        </w:rPr>
      </w:pPr>
      <w:r>
        <w:rPr>
          <w:rFonts w:hint="eastAsia" w:ascii="宋体" w:hAnsi="宋体" w:cs="宋体"/>
          <w:b/>
          <w:sz w:val="24"/>
        </w:rPr>
        <w:t>2.1.5扩展服务技术需求</w:t>
      </w:r>
    </w:p>
    <w:p w14:paraId="6CF48F11">
      <w:pPr>
        <w:numPr>
          <w:ilvl w:val="0"/>
          <w:numId w:val="1"/>
        </w:numPr>
        <w:adjustRightInd w:val="0"/>
        <w:spacing w:line="360" w:lineRule="auto"/>
        <w:textAlignment w:val="baseline"/>
        <w:outlineLvl w:val="0"/>
        <w:rPr>
          <w:rFonts w:hint="eastAsia" w:ascii="宋体" w:hAnsi="宋体" w:cs="宋体"/>
          <w:color w:val="000000"/>
          <w:sz w:val="24"/>
        </w:rPr>
      </w:pPr>
      <w:r>
        <w:rPr>
          <w:rFonts w:hint="eastAsia" w:ascii="宋体" w:hAnsi="宋体" w:cs="宋体"/>
          <w:color w:val="000000"/>
          <w:sz w:val="24"/>
        </w:rPr>
        <w:t>采购要求</w:t>
      </w:r>
    </w:p>
    <w:p w14:paraId="7B41AD80">
      <w:pPr>
        <w:numPr>
          <w:ilvl w:val="0"/>
          <w:numId w:val="2"/>
        </w:numPr>
        <w:adjustRightInd w:val="0"/>
        <w:spacing w:line="360" w:lineRule="auto"/>
        <w:textAlignment w:val="baseline"/>
        <w:outlineLvl w:val="0"/>
        <w:rPr>
          <w:rFonts w:ascii="宋体" w:hAnsi="宋体" w:cs="宋体"/>
          <w:color w:val="000000"/>
          <w:sz w:val="24"/>
        </w:rPr>
      </w:pPr>
      <w:r>
        <w:rPr>
          <w:rFonts w:hint="eastAsia" w:ascii="宋体" w:hAnsi="宋体" w:cs="宋体"/>
          <w:color w:val="000000"/>
          <w:sz w:val="24"/>
        </w:rPr>
        <w:t>国产操作系统</w:t>
      </w:r>
    </w:p>
    <w:p w14:paraId="48CF8023">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按照采购人的有关管理规定及需求，提供国产操作系统租用、安装及维护，并协助安装采购人提供的商用操作系统，配合开展维护等工作。</w:t>
      </w:r>
    </w:p>
    <w:p w14:paraId="52B91173">
      <w:pPr>
        <w:numPr>
          <w:ilvl w:val="0"/>
          <w:numId w:val="2"/>
        </w:numPr>
        <w:adjustRightInd w:val="0"/>
        <w:spacing w:line="360" w:lineRule="auto"/>
        <w:textAlignment w:val="baseline"/>
        <w:outlineLvl w:val="0"/>
        <w:rPr>
          <w:rFonts w:hint="eastAsia" w:ascii="宋体" w:hAnsi="宋体" w:cs="宋体"/>
          <w:color w:val="000000"/>
          <w:sz w:val="24"/>
        </w:rPr>
      </w:pPr>
      <w:r>
        <w:rPr>
          <w:rFonts w:hint="eastAsia" w:ascii="宋体" w:hAnsi="宋体" w:cs="宋体"/>
          <w:color w:val="000000"/>
          <w:sz w:val="24"/>
        </w:rPr>
        <w:t>云端APT防护服务</w:t>
      </w:r>
    </w:p>
    <w:p w14:paraId="52FE63D4">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按照采购人的有关管理规定及需求，提供对未知攻击威胁进行检测和防护，发现隐蔽威胁、木马后门等异常威胁。</w:t>
      </w:r>
    </w:p>
    <w:p w14:paraId="0D37EE91">
      <w:pPr>
        <w:numPr>
          <w:ilvl w:val="0"/>
          <w:numId w:val="2"/>
        </w:numPr>
        <w:adjustRightInd w:val="0"/>
        <w:spacing w:line="360" w:lineRule="auto"/>
        <w:textAlignment w:val="baseline"/>
        <w:outlineLvl w:val="0"/>
        <w:rPr>
          <w:rFonts w:hint="eastAsia" w:ascii="宋体" w:hAnsi="宋体" w:cs="宋体"/>
          <w:color w:val="000000"/>
          <w:sz w:val="24"/>
        </w:rPr>
      </w:pPr>
      <w:r>
        <w:rPr>
          <w:rFonts w:hint="eastAsia" w:ascii="宋体" w:hAnsi="宋体" w:cs="宋体"/>
          <w:color w:val="000000"/>
          <w:sz w:val="24"/>
        </w:rPr>
        <w:t>主机杀毒服务</w:t>
      </w:r>
    </w:p>
    <w:p w14:paraId="7A607A84">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按照采购人的有关管理规定及具体需求，提供主机杀毒服务。对云主机进行定期的病毒查杀，杀毒软件集中控制，对网络性能无影响。</w:t>
      </w:r>
    </w:p>
    <w:p w14:paraId="1D3D149F">
      <w:pPr>
        <w:numPr>
          <w:ilvl w:val="0"/>
          <w:numId w:val="2"/>
        </w:numPr>
        <w:adjustRightInd w:val="0"/>
        <w:spacing w:line="360" w:lineRule="auto"/>
        <w:textAlignment w:val="baseline"/>
        <w:outlineLvl w:val="0"/>
        <w:rPr>
          <w:rFonts w:hint="eastAsia" w:ascii="宋体" w:hAnsi="宋体" w:cs="宋体"/>
          <w:color w:val="000000"/>
          <w:sz w:val="24"/>
        </w:rPr>
      </w:pPr>
      <w:r>
        <w:rPr>
          <w:rFonts w:hint="eastAsia" w:ascii="宋体" w:hAnsi="宋体" w:cs="宋体"/>
          <w:color w:val="000000"/>
          <w:sz w:val="24"/>
        </w:rPr>
        <w:t>主机防护</w:t>
      </w:r>
    </w:p>
    <w:p w14:paraId="5942C777">
      <w:pPr>
        <w:adjustRightInd w:val="0"/>
        <w:snapToGrid w:val="0"/>
        <w:spacing w:line="360" w:lineRule="auto"/>
        <w:ind w:firstLine="420"/>
        <w:rPr>
          <w:rFonts w:hint="eastAsia" w:ascii="宋体" w:hAnsi="宋体" w:cs="宋体"/>
          <w:color w:val="000000"/>
          <w:sz w:val="24"/>
        </w:rPr>
      </w:pPr>
      <w:r>
        <w:rPr>
          <w:rFonts w:hint="eastAsia" w:ascii="宋体" w:hAnsi="宋体" w:cs="宋体"/>
          <w:color w:val="000000"/>
          <w:sz w:val="24"/>
        </w:rPr>
        <w:t>按照采购人的有关管理规定及具体需求，提供主机防护服务。针对数据库主机进行主机防护；主机防护：提供符合等保三级要求的主机权限管理及安全防护。</w:t>
      </w:r>
    </w:p>
    <w:p w14:paraId="19D5CECB">
      <w:pPr>
        <w:numPr>
          <w:ilvl w:val="0"/>
          <w:numId w:val="2"/>
        </w:numPr>
        <w:adjustRightInd w:val="0"/>
        <w:spacing w:line="360" w:lineRule="auto"/>
        <w:textAlignment w:val="baseline"/>
        <w:outlineLvl w:val="0"/>
        <w:rPr>
          <w:rFonts w:hint="eastAsia" w:ascii="宋体" w:hAnsi="宋体" w:cs="宋体"/>
          <w:color w:val="000000"/>
          <w:sz w:val="24"/>
        </w:rPr>
      </w:pPr>
      <w:r>
        <w:rPr>
          <w:rFonts w:hint="eastAsia" w:ascii="宋体" w:hAnsi="宋体" w:cs="宋体"/>
          <w:color w:val="000000"/>
          <w:sz w:val="24"/>
        </w:rPr>
        <w:t>主机安全加固</w:t>
      </w:r>
    </w:p>
    <w:p w14:paraId="22C1DFB8">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按照采购人的有关管理规定及具体需求，提供主机安全加固服务。针对漏扫或等级测评结果对操作系统进行安全加固，用以解决等级测评结果中所显示的漏洞。</w:t>
      </w:r>
    </w:p>
    <w:p w14:paraId="3E3EC44E">
      <w:pPr>
        <w:numPr>
          <w:ilvl w:val="0"/>
          <w:numId w:val="2"/>
        </w:numPr>
        <w:adjustRightInd w:val="0"/>
        <w:spacing w:line="360" w:lineRule="auto"/>
        <w:textAlignment w:val="baseline"/>
        <w:outlineLvl w:val="0"/>
        <w:rPr>
          <w:rFonts w:hint="eastAsia" w:ascii="宋体" w:hAnsi="宋体" w:cs="宋体"/>
          <w:color w:val="000000"/>
          <w:sz w:val="24"/>
        </w:rPr>
      </w:pPr>
      <w:r>
        <w:rPr>
          <w:rFonts w:hint="eastAsia" w:ascii="宋体" w:hAnsi="宋体" w:cs="宋体"/>
          <w:color w:val="000000"/>
          <w:sz w:val="24"/>
        </w:rPr>
        <w:t>云端抗DDOS服务</w:t>
      </w:r>
    </w:p>
    <w:p w14:paraId="09BC8D12">
      <w:pPr>
        <w:adjustRightInd w:val="0"/>
        <w:snapToGrid w:val="0"/>
        <w:spacing w:line="360" w:lineRule="auto"/>
        <w:ind w:firstLine="420"/>
        <w:rPr>
          <w:rFonts w:hint="eastAsia" w:ascii="宋体" w:hAnsi="宋体" w:cs="宋体"/>
          <w:color w:val="000000"/>
          <w:sz w:val="24"/>
        </w:rPr>
      </w:pPr>
      <w:r>
        <w:rPr>
          <w:rFonts w:hint="eastAsia" w:ascii="宋体" w:hAnsi="宋体" w:cs="宋体"/>
          <w:color w:val="000000"/>
          <w:sz w:val="24"/>
        </w:rPr>
        <w:t>按照采购人的有关管理规定及具体需求，提供云端抗DDOS服务。根据流量提供云端抗DDOS服务，避免业务遭受拒绝服务攻击（攻击流量在10G以内）</w:t>
      </w:r>
    </w:p>
    <w:p w14:paraId="1C9F5133">
      <w:pPr>
        <w:numPr>
          <w:ilvl w:val="0"/>
          <w:numId w:val="2"/>
        </w:numPr>
        <w:adjustRightInd w:val="0"/>
        <w:spacing w:line="360" w:lineRule="auto"/>
        <w:textAlignment w:val="baseline"/>
        <w:outlineLvl w:val="0"/>
        <w:rPr>
          <w:rFonts w:hint="eastAsia" w:ascii="宋体" w:hAnsi="宋体" w:cs="宋体"/>
          <w:color w:val="000000"/>
          <w:sz w:val="24"/>
        </w:rPr>
      </w:pPr>
      <w:r>
        <w:rPr>
          <w:rFonts w:hint="eastAsia" w:ascii="宋体" w:hAnsi="宋体" w:cs="宋体"/>
          <w:color w:val="000000"/>
          <w:sz w:val="24"/>
        </w:rPr>
        <w:t>网页防篡改服务</w:t>
      </w:r>
    </w:p>
    <w:p w14:paraId="1660EB91">
      <w:pPr>
        <w:adjustRightInd w:val="0"/>
        <w:snapToGrid w:val="0"/>
        <w:spacing w:line="360" w:lineRule="auto"/>
        <w:ind w:left="420" w:leftChars="200"/>
        <w:rPr>
          <w:rFonts w:hint="eastAsia" w:ascii="宋体" w:hAnsi="宋体" w:cs="宋体"/>
          <w:color w:val="000000"/>
          <w:sz w:val="24"/>
        </w:rPr>
      </w:pPr>
      <w:r>
        <w:rPr>
          <w:rFonts w:hint="eastAsia" w:ascii="宋体" w:hAnsi="宋体" w:cs="宋体"/>
          <w:color w:val="000000"/>
          <w:sz w:val="24"/>
        </w:rPr>
        <w:t>按照采购人的有关管理规定及具体需求，提供网页防篡改服务。</w:t>
      </w:r>
    </w:p>
    <w:p w14:paraId="524E3D86">
      <w:pPr>
        <w:numPr>
          <w:ilvl w:val="0"/>
          <w:numId w:val="2"/>
        </w:numPr>
        <w:adjustRightInd w:val="0"/>
        <w:spacing w:line="360" w:lineRule="auto"/>
        <w:textAlignment w:val="baseline"/>
        <w:outlineLvl w:val="0"/>
        <w:rPr>
          <w:rFonts w:hint="eastAsia" w:ascii="宋体" w:hAnsi="宋体" w:cs="宋体"/>
          <w:color w:val="000000"/>
          <w:sz w:val="24"/>
        </w:rPr>
      </w:pPr>
      <w:r>
        <w:rPr>
          <w:rFonts w:hint="eastAsia" w:ascii="宋体" w:hAnsi="宋体" w:cs="宋体"/>
          <w:color w:val="000000"/>
          <w:sz w:val="24"/>
        </w:rPr>
        <w:t>主机日志分析</w:t>
      </w:r>
    </w:p>
    <w:p w14:paraId="086F9CBE">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按照采购人的有关管理规定及具体需求，提供主机日志分析服务。利用云主机日志分析技术对云主机日志进行分析、管理及合规性存储，增强云主机日志方面的监管能力。</w:t>
      </w:r>
    </w:p>
    <w:p w14:paraId="1D250EA2">
      <w:pPr>
        <w:numPr>
          <w:ilvl w:val="0"/>
          <w:numId w:val="2"/>
        </w:numPr>
        <w:adjustRightInd w:val="0"/>
        <w:spacing w:line="360" w:lineRule="auto"/>
        <w:textAlignment w:val="baseline"/>
        <w:outlineLvl w:val="0"/>
        <w:rPr>
          <w:rFonts w:hint="eastAsia" w:ascii="宋体" w:hAnsi="宋体" w:cs="宋体"/>
          <w:color w:val="000000"/>
          <w:sz w:val="24"/>
        </w:rPr>
      </w:pPr>
      <w:r>
        <w:rPr>
          <w:rFonts w:hint="eastAsia" w:ascii="宋体" w:hAnsi="宋体" w:cs="宋体"/>
          <w:color w:val="000000"/>
          <w:sz w:val="24"/>
        </w:rPr>
        <w:t>数据库审计服务</w:t>
      </w:r>
    </w:p>
    <w:p w14:paraId="5846AA49">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按照采购人的有关管理规定及具体需求，提供数据库审计服务。对入云业务系统的数据库进行日常操作审计，需支持Tdsql、Oracle、SQL-Server、DB2、MySQL等数据库审计。</w:t>
      </w:r>
    </w:p>
    <w:p w14:paraId="2EE42CBC">
      <w:pPr>
        <w:numPr>
          <w:ilvl w:val="0"/>
          <w:numId w:val="2"/>
        </w:numPr>
        <w:adjustRightInd w:val="0"/>
        <w:spacing w:line="360" w:lineRule="auto"/>
        <w:textAlignment w:val="baseline"/>
        <w:outlineLvl w:val="0"/>
        <w:rPr>
          <w:rFonts w:hint="eastAsia" w:ascii="宋体" w:hAnsi="宋体" w:cs="宋体"/>
          <w:color w:val="000000"/>
          <w:sz w:val="24"/>
        </w:rPr>
      </w:pPr>
      <w:r>
        <w:rPr>
          <w:rFonts w:hint="eastAsia" w:ascii="宋体" w:hAnsi="宋体" w:cs="宋体"/>
          <w:color w:val="000000"/>
          <w:sz w:val="24"/>
        </w:rPr>
        <w:t>主机漏洞扫描</w:t>
      </w:r>
    </w:p>
    <w:p w14:paraId="68294A22">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按照采购人的有关管理规定及具体需求，提供主机漏洞扫描服务。包含但不限于主机层面、数据库层面、应用层面的安全扫描，并反馈相关结果。</w:t>
      </w:r>
    </w:p>
    <w:p w14:paraId="69D8AFEF">
      <w:pPr>
        <w:numPr>
          <w:ilvl w:val="0"/>
          <w:numId w:val="2"/>
        </w:numPr>
        <w:adjustRightInd w:val="0"/>
        <w:spacing w:line="360" w:lineRule="auto"/>
        <w:textAlignment w:val="baseline"/>
        <w:outlineLvl w:val="0"/>
        <w:rPr>
          <w:rFonts w:hint="eastAsia" w:ascii="宋体" w:hAnsi="宋体" w:cs="宋体"/>
          <w:color w:val="000000"/>
          <w:sz w:val="24"/>
        </w:rPr>
      </w:pPr>
      <w:r>
        <w:rPr>
          <w:rFonts w:hint="eastAsia" w:ascii="宋体" w:hAnsi="宋体" w:cs="宋体"/>
          <w:color w:val="000000"/>
          <w:sz w:val="24"/>
        </w:rPr>
        <w:t>特殊时期安全专家分析</w:t>
      </w:r>
    </w:p>
    <w:p w14:paraId="1D87C2B6">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按照采购人的有关管理规定及具体需求，提供特殊时期安全专家分析服务。主要提供与安全相关的人工服务，安全隐患分析、安全培训、应急处置服务、木马病毒分析、日志隐患分析等服务。分析报告、人工协助解决隐患、解决方案等。</w:t>
      </w:r>
    </w:p>
    <w:p w14:paraId="4CD220C3">
      <w:pPr>
        <w:numPr>
          <w:ilvl w:val="0"/>
          <w:numId w:val="2"/>
        </w:numPr>
        <w:adjustRightInd w:val="0"/>
        <w:spacing w:line="360" w:lineRule="auto"/>
        <w:textAlignment w:val="baseline"/>
        <w:outlineLvl w:val="0"/>
        <w:rPr>
          <w:rFonts w:hint="eastAsia" w:ascii="宋体" w:hAnsi="宋体" w:cs="宋体"/>
          <w:color w:val="000000"/>
          <w:sz w:val="24"/>
        </w:rPr>
      </w:pPr>
      <w:r>
        <w:rPr>
          <w:rFonts w:hint="eastAsia" w:ascii="宋体" w:hAnsi="宋体" w:cs="宋体"/>
          <w:color w:val="000000"/>
          <w:sz w:val="24"/>
        </w:rPr>
        <w:t>达梦数据库</w:t>
      </w:r>
    </w:p>
    <w:p w14:paraId="615E7BD4">
      <w:pPr>
        <w:adjustRightInd w:val="0"/>
        <w:snapToGrid w:val="0"/>
        <w:spacing w:line="360" w:lineRule="auto"/>
        <w:ind w:left="420" w:leftChars="200"/>
        <w:rPr>
          <w:rFonts w:hint="eastAsia" w:ascii="宋体" w:hAnsi="宋体" w:cs="宋体"/>
          <w:color w:val="000000"/>
          <w:sz w:val="24"/>
        </w:rPr>
      </w:pPr>
      <w:r>
        <w:rPr>
          <w:rFonts w:hint="eastAsia" w:ascii="宋体" w:hAnsi="宋体" w:cs="宋体"/>
          <w:color w:val="000000"/>
          <w:sz w:val="24"/>
        </w:rPr>
        <w:t>按照采购人的有关管理规定及具体需求，提供数据库服务</w:t>
      </w:r>
    </w:p>
    <w:p w14:paraId="70911DAA">
      <w:pPr>
        <w:numPr>
          <w:ilvl w:val="0"/>
          <w:numId w:val="2"/>
        </w:numPr>
        <w:adjustRightInd w:val="0"/>
        <w:spacing w:line="360" w:lineRule="auto"/>
        <w:textAlignment w:val="baseline"/>
        <w:outlineLvl w:val="0"/>
        <w:rPr>
          <w:rFonts w:hint="eastAsia" w:ascii="宋体" w:hAnsi="宋体" w:cs="宋体"/>
          <w:color w:val="000000"/>
          <w:sz w:val="24"/>
        </w:rPr>
      </w:pPr>
      <w:r>
        <w:rPr>
          <w:rFonts w:hint="eastAsia" w:ascii="宋体" w:hAnsi="宋体" w:cs="宋体"/>
          <w:color w:val="000000"/>
          <w:sz w:val="24"/>
        </w:rPr>
        <w:t>商业密码服务</w:t>
      </w:r>
    </w:p>
    <w:p w14:paraId="736E51A0">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按照采购人的有关管理规定及具体需求，提供商业密码服务</w:t>
      </w:r>
    </w:p>
    <w:p w14:paraId="746C66A8">
      <w:pPr>
        <w:numPr>
          <w:ilvl w:val="0"/>
          <w:numId w:val="1"/>
        </w:numPr>
        <w:adjustRightInd w:val="0"/>
        <w:spacing w:line="360" w:lineRule="auto"/>
        <w:textAlignment w:val="baseline"/>
        <w:outlineLvl w:val="0"/>
        <w:rPr>
          <w:rFonts w:hint="eastAsia" w:ascii="宋体" w:hAnsi="宋体" w:cs="宋体"/>
          <w:color w:val="000000"/>
          <w:sz w:val="24"/>
        </w:rPr>
      </w:pPr>
      <w:r>
        <w:rPr>
          <w:rFonts w:hint="eastAsia" w:ascii="宋体" w:hAnsi="宋体" w:cs="宋体"/>
          <w:color w:val="000000"/>
          <w:sz w:val="24"/>
        </w:rPr>
        <w:t>技术指标要求</w:t>
      </w:r>
    </w:p>
    <w:p w14:paraId="2F86FF73">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（1）云端APT防护服务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6896"/>
      </w:tblGrid>
      <w:tr w14:paraId="3288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26" w:type="dxa"/>
            <w:noWrap w:val="0"/>
            <w:vAlign w:val="center"/>
          </w:tcPr>
          <w:p w14:paraId="5E660631">
            <w:pPr>
              <w:widowControl/>
              <w:snapToGrid w:val="0"/>
              <w:jc w:val="center"/>
              <w:rPr>
                <w:rFonts w:hint="eastAsia" w:ascii="宋体" w:hAnsi="宋体"/>
                <w:color w:val="000000"/>
                <w:sz w:val="24"/>
              </w:rPr>
            </w:pPr>
            <w:r>
              <w:rPr>
                <w:rFonts w:hint="eastAsia" w:ascii="宋体" w:hAnsi="宋体"/>
                <w:color w:val="000000"/>
                <w:sz w:val="24"/>
              </w:rPr>
              <w:t>指标项</w:t>
            </w:r>
          </w:p>
        </w:tc>
        <w:tc>
          <w:tcPr>
            <w:tcW w:w="6896" w:type="dxa"/>
            <w:noWrap w:val="0"/>
            <w:vAlign w:val="center"/>
          </w:tcPr>
          <w:p w14:paraId="5D2B920D">
            <w:pPr>
              <w:widowControl/>
              <w:snapToGrid w:val="0"/>
              <w:jc w:val="center"/>
              <w:rPr>
                <w:rFonts w:hint="eastAsia" w:ascii="宋体" w:hAnsi="宋体"/>
                <w:color w:val="000000"/>
                <w:sz w:val="24"/>
              </w:rPr>
            </w:pPr>
            <w:r>
              <w:rPr>
                <w:rFonts w:hint="eastAsia" w:ascii="宋体" w:hAnsi="宋体"/>
                <w:color w:val="000000"/>
                <w:sz w:val="24"/>
              </w:rPr>
              <w:t>招标要求</w:t>
            </w:r>
          </w:p>
        </w:tc>
      </w:tr>
      <w:tr w14:paraId="2ED5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6" w:type="dxa"/>
            <w:noWrap w:val="0"/>
            <w:vAlign w:val="center"/>
          </w:tcPr>
          <w:p w14:paraId="70D60C9C">
            <w:pPr>
              <w:widowControl/>
              <w:adjustRightInd w:val="0"/>
              <w:snapToGrid w:val="0"/>
              <w:jc w:val="center"/>
              <w:rPr>
                <w:rFonts w:hint="eastAsia" w:ascii="宋体" w:hAnsi="宋体"/>
                <w:color w:val="000000"/>
                <w:sz w:val="24"/>
              </w:rPr>
            </w:pPr>
            <w:r>
              <w:rPr>
                <w:rFonts w:hint="eastAsia" w:ascii="宋体" w:hAnsi="宋体"/>
                <w:color w:val="000000"/>
                <w:sz w:val="24"/>
              </w:rPr>
              <w:t>云端APT防护服务</w:t>
            </w:r>
          </w:p>
        </w:tc>
        <w:tc>
          <w:tcPr>
            <w:tcW w:w="6896" w:type="dxa"/>
            <w:noWrap w:val="0"/>
            <w:vAlign w:val="center"/>
          </w:tcPr>
          <w:p w14:paraId="50888DE1">
            <w:pPr>
              <w:widowControl/>
              <w:snapToGrid w:val="0"/>
              <w:jc w:val="left"/>
              <w:rPr>
                <w:rFonts w:hint="eastAsia" w:ascii="宋体" w:hAnsi="宋体"/>
                <w:color w:val="000000"/>
                <w:sz w:val="24"/>
              </w:rPr>
            </w:pPr>
            <w:r>
              <w:rPr>
                <w:rFonts w:hint="eastAsia" w:ascii="宋体" w:hAnsi="宋体"/>
                <w:color w:val="000000"/>
                <w:sz w:val="24"/>
              </w:rPr>
              <w:t>提供基于云端的APT防护能力，对未知攻击威胁进行检测和防护，发现隐蔽威胁、木马后门等异常威胁，有效发现APT攻击中探测期、入侵期、潜伏期、退出期等不同阶段的安全攻击，具备URL异常检测、沙箱检测、异常流量分析等能力。</w:t>
            </w:r>
          </w:p>
          <w:p w14:paraId="11E424EC">
            <w:pPr>
              <w:snapToGrid w:val="0"/>
              <w:rPr>
                <w:rFonts w:hint="eastAsia" w:ascii="宋体" w:hAnsi="宋体"/>
                <w:color w:val="000000"/>
                <w:sz w:val="24"/>
              </w:rPr>
            </w:pPr>
            <w:r>
              <w:rPr>
                <w:rFonts w:hint="eastAsia" w:ascii="宋体" w:hAnsi="宋体"/>
                <w:color w:val="000000"/>
                <w:sz w:val="24"/>
              </w:rPr>
              <w:t>提供APT防护服务，实现恶意代码检测、恶意软件检测及攻击溯源。</w:t>
            </w:r>
          </w:p>
          <w:p w14:paraId="7F68170E">
            <w:pPr>
              <w:widowControl/>
              <w:snapToGrid w:val="0"/>
              <w:jc w:val="left"/>
              <w:rPr>
                <w:rFonts w:hint="eastAsia" w:ascii="宋体" w:hAnsi="宋体"/>
                <w:color w:val="000000"/>
                <w:sz w:val="24"/>
              </w:rPr>
            </w:pPr>
            <w:r>
              <w:rPr>
                <w:rFonts w:hint="eastAsia" w:ascii="宋体" w:hAnsi="宋体"/>
                <w:color w:val="000000"/>
                <w:sz w:val="24"/>
              </w:rPr>
              <w:t>无论已知还是未知恶意样本，后台都能提取出恶意行为的特征，形成特征库或策略库，并通过中心管理分发到前端。前端接收安全策略，对相应规则进行拦截，并形成整体防御体系。</w:t>
            </w:r>
          </w:p>
        </w:tc>
      </w:tr>
    </w:tbl>
    <w:p w14:paraId="71325C6E">
      <w:pPr>
        <w:spacing w:line="288" w:lineRule="auto"/>
        <w:ind w:left="210" w:leftChars="100" w:firstLine="482" w:firstLineChars="200"/>
        <w:rPr>
          <w:rFonts w:hint="eastAsia" w:ascii="宋体" w:hAnsi="宋体" w:cs="宋体"/>
          <w:b/>
          <w:bCs/>
          <w:color w:val="000000"/>
          <w:sz w:val="24"/>
        </w:rPr>
      </w:pPr>
    </w:p>
    <w:p w14:paraId="2BF8F56B">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（2）主机杀毒服务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6896"/>
      </w:tblGrid>
      <w:tr w14:paraId="2C01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noWrap w:val="0"/>
            <w:vAlign w:val="center"/>
          </w:tcPr>
          <w:p w14:paraId="70DCFF61">
            <w:pPr>
              <w:widowControl/>
              <w:contextualSpacing/>
              <w:jc w:val="center"/>
              <w:rPr>
                <w:rFonts w:hint="eastAsia" w:ascii="宋体" w:hAnsi="宋体"/>
                <w:color w:val="000000"/>
                <w:sz w:val="24"/>
              </w:rPr>
            </w:pPr>
            <w:r>
              <w:rPr>
                <w:rFonts w:hint="eastAsia" w:ascii="宋体" w:hAnsi="宋体"/>
                <w:color w:val="000000"/>
                <w:sz w:val="24"/>
              </w:rPr>
              <w:t>指标项</w:t>
            </w:r>
          </w:p>
        </w:tc>
        <w:tc>
          <w:tcPr>
            <w:tcW w:w="6896" w:type="dxa"/>
            <w:noWrap w:val="0"/>
            <w:vAlign w:val="center"/>
          </w:tcPr>
          <w:p w14:paraId="27A31E52">
            <w:pPr>
              <w:widowControl/>
              <w:contextualSpacing/>
              <w:jc w:val="center"/>
              <w:rPr>
                <w:rFonts w:hint="eastAsia" w:ascii="宋体" w:hAnsi="宋体"/>
                <w:color w:val="000000"/>
                <w:sz w:val="24"/>
              </w:rPr>
            </w:pPr>
            <w:r>
              <w:rPr>
                <w:rFonts w:hint="eastAsia" w:ascii="宋体" w:hAnsi="宋体"/>
                <w:color w:val="000000"/>
                <w:sz w:val="24"/>
              </w:rPr>
              <w:t>招标要求</w:t>
            </w:r>
          </w:p>
        </w:tc>
      </w:tr>
      <w:tr w14:paraId="0D6A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626" w:type="dxa"/>
            <w:noWrap w:val="0"/>
            <w:vAlign w:val="center"/>
          </w:tcPr>
          <w:p w14:paraId="78B0A543">
            <w:pPr>
              <w:widowControl/>
              <w:contextualSpacing/>
              <w:jc w:val="center"/>
              <w:rPr>
                <w:rFonts w:hint="eastAsia" w:ascii="宋体" w:hAnsi="宋体"/>
                <w:color w:val="000000"/>
                <w:sz w:val="24"/>
              </w:rPr>
            </w:pPr>
            <w:r>
              <w:rPr>
                <w:rFonts w:hint="eastAsia" w:ascii="宋体" w:hAnsi="宋体"/>
                <w:color w:val="000000"/>
                <w:sz w:val="24"/>
              </w:rPr>
              <w:t>防病毒要求</w:t>
            </w:r>
          </w:p>
        </w:tc>
        <w:tc>
          <w:tcPr>
            <w:tcW w:w="6896" w:type="dxa"/>
            <w:noWrap w:val="0"/>
            <w:vAlign w:val="center"/>
          </w:tcPr>
          <w:p w14:paraId="6E4BA4E8">
            <w:pPr>
              <w:widowControl/>
              <w:jc w:val="left"/>
              <w:rPr>
                <w:rFonts w:hint="eastAsia" w:ascii="宋体" w:hAnsi="宋体"/>
                <w:color w:val="000000"/>
                <w:sz w:val="24"/>
              </w:rPr>
            </w:pPr>
            <w:r>
              <w:rPr>
                <w:rFonts w:hint="eastAsia" w:ascii="宋体" w:hAnsi="宋体"/>
                <w:color w:val="000000"/>
                <w:sz w:val="24"/>
              </w:rPr>
              <w:t>提供基于云平台集成的杀毒软件，对云主机进行定期的病毒查杀，杀毒软件采用集中控制，云主机端无需安装代理软件，病毒库升级采取控制端统一下发的方式，对网络性能无影响。</w:t>
            </w:r>
          </w:p>
          <w:p w14:paraId="55BC5282">
            <w:pPr>
              <w:widowControl/>
              <w:rPr>
                <w:rFonts w:hint="eastAsia" w:ascii="宋体" w:hAnsi="宋体"/>
                <w:color w:val="000000"/>
                <w:sz w:val="24"/>
              </w:rPr>
            </w:pPr>
            <w:r>
              <w:rPr>
                <w:rFonts w:hint="eastAsia" w:ascii="宋体" w:hAnsi="宋体"/>
                <w:color w:val="000000"/>
                <w:sz w:val="24"/>
              </w:rPr>
              <w:t>采用轻量级Agent部署，无需依赖虚拟化平台API即可实现安全防护；客户端支持手动从控制中心获取安装，也可通过管理控制中心批量远程安装；客户端对windows类、linux类的物理服务器、虚拟服务器、桌面云具备相同的防护和部署。产品应至少支持VMware 、Ctrix、Microsoft 、Huawei、H3C、浪潮等国内外主流虚拟化厂商平台，并能够采用一个管理控制中心进行统一管理。</w:t>
            </w:r>
          </w:p>
        </w:tc>
      </w:tr>
    </w:tbl>
    <w:p w14:paraId="1765A04B">
      <w:pPr>
        <w:spacing w:line="288" w:lineRule="auto"/>
        <w:ind w:firstLine="482" w:firstLineChars="200"/>
        <w:rPr>
          <w:rFonts w:hint="eastAsia" w:ascii="宋体" w:hAnsi="宋体" w:cs="宋体"/>
          <w:b/>
          <w:bCs/>
          <w:color w:val="000000"/>
          <w:sz w:val="24"/>
        </w:rPr>
      </w:pPr>
    </w:p>
    <w:p w14:paraId="26731931">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（3）主机安全加固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6896"/>
      </w:tblGrid>
      <w:tr w14:paraId="3927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noWrap w:val="0"/>
            <w:vAlign w:val="center"/>
          </w:tcPr>
          <w:p w14:paraId="239C8549">
            <w:pPr>
              <w:widowControl/>
              <w:contextualSpacing/>
              <w:jc w:val="center"/>
              <w:rPr>
                <w:rFonts w:hint="eastAsia" w:ascii="宋体" w:hAnsi="宋体"/>
                <w:color w:val="000000"/>
                <w:sz w:val="24"/>
              </w:rPr>
            </w:pPr>
            <w:r>
              <w:rPr>
                <w:rFonts w:hint="eastAsia" w:ascii="宋体" w:hAnsi="宋体"/>
                <w:color w:val="000000"/>
                <w:sz w:val="24"/>
              </w:rPr>
              <w:t>指标项</w:t>
            </w:r>
          </w:p>
        </w:tc>
        <w:tc>
          <w:tcPr>
            <w:tcW w:w="6896" w:type="dxa"/>
            <w:noWrap w:val="0"/>
            <w:vAlign w:val="center"/>
          </w:tcPr>
          <w:p w14:paraId="2B834571">
            <w:pPr>
              <w:widowControl/>
              <w:contextualSpacing/>
              <w:jc w:val="center"/>
              <w:rPr>
                <w:rFonts w:hint="eastAsia" w:ascii="宋体" w:hAnsi="宋体"/>
                <w:color w:val="000000"/>
                <w:sz w:val="24"/>
              </w:rPr>
            </w:pPr>
            <w:r>
              <w:rPr>
                <w:rFonts w:hint="eastAsia" w:ascii="宋体" w:hAnsi="宋体"/>
                <w:color w:val="000000"/>
                <w:sz w:val="24"/>
              </w:rPr>
              <w:t>招标要求</w:t>
            </w:r>
          </w:p>
        </w:tc>
      </w:tr>
      <w:tr w14:paraId="1D83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noWrap w:val="0"/>
            <w:vAlign w:val="center"/>
          </w:tcPr>
          <w:p w14:paraId="1DFBF995">
            <w:pPr>
              <w:widowControl/>
              <w:contextualSpacing/>
              <w:jc w:val="center"/>
              <w:rPr>
                <w:rFonts w:hint="eastAsia" w:ascii="宋体" w:hAnsi="宋体"/>
                <w:color w:val="000000"/>
                <w:sz w:val="24"/>
              </w:rPr>
            </w:pPr>
            <w:r>
              <w:rPr>
                <w:rFonts w:hint="eastAsia" w:ascii="宋体" w:hAnsi="宋体"/>
                <w:color w:val="000000"/>
                <w:sz w:val="24"/>
              </w:rPr>
              <w:t>安全隐患排查与整改</w:t>
            </w:r>
          </w:p>
        </w:tc>
        <w:tc>
          <w:tcPr>
            <w:tcW w:w="6896" w:type="dxa"/>
            <w:noWrap w:val="0"/>
            <w:vAlign w:val="center"/>
          </w:tcPr>
          <w:p w14:paraId="49F73D6F">
            <w:pPr>
              <w:widowControl/>
              <w:textAlignment w:val="baseline"/>
              <w:rPr>
                <w:rFonts w:hint="eastAsia" w:ascii="宋体" w:hAnsi="宋体"/>
                <w:color w:val="000000"/>
                <w:sz w:val="24"/>
              </w:rPr>
            </w:pPr>
            <w:r>
              <w:rPr>
                <w:rFonts w:hint="eastAsia" w:ascii="宋体" w:hAnsi="宋体"/>
                <w:color w:val="000000"/>
                <w:sz w:val="24"/>
              </w:rPr>
              <w:t>支持对信息系统和IT基础设施存在的安全漏洞和隐患进行排查和处置，提高安全防护水平。</w:t>
            </w:r>
          </w:p>
        </w:tc>
      </w:tr>
      <w:tr w14:paraId="2C10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26" w:type="dxa"/>
            <w:noWrap w:val="0"/>
            <w:vAlign w:val="center"/>
          </w:tcPr>
          <w:p w14:paraId="0F84E0AD">
            <w:pPr>
              <w:widowControl/>
              <w:contextualSpacing/>
              <w:jc w:val="center"/>
              <w:rPr>
                <w:rFonts w:hint="eastAsia" w:ascii="宋体" w:hAnsi="宋体"/>
                <w:color w:val="000000"/>
                <w:sz w:val="24"/>
              </w:rPr>
            </w:pPr>
            <w:r>
              <w:rPr>
                <w:rFonts w:hint="eastAsia" w:ascii="宋体" w:hAnsi="宋体"/>
                <w:color w:val="000000"/>
                <w:sz w:val="24"/>
              </w:rPr>
              <w:t>安全基线核查</w:t>
            </w:r>
          </w:p>
        </w:tc>
        <w:tc>
          <w:tcPr>
            <w:tcW w:w="6896" w:type="dxa"/>
            <w:noWrap w:val="0"/>
            <w:vAlign w:val="center"/>
          </w:tcPr>
          <w:p w14:paraId="2835C655">
            <w:pPr>
              <w:widowControl/>
              <w:textAlignment w:val="baseline"/>
              <w:rPr>
                <w:rFonts w:hint="eastAsia" w:ascii="宋体" w:hAnsi="宋体"/>
                <w:color w:val="000000"/>
                <w:sz w:val="24"/>
              </w:rPr>
            </w:pPr>
            <w:r>
              <w:rPr>
                <w:rFonts w:hint="eastAsia" w:ascii="宋体" w:hAnsi="宋体"/>
                <w:color w:val="000000"/>
                <w:sz w:val="24"/>
              </w:rPr>
              <w:t>支持项目概况范围（不包括终端）中的主机系统、应用系统、网络设备和数据库管理系统等资产进行安全基线核查，检测在安全现状、安全配置、防护能力、恢复能力等方面的详细情况。</w:t>
            </w:r>
          </w:p>
        </w:tc>
      </w:tr>
      <w:tr w14:paraId="249E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noWrap w:val="0"/>
            <w:vAlign w:val="center"/>
          </w:tcPr>
          <w:p w14:paraId="2025B5AA">
            <w:pPr>
              <w:widowControl/>
              <w:contextualSpacing/>
              <w:jc w:val="center"/>
              <w:rPr>
                <w:rFonts w:hint="eastAsia" w:ascii="宋体" w:hAnsi="宋体"/>
                <w:color w:val="000000"/>
                <w:sz w:val="24"/>
              </w:rPr>
            </w:pPr>
            <w:r>
              <w:rPr>
                <w:rFonts w:hint="eastAsia" w:ascii="宋体" w:hAnsi="宋体"/>
                <w:color w:val="000000"/>
                <w:sz w:val="24"/>
              </w:rPr>
              <w:t>渗透测试</w:t>
            </w:r>
          </w:p>
        </w:tc>
        <w:tc>
          <w:tcPr>
            <w:tcW w:w="6896" w:type="dxa"/>
            <w:noWrap w:val="0"/>
            <w:vAlign w:val="center"/>
          </w:tcPr>
          <w:p w14:paraId="26CE31B3">
            <w:pPr>
              <w:widowControl/>
              <w:textAlignment w:val="baseline"/>
              <w:rPr>
                <w:rFonts w:hint="eastAsia" w:ascii="宋体" w:hAnsi="宋体"/>
                <w:color w:val="000000"/>
                <w:sz w:val="24"/>
              </w:rPr>
            </w:pPr>
            <w:r>
              <w:rPr>
                <w:rFonts w:hint="eastAsia" w:ascii="宋体" w:hAnsi="宋体"/>
                <w:color w:val="000000"/>
                <w:sz w:val="24"/>
              </w:rPr>
              <w:t>支持应用系统、外网网络进行定期的渗透测试，挖掘存在的安全漏洞，找出系统的安全短板，以此评估目标系统的安全性。</w:t>
            </w:r>
          </w:p>
        </w:tc>
      </w:tr>
      <w:tr w14:paraId="7E92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noWrap w:val="0"/>
            <w:vAlign w:val="center"/>
          </w:tcPr>
          <w:p w14:paraId="29AE9041">
            <w:pPr>
              <w:widowControl/>
              <w:contextualSpacing/>
              <w:jc w:val="center"/>
              <w:rPr>
                <w:rFonts w:hint="eastAsia" w:ascii="宋体" w:hAnsi="宋体"/>
                <w:color w:val="000000"/>
                <w:sz w:val="24"/>
              </w:rPr>
            </w:pPr>
            <w:r>
              <w:rPr>
                <w:rFonts w:hint="eastAsia" w:ascii="宋体" w:hAnsi="宋体"/>
                <w:color w:val="000000"/>
                <w:sz w:val="24"/>
              </w:rPr>
              <w:t>安全整改与加固</w:t>
            </w:r>
          </w:p>
        </w:tc>
        <w:tc>
          <w:tcPr>
            <w:tcW w:w="6896" w:type="dxa"/>
            <w:noWrap w:val="0"/>
            <w:vAlign w:val="center"/>
          </w:tcPr>
          <w:p w14:paraId="74B50FE3">
            <w:pPr>
              <w:widowControl/>
              <w:textAlignment w:val="baseline"/>
              <w:rPr>
                <w:rFonts w:hint="eastAsia" w:ascii="宋体" w:hAnsi="宋体"/>
                <w:color w:val="000000"/>
                <w:sz w:val="24"/>
              </w:rPr>
            </w:pPr>
            <w:r>
              <w:rPr>
                <w:rFonts w:hint="eastAsia" w:ascii="宋体" w:hAnsi="宋体"/>
                <w:color w:val="000000"/>
                <w:sz w:val="24"/>
              </w:rPr>
              <w:t>支持信息安全风险评估、安全基线核查、漏洞扫描和渗透测试等技术手段全面的评估的结果，对发现的信息资产安全漏洞、隐患、威胁等进行整改和加固，提高信息系统安全保障能力。</w:t>
            </w:r>
          </w:p>
        </w:tc>
      </w:tr>
      <w:tr w14:paraId="7DE8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noWrap w:val="0"/>
            <w:vAlign w:val="center"/>
          </w:tcPr>
          <w:p w14:paraId="6FD39329">
            <w:pPr>
              <w:widowControl/>
              <w:contextualSpacing/>
              <w:jc w:val="center"/>
              <w:rPr>
                <w:rFonts w:hint="eastAsia" w:ascii="宋体" w:hAnsi="宋体"/>
                <w:color w:val="000000"/>
                <w:sz w:val="24"/>
              </w:rPr>
            </w:pPr>
            <w:r>
              <w:rPr>
                <w:rFonts w:hint="eastAsia" w:ascii="宋体" w:hAnsi="宋体"/>
                <w:color w:val="000000"/>
                <w:sz w:val="24"/>
              </w:rPr>
              <w:t>应用加固</w:t>
            </w:r>
          </w:p>
        </w:tc>
        <w:tc>
          <w:tcPr>
            <w:tcW w:w="6896" w:type="dxa"/>
            <w:noWrap w:val="0"/>
            <w:vAlign w:val="center"/>
          </w:tcPr>
          <w:p w14:paraId="05CF859B">
            <w:pPr>
              <w:widowControl/>
              <w:textAlignment w:val="baseline"/>
              <w:rPr>
                <w:rFonts w:hint="eastAsia" w:ascii="宋体" w:hAnsi="宋体"/>
                <w:color w:val="000000"/>
                <w:sz w:val="24"/>
              </w:rPr>
            </w:pPr>
            <w:r>
              <w:rPr>
                <w:rFonts w:hint="eastAsia" w:ascii="宋体" w:hAnsi="宋体"/>
                <w:color w:val="000000"/>
                <w:sz w:val="24"/>
              </w:rPr>
              <w:t>支持修补漏洞、增强安全配置、调整系统架构和提升安全策略等方式进行系统整体加固和安全优化，提高系统的安全性和抗攻击能力，将整个系统的安全状况维持在较高的水平，减少安全事件发生的可能性和可能造成的损失。</w:t>
            </w:r>
          </w:p>
        </w:tc>
      </w:tr>
    </w:tbl>
    <w:p w14:paraId="0B1179DA">
      <w:pPr>
        <w:pStyle w:val="3"/>
        <w:rPr>
          <w:rFonts w:hint="eastAsia" w:hAnsi="宋体"/>
          <w:color w:val="000000"/>
        </w:rPr>
      </w:pPr>
    </w:p>
    <w:p w14:paraId="721C6398">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（4）主机漏洞扫描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6925"/>
      </w:tblGrid>
      <w:tr w14:paraId="2334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1F9E4667">
            <w:pPr>
              <w:widowControl/>
              <w:snapToGrid w:val="0"/>
              <w:jc w:val="center"/>
              <w:rPr>
                <w:rFonts w:hint="eastAsia" w:ascii="宋体" w:hAnsi="宋体"/>
                <w:color w:val="000000"/>
                <w:sz w:val="24"/>
              </w:rPr>
            </w:pPr>
            <w:r>
              <w:rPr>
                <w:rFonts w:hint="eastAsia" w:ascii="宋体" w:hAnsi="宋体"/>
                <w:color w:val="000000"/>
                <w:sz w:val="24"/>
              </w:rPr>
              <w:t>指标项</w:t>
            </w:r>
          </w:p>
        </w:tc>
        <w:tc>
          <w:tcPr>
            <w:tcW w:w="6925" w:type="dxa"/>
            <w:noWrap w:val="0"/>
            <w:vAlign w:val="center"/>
          </w:tcPr>
          <w:p w14:paraId="1DADBB79">
            <w:pPr>
              <w:widowControl/>
              <w:snapToGrid w:val="0"/>
              <w:jc w:val="center"/>
              <w:rPr>
                <w:rFonts w:hint="eastAsia" w:ascii="宋体" w:hAnsi="宋体"/>
                <w:color w:val="000000"/>
                <w:sz w:val="24"/>
              </w:rPr>
            </w:pPr>
            <w:r>
              <w:rPr>
                <w:rFonts w:hint="eastAsia" w:ascii="宋体" w:hAnsi="宋体"/>
                <w:color w:val="000000"/>
                <w:sz w:val="24"/>
              </w:rPr>
              <w:t>招标要求</w:t>
            </w:r>
          </w:p>
        </w:tc>
      </w:tr>
      <w:tr w14:paraId="68E5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597" w:type="dxa"/>
            <w:vMerge w:val="restart"/>
            <w:noWrap w:val="0"/>
            <w:vAlign w:val="center"/>
          </w:tcPr>
          <w:p w14:paraId="7CAE869D">
            <w:pPr>
              <w:widowControl/>
              <w:snapToGrid w:val="0"/>
              <w:jc w:val="center"/>
              <w:rPr>
                <w:rFonts w:hint="eastAsia" w:ascii="宋体" w:hAnsi="宋体"/>
                <w:color w:val="000000"/>
                <w:sz w:val="24"/>
              </w:rPr>
            </w:pPr>
            <w:r>
              <w:rPr>
                <w:rFonts w:hint="eastAsia" w:ascii="宋体" w:hAnsi="宋体"/>
                <w:color w:val="000000"/>
                <w:sz w:val="24"/>
              </w:rPr>
              <w:t>扫描能力</w:t>
            </w:r>
          </w:p>
        </w:tc>
        <w:tc>
          <w:tcPr>
            <w:tcW w:w="6925" w:type="dxa"/>
            <w:noWrap w:val="0"/>
            <w:vAlign w:val="center"/>
          </w:tcPr>
          <w:p w14:paraId="4FB0685B">
            <w:pPr>
              <w:widowControl/>
              <w:snapToGrid w:val="0"/>
              <w:textAlignment w:val="baseline"/>
              <w:rPr>
                <w:rFonts w:hint="eastAsia" w:ascii="宋体" w:hAnsi="宋体"/>
                <w:color w:val="000000"/>
                <w:sz w:val="24"/>
                <w:highlight w:val="yellow"/>
              </w:rPr>
            </w:pPr>
            <w:r>
              <w:rPr>
                <w:rFonts w:hint="eastAsia" w:ascii="宋体" w:hAnsi="宋体"/>
                <w:color w:val="000000"/>
                <w:sz w:val="24"/>
              </w:rPr>
              <w:t>支持Windows、Linux域扫描技术，利用域管理员权限使扫描更深入、更准确。</w:t>
            </w:r>
          </w:p>
        </w:tc>
      </w:tr>
      <w:tr w14:paraId="37A0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25C7AD90">
            <w:pPr>
              <w:widowControl/>
              <w:snapToGrid w:val="0"/>
              <w:jc w:val="center"/>
              <w:rPr>
                <w:rFonts w:hint="eastAsia" w:ascii="宋体" w:hAnsi="宋体"/>
                <w:color w:val="000000"/>
                <w:sz w:val="24"/>
              </w:rPr>
            </w:pPr>
          </w:p>
        </w:tc>
        <w:tc>
          <w:tcPr>
            <w:tcW w:w="6925" w:type="dxa"/>
            <w:noWrap w:val="0"/>
            <w:vAlign w:val="center"/>
          </w:tcPr>
          <w:p w14:paraId="5419AFDE">
            <w:pPr>
              <w:widowControl/>
              <w:snapToGrid w:val="0"/>
              <w:textAlignment w:val="baseline"/>
              <w:rPr>
                <w:rFonts w:hint="eastAsia" w:ascii="宋体" w:hAnsi="宋体"/>
                <w:color w:val="000000"/>
                <w:sz w:val="24"/>
              </w:rPr>
            </w:pPr>
            <w:r>
              <w:rPr>
                <w:rFonts w:hint="eastAsia" w:ascii="宋体" w:hAnsi="宋体"/>
                <w:color w:val="000000"/>
                <w:sz w:val="24"/>
              </w:rPr>
              <w:t>支持大华、海康等视频监控类设备扫描。</w:t>
            </w:r>
          </w:p>
        </w:tc>
      </w:tr>
      <w:tr w14:paraId="54EA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3B4A2E9C">
            <w:pPr>
              <w:widowControl/>
              <w:snapToGrid w:val="0"/>
              <w:jc w:val="center"/>
              <w:rPr>
                <w:rFonts w:hint="eastAsia" w:ascii="宋体" w:hAnsi="宋体"/>
                <w:color w:val="000000"/>
                <w:sz w:val="24"/>
              </w:rPr>
            </w:pPr>
          </w:p>
        </w:tc>
        <w:tc>
          <w:tcPr>
            <w:tcW w:w="6925" w:type="dxa"/>
            <w:noWrap w:val="0"/>
            <w:vAlign w:val="center"/>
          </w:tcPr>
          <w:p w14:paraId="08835F8B">
            <w:pPr>
              <w:widowControl/>
              <w:snapToGrid w:val="0"/>
              <w:textAlignment w:val="baseline"/>
              <w:rPr>
                <w:rFonts w:hint="eastAsia" w:ascii="宋体" w:hAnsi="宋体"/>
                <w:color w:val="000000"/>
                <w:sz w:val="24"/>
              </w:rPr>
            </w:pPr>
            <w:r>
              <w:rPr>
                <w:rFonts w:hint="eastAsia" w:ascii="宋体" w:hAnsi="宋体"/>
                <w:color w:val="000000"/>
                <w:sz w:val="24"/>
              </w:rPr>
              <w:t>支持多种协议口令猜测，包括SMB、Snmp、Telnet、Pop3、SSH、Ftp、RDP、DB2、MySQL、Oracle、PostgreSQL、HighGo、MongoDB、UXDB、STDB、kingbase、RTSP、ActiveMQ、WebLogic、WebCAM等。</w:t>
            </w:r>
          </w:p>
        </w:tc>
      </w:tr>
      <w:tr w14:paraId="0580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6611BA51">
            <w:pPr>
              <w:widowControl/>
              <w:snapToGrid w:val="0"/>
              <w:jc w:val="center"/>
              <w:rPr>
                <w:rFonts w:hint="eastAsia" w:ascii="宋体" w:hAnsi="宋体"/>
                <w:color w:val="000000"/>
                <w:sz w:val="24"/>
              </w:rPr>
            </w:pPr>
          </w:p>
        </w:tc>
        <w:tc>
          <w:tcPr>
            <w:tcW w:w="6925" w:type="dxa"/>
            <w:noWrap w:val="0"/>
            <w:vAlign w:val="center"/>
          </w:tcPr>
          <w:p w14:paraId="30DA0A18">
            <w:pPr>
              <w:widowControl/>
              <w:snapToGrid w:val="0"/>
              <w:textAlignment w:val="baseline"/>
              <w:rPr>
                <w:rFonts w:hint="eastAsia" w:ascii="宋体" w:hAnsi="宋体"/>
                <w:color w:val="000000"/>
                <w:sz w:val="24"/>
              </w:rPr>
            </w:pPr>
            <w:r>
              <w:rPr>
                <w:rFonts w:hint="eastAsia" w:ascii="宋体" w:hAnsi="宋体"/>
                <w:color w:val="000000"/>
                <w:sz w:val="24"/>
              </w:rPr>
              <w:t>支持设置口令猜测间隔0-300秒。</w:t>
            </w:r>
          </w:p>
        </w:tc>
      </w:tr>
      <w:tr w14:paraId="0A9F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2A22AC3E">
            <w:pPr>
              <w:widowControl/>
              <w:snapToGrid w:val="0"/>
              <w:jc w:val="center"/>
              <w:rPr>
                <w:rFonts w:hint="eastAsia" w:ascii="宋体" w:hAnsi="宋体"/>
                <w:color w:val="000000"/>
                <w:sz w:val="24"/>
              </w:rPr>
            </w:pPr>
          </w:p>
        </w:tc>
        <w:tc>
          <w:tcPr>
            <w:tcW w:w="6925" w:type="dxa"/>
            <w:noWrap w:val="0"/>
            <w:vAlign w:val="center"/>
          </w:tcPr>
          <w:p w14:paraId="154F9B9C">
            <w:pPr>
              <w:widowControl/>
              <w:snapToGrid w:val="0"/>
              <w:textAlignment w:val="baseline"/>
              <w:rPr>
                <w:rFonts w:hint="eastAsia" w:ascii="宋体" w:hAnsi="宋体"/>
                <w:color w:val="000000"/>
                <w:sz w:val="24"/>
              </w:rPr>
            </w:pPr>
            <w:r>
              <w:rPr>
                <w:rFonts w:hint="eastAsia" w:ascii="宋体" w:hAnsi="宋体"/>
                <w:color w:val="000000"/>
                <w:sz w:val="24"/>
              </w:rPr>
              <w:t>支持对主流数据库的识别与扫描，包括：Oracle、Sybase、SQL Server、DB2、MySQL等，支持对数据库漏洞进行扫描和修复。</w:t>
            </w:r>
          </w:p>
        </w:tc>
      </w:tr>
      <w:tr w14:paraId="0D9F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97" w:type="dxa"/>
            <w:noWrap w:val="0"/>
            <w:vAlign w:val="center"/>
          </w:tcPr>
          <w:p w14:paraId="61AEF96D">
            <w:pPr>
              <w:widowControl/>
              <w:snapToGrid w:val="0"/>
              <w:jc w:val="center"/>
              <w:rPr>
                <w:rFonts w:hint="eastAsia" w:ascii="宋体" w:hAnsi="宋体"/>
                <w:color w:val="000000"/>
                <w:sz w:val="24"/>
              </w:rPr>
            </w:pPr>
            <w:r>
              <w:rPr>
                <w:rFonts w:hint="eastAsia" w:ascii="宋体" w:hAnsi="宋体"/>
                <w:color w:val="000000"/>
                <w:sz w:val="24"/>
              </w:rPr>
              <w:t>资产管理</w:t>
            </w:r>
          </w:p>
        </w:tc>
        <w:tc>
          <w:tcPr>
            <w:tcW w:w="6925" w:type="dxa"/>
            <w:noWrap w:val="0"/>
            <w:vAlign w:val="center"/>
          </w:tcPr>
          <w:p w14:paraId="73BDFAAC">
            <w:pPr>
              <w:widowControl/>
              <w:snapToGrid w:val="0"/>
              <w:textAlignment w:val="baseline"/>
              <w:rPr>
                <w:rFonts w:hint="eastAsia" w:ascii="宋体" w:hAnsi="宋体"/>
                <w:color w:val="000000"/>
                <w:sz w:val="24"/>
              </w:rPr>
            </w:pPr>
            <w:r>
              <w:rPr>
                <w:rFonts w:hint="eastAsia" w:ascii="宋体" w:hAnsi="宋体"/>
                <w:color w:val="000000"/>
                <w:sz w:val="24"/>
              </w:rPr>
              <w:t>支持以txt、csv、dat、xls等格式进行资产列表的导入。</w:t>
            </w:r>
          </w:p>
        </w:tc>
      </w:tr>
      <w:tr w14:paraId="0737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1F0CE2F4">
            <w:pPr>
              <w:widowControl/>
              <w:snapToGrid w:val="0"/>
              <w:jc w:val="center"/>
              <w:rPr>
                <w:rFonts w:hint="eastAsia" w:ascii="宋体" w:hAnsi="宋体"/>
                <w:color w:val="000000"/>
                <w:sz w:val="24"/>
              </w:rPr>
            </w:pPr>
            <w:r>
              <w:rPr>
                <w:rFonts w:hint="eastAsia" w:ascii="宋体" w:hAnsi="宋体"/>
                <w:color w:val="000000"/>
                <w:sz w:val="24"/>
              </w:rPr>
              <w:t>产品升级、维护</w:t>
            </w:r>
          </w:p>
        </w:tc>
        <w:tc>
          <w:tcPr>
            <w:tcW w:w="6925" w:type="dxa"/>
            <w:noWrap w:val="0"/>
            <w:vAlign w:val="center"/>
          </w:tcPr>
          <w:p w14:paraId="3C4F600C">
            <w:pPr>
              <w:widowControl/>
              <w:snapToGrid w:val="0"/>
              <w:textAlignment w:val="baseline"/>
              <w:rPr>
                <w:rFonts w:hint="eastAsia" w:ascii="宋体" w:hAnsi="宋体"/>
                <w:color w:val="000000"/>
                <w:sz w:val="24"/>
              </w:rPr>
            </w:pPr>
            <w:r>
              <w:rPr>
                <w:rFonts w:hint="eastAsia" w:ascii="宋体" w:hAnsi="宋体"/>
                <w:color w:val="000000"/>
                <w:sz w:val="24"/>
              </w:rPr>
              <w:t>支持实时提醒当前的系统消息，包括报表下载消息、升级内容消息、日志下载消息等。</w:t>
            </w:r>
          </w:p>
          <w:p w14:paraId="36ED0377">
            <w:pPr>
              <w:widowControl/>
              <w:snapToGrid w:val="0"/>
              <w:textAlignment w:val="baseline"/>
              <w:rPr>
                <w:rFonts w:hint="eastAsia" w:ascii="宋体" w:hAnsi="宋体"/>
                <w:color w:val="000000"/>
                <w:sz w:val="24"/>
              </w:rPr>
            </w:pPr>
            <w:r>
              <w:rPr>
                <w:rFonts w:hint="eastAsia" w:ascii="宋体" w:hAnsi="宋体"/>
                <w:color w:val="000000"/>
                <w:sz w:val="24"/>
              </w:rPr>
              <w:t>支持控制台功能，可以通过控制台对系统进行操作和设置，例如重启和关闭系统、修改系统和网络配置、查看漏扫引擎状态并提供网络诊断工具。</w:t>
            </w:r>
          </w:p>
        </w:tc>
      </w:tr>
    </w:tbl>
    <w:p w14:paraId="0D0F55F1">
      <w:pPr>
        <w:pStyle w:val="3"/>
        <w:rPr>
          <w:rFonts w:hint="eastAsia" w:hAnsi="宋体"/>
          <w:color w:val="000000"/>
        </w:rPr>
      </w:pPr>
    </w:p>
    <w:p w14:paraId="0C4F07F2">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（5）主机日志分析</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6925"/>
      </w:tblGrid>
      <w:tr w14:paraId="5440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top"/>
          </w:tcPr>
          <w:p w14:paraId="11F77EDA">
            <w:pPr>
              <w:pStyle w:val="3"/>
              <w:widowControl/>
              <w:contextualSpacing/>
              <w:jc w:val="center"/>
              <w:rPr>
                <w:rFonts w:hint="eastAsia" w:hAnsi="宋体"/>
                <w:color w:val="000000"/>
              </w:rPr>
            </w:pPr>
            <w:r>
              <w:rPr>
                <w:rFonts w:hint="eastAsia" w:hAnsi="宋体"/>
                <w:color w:val="000000"/>
              </w:rPr>
              <w:t>指标项</w:t>
            </w:r>
          </w:p>
        </w:tc>
        <w:tc>
          <w:tcPr>
            <w:tcW w:w="6925" w:type="dxa"/>
            <w:noWrap w:val="0"/>
            <w:vAlign w:val="top"/>
          </w:tcPr>
          <w:p w14:paraId="56136DAF">
            <w:pPr>
              <w:pStyle w:val="3"/>
              <w:widowControl/>
              <w:contextualSpacing/>
              <w:jc w:val="center"/>
              <w:rPr>
                <w:rFonts w:hint="eastAsia" w:hAnsi="宋体"/>
                <w:color w:val="000000"/>
              </w:rPr>
            </w:pPr>
            <w:r>
              <w:rPr>
                <w:rFonts w:hint="eastAsia" w:hAnsi="宋体"/>
                <w:color w:val="000000"/>
              </w:rPr>
              <w:t>招标要求</w:t>
            </w:r>
          </w:p>
        </w:tc>
      </w:tr>
      <w:tr w14:paraId="52C9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restart"/>
            <w:noWrap w:val="0"/>
            <w:vAlign w:val="center"/>
          </w:tcPr>
          <w:p w14:paraId="77BFB12B">
            <w:pPr>
              <w:widowControl/>
              <w:contextualSpacing/>
              <w:jc w:val="center"/>
              <w:rPr>
                <w:rFonts w:hint="eastAsia" w:ascii="宋体" w:hAnsi="宋体"/>
                <w:color w:val="000000"/>
                <w:sz w:val="24"/>
              </w:rPr>
            </w:pPr>
            <w:r>
              <w:rPr>
                <w:rFonts w:hint="eastAsia" w:ascii="宋体" w:hAnsi="宋体"/>
                <w:color w:val="000000"/>
                <w:sz w:val="24"/>
              </w:rPr>
              <w:t>日志采集</w:t>
            </w:r>
          </w:p>
        </w:tc>
        <w:tc>
          <w:tcPr>
            <w:tcW w:w="6925" w:type="dxa"/>
            <w:noWrap w:val="0"/>
            <w:vAlign w:val="center"/>
          </w:tcPr>
          <w:p w14:paraId="497620A6">
            <w:pPr>
              <w:widowControl/>
              <w:textAlignment w:val="baseline"/>
              <w:rPr>
                <w:rFonts w:hint="eastAsia" w:ascii="宋体" w:hAnsi="宋体"/>
                <w:color w:val="000000"/>
                <w:sz w:val="24"/>
              </w:rPr>
            </w:pPr>
            <w:r>
              <w:rPr>
                <w:rFonts w:hint="eastAsia" w:ascii="宋体" w:hAnsi="宋体"/>
                <w:color w:val="000000"/>
                <w:sz w:val="24"/>
              </w:rPr>
              <w:t>满足支持新增Lotus Domino的日志采集任务；新增CheckPoint的日志采集任务。</w:t>
            </w:r>
          </w:p>
        </w:tc>
      </w:tr>
      <w:tr w14:paraId="346C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701A8A43">
            <w:pPr>
              <w:widowControl/>
              <w:contextualSpacing/>
              <w:jc w:val="center"/>
              <w:rPr>
                <w:rFonts w:hint="eastAsia" w:ascii="宋体" w:hAnsi="宋体"/>
                <w:color w:val="000000"/>
                <w:sz w:val="24"/>
              </w:rPr>
            </w:pPr>
          </w:p>
        </w:tc>
        <w:tc>
          <w:tcPr>
            <w:tcW w:w="6925" w:type="dxa"/>
            <w:noWrap w:val="0"/>
            <w:vAlign w:val="center"/>
          </w:tcPr>
          <w:p w14:paraId="3F925B63">
            <w:pPr>
              <w:widowControl/>
              <w:textAlignment w:val="baseline"/>
              <w:rPr>
                <w:rFonts w:hint="eastAsia" w:ascii="宋体" w:hAnsi="宋体"/>
                <w:color w:val="000000"/>
                <w:sz w:val="24"/>
              </w:rPr>
            </w:pPr>
            <w:r>
              <w:rPr>
                <w:rFonts w:hint="eastAsia" w:ascii="宋体" w:hAnsi="宋体"/>
                <w:color w:val="000000"/>
                <w:sz w:val="24"/>
              </w:rPr>
              <w:t>日志审计中心可以集中对独立安装的日志采集器进行统一管理，能够对日志的解析策略进行统一下发。</w:t>
            </w:r>
          </w:p>
        </w:tc>
      </w:tr>
      <w:tr w14:paraId="70F2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3D49F516">
            <w:pPr>
              <w:widowControl/>
              <w:contextualSpacing/>
              <w:jc w:val="center"/>
              <w:rPr>
                <w:rFonts w:hint="eastAsia" w:ascii="宋体" w:hAnsi="宋体"/>
                <w:color w:val="000000"/>
                <w:sz w:val="24"/>
              </w:rPr>
            </w:pPr>
            <w:r>
              <w:rPr>
                <w:rFonts w:hint="eastAsia" w:ascii="宋体" w:hAnsi="宋体"/>
                <w:color w:val="000000"/>
                <w:sz w:val="24"/>
              </w:rPr>
              <w:t>部署要求</w:t>
            </w:r>
          </w:p>
        </w:tc>
        <w:tc>
          <w:tcPr>
            <w:tcW w:w="6925" w:type="dxa"/>
            <w:noWrap w:val="0"/>
            <w:vAlign w:val="center"/>
          </w:tcPr>
          <w:p w14:paraId="1A39C085">
            <w:pPr>
              <w:widowControl/>
              <w:textAlignment w:val="baseline"/>
              <w:rPr>
                <w:rFonts w:hint="eastAsia" w:ascii="宋体" w:hAnsi="宋体"/>
                <w:color w:val="000000"/>
                <w:sz w:val="24"/>
              </w:rPr>
            </w:pPr>
            <w:r>
              <w:rPr>
                <w:rFonts w:hint="eastAsia" w:ascii="宋体" w:hAnsi="宋体"/>
                <w:color w:val="000000"/>
                <w:sz w:val="24"/>
              </w:rPr>
              <w:t>支持单级部署和级联部署，支持分布式部署。</w:t>
            </w:r>
          </w:p>
        </w:tc>
      </w:tr>
      <w:tr w14:paraId="379C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5E07B933">
            <w:pPr>
              <w:widowControl/>
              <w:contextualSpacing/>
              <w:jc w:val="center"/>
              <w:rPr>
                <w:rFonts w:hint="eastAsia" w:ascii="宋体" w:hAnsi="宋体"/>
                <w:color w:val="000000"/>
                <w:sz w:val="24"/>
              </w:rPr>
            </w:pPr>
            <w:r>
              <w:rPr>
                <w:rFonts w:hint="eastAsia" w:ascii="宋体" w:hAnsi="宋体"/>
                <w:color w:val="000000"/>
                <w:sz w:val="24"/>
              </w:rPr>
              <w:t>资产管理</w:t>
            </w:r>
          </w:p>
        </w:tc>
        <w:tc>
          <w:tcPr>
            <w:tcW w:w="6925" w:type="dxa"/>
            <w:noWrap w:val="0"/>
            <w:vAlign w:val="center"/>
          </w:tcPr>
          <w:p w14:paraId="0D792842">
            <w:pPr>
              <w:widowControl/>
              <w:textAlignment w:val="baseline"/>
              <w:rPr>
                <w:rFonts w:hint="eastAsia" w:ascii="宋体" w:hAnsi="宋体"/>
                <w:color w:val="000000"/>
                <w:sz w:val="24"/>
              </w:rPr>
            </w:pPr>
            <w:r>
              <w:rPr>
                <w:rFonts w:hint="eastAsia" w:ascii="宋体" w:hAnsi="宋体"/>
                <w:color w:val="000000"/>
                <w:sz w:val="24"/>
              </w:rPr>
              <w:t xml:space="preserve">满足系统提供基于资产的拓扑视图，可以按列表和拓扑两种模式显示资产拓扑节点；可查看每个资产设备本身产生的事件信息、关联告警信息，并且支持向下钻取，直接进入事件列表、关联告警列表； </w:t>
            </w:r>
          </w:p>
          <w:p w14:paraId="4E755F85">
            <w:pPr>
              <w:widowControl/>
              <w:textAlignment w:val="baseline"/>
              <w:rPr>
                <w:rFonts w:hint="eastAsia" w:ascii="宋体" w:hAnsi="宋体"/>
                <w:color w:val="000000"/>
                <w:sz w:val="24"/>
              </w:rPr>
            </w:pPr>
            <w:r>
              <w:rPr>
                <w:rFonts w:hint="eastAsia" w:ascii="宋体" w:hAnsi="宋体"/>
                <w:color w:val="000000"/>
                <w:sz w:val="24"/>
              </w:rPr>
              <w:t>满足能够根据收到的事件的设备地址自动识别新的资产并自动添加到资产库中。</w:t>
            </w:r>
          </w:p>
        </w:tc>
      </w:tr>
      <w:tr w14:paraId="4E7F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4E948DA8">
            <w:pPr>
              <w:widowControl/>
              <w:contextualSpacing/>
              <w:jc w:val="center"/>
              <w:rPr>
                <w:rFonts w:hint="eastAsia" w:ascii="宋体" w:hAnsi="宋体"/>
                <w:color w:val="000000"/>
                <w:sz w:val="24"/>
              </w:rPr>
            </w:pPr>
            <w:r>
              <w:rPr>
                <w:rFonts w:hint="eastAsia" w:ascii="宋体" w:hAnsi="宋体"/>
                <w:color w:val="000000"/>
                <w:sz w:val="24"/>
              </w:rPr>
              <w:t>工作台</w:t>
            </w:r>
          </w:p>
        </w:tc>
        <w:tc>
          <w:tcPr>
            <w:tcW w:w="6925" w:type="dxa"/>
            <w:noWrap w:val="0"/>
            <w:vAlign w:val="center"/>
          </w:tcPr>
          <w:p w14:paraId="60A68DE5">
            <w:pPr>
              <w:widowControl/>
              <w:textAlignment w:val="baseline"/>
              <w:rPr>
                <w:rFonts w:hint="eastAsia" w:ascii="宋体" w:hAnsi="宋体"/>
                <w:color w:val="000000"/>
                <w:sz w:val="24"/>
              </w:rPr>
            </w:pPr>
            <w:r>
              <w:rPr>
                <w:rFonts w:hint="eastAsia" w:ascii="宋体" w:hAnsi="宋体"/>
                <w:color w:val="000000"/>
                <w:sz w:val="24"/>
              </w:rPr>
              <w:t>满足系统内置基本的仪表板。用户可以在工作台中自定义仪表板，按需设计仪表板显示的内容和布局，可以为用户建立不同维度的仪表板。</w:t>
            </w:r>
          </w:p>
          <w:p w14:paraId="6AB5226A">
            <w:pPr>
              <w:widowControl/>
              <w:textAlignment w:val="baseline"/>
              <w:rPr>
                <w:rFonts w:hint="eastAsia" w:ascii="宋体" w:hAnsi="宋体"/>
                <w:color w:val="000000"/>
                <w:sz w:val="24"/>
              </w:rPr>
            </w:pPr>
            <w:r>
              <w:rPr>
                <w:rFonts w:hint="eastAsia" w:ascii="宋体" w:hAnsi="宋体"/>
                <w:color w:val="000000"/>
                <w:sz w:val="24"/>
              </w:rPr>
              <w:t>满足仪表板中的每个显示区域都能够放大、缩小、拖动。</w:t>
            </w:r>
          </w:p>
        </w:tc>
      </w:tr>
      <w:tr w14:paraId="2509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687CB27E">
            <w:pPr>
              <w:widowControl/>
              <w:contextualSpacing/>
              <w:jc w:val="center"/>
              <w:rPr>
                <w:rFonts w:hint="eastAsia" w:ascii="宋体" w:hAnsi="宋体"/>
                <w:color w:val="000000"/>
                <w:sz w:val="24"/>
              </w:rPr>
            </w:pPr>
            <w:r>
              <w:rPr>
                <w:rFonts w:hint="eastAsia" w:ascii="宋体" w:hAnsi="宋体"/>
                <w:color w:val="000000"/>
                <w:sz w:val="24"/>
              </w:rPr>
              <w:t>日志管理</w:t>
            </w:r>
          </w:p>
        </w:tc>
        <w:tc>
          <w:tcPr>
            <w:tcW w:w="6925" w:type="dxa"/>
            <w:noWrap w:val="0"/>
            <w:vAlign w:val="center"/>
          </w:tcPr>
          <w:p w14:paraId="2F6B6A56">
            <w:pPr>
              <w:widowControl/>
              <w:textAlignment w:val="baseline"/>
              <w:rPr>
                <w:rFonts w:hint="eastAsia" w:ascii="宋体" w:hAnsi="宋体"/>
                <w:color w:val="000000"/>
                <w:sz w:val="24"/>
              </w:rPr>
            </w:pPr>
            <w:r>
              <w:rPr>
                <w:rFonts w:hint="eastAsia" w:ascii="宋体" w:hAnsi="宋体"/>
                <w:color w:val="000000"/>
                <w:sz w:val="24"/>
              </w:rPr>
              <w:t>满足日志可加密压缩传输 支持加密压缩方式转发，定时转发。</w:t>
            </w:r>
          </w:p>
          <w:p w14:paraId="7804745F">
            <w:pPr>
              <w:widowControl/>
              <w:textAlignment w:val="baseline"/>
              <w:rPr>
                <w:rFonts w:hint="eastAsia" w:ascii="宋体" w:hAnsi="宋体"/>
                <w:color w:val="000000"/>
                <w:sz w:val="24"/>
              </w:rPr>
            </w:pPr>
            <w:r>
              <w:rPr>
                <w:rFonts w:hint="eastAsia" w:ascii="宋体" w:hAnsi="宋体"/>
                <w:color w:val="000000"/>
                <w:sz w:val="24"/>
              </w:rPr>
              <w:t xml:space="preserve">满足支持日志源管理功能，对断点日志源可以产生告警。 </w:t>
            </w:r>
          </w:p>
        </w:tc>
      </w:tr>
      <w:tr w14:paraId="346C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09592C0D">
            <w:pPr>
              <w:widowControl/>
              <w:contextualSpacing/>
              <w:jc w:val="center"/>
              <w:rPr>
                <w:rFonts w:hint="eastAsia" w:ascii="宋体" w:hAnsi="宋体"/>
                <w:color w:val="000000"/>
                <w:sz w:val="24"/>
              </w:rPr>
            </w:pPr>
            <w:r>
              <w:rPr>
                <w:rFonts w:hint="eastAsia" w:ascii="宋体" w:hAnsi="宋体"/>
                <w:color w:val="000000"/>
                <w:sz w:val="24"/>
              </w:rPr>
              <w:t>日志范式化</w:t>
            </w:r>
          </w:p>
        </w:tc>
        <w:tc>
          <w:tcPr>
            <w:tcW w:w="6925" w:type="dxa"/>
            <w:noWrap w:val="0"/>
            <w:vAlign w:val="center"/>
          </w:tcPr>
          <w:p w14:paraId="6C5010D3">
            <w:pPr>
              <w:widowControl/>
              <w:textAlignment w:val="baseline"/>
              <w:rPr>
                <w:rFonts w:hint="eastAsia" w:ascii="宋体" w:hAnsi="宋体"/>
                <w:color w:val="000000"/>
                <w:sz w:val="24"/>
              </w:rPr>
            </w:pPr>
            <w:r>
              <w:rPr>
                <w:rFonts w:hint="eastAsia" w:ascii="宋体" w:hAnsi="宋体"/>
                <w:color w:val="000000"/>
                <w:sz w:val="24"/>
              </w:rPr>
              <w:t>满足范式化字段至少应包括事件接收时间、事件产生时间、事件持续时间、用户名称、源地址、源MAC地址、源端口、操作、目的地址、目的MAC地址、目的端口、事件名称、事件摘要、等级、原始等级、原始类型、网络协议、网络应用协议、设备地址、设备名称、设备类型等；针对不支持的事件类型做范式化不需改动编码，通过修改配置文件即可完成。</w:t>
            </w:r>
          </w:p>
          <w:p w14:paraId="15E1B1E2">
            <w:pPr>
              <w:widowControl/>
              <w:textAlignment w:val="baseline"/>
              <w:rPr>
                <w:rFonts w:hint="eastAsia" w:ascii="宋体" w:hAnsi="宋体"/>
                <w:color w:val="000000"/>
                <w:sz w:val="24"/>
              </w:rPr>
            </w:pPr>
            <w:r>
              <w:rPr>
                <w:rFonts w:hint="eastAsia" w:ascii="宋体" w:hAnsi="宋体"/>
                <w:color w:val="000000"/>
                <w:sz w:val="24"/>
              </w:rPr>
              <w:t>满足产品界面支持范式化文件的导入导出功能。</w:t>
            </w:r>
          </w:p>
        </w:tc>
      </w:tr>
      <w:tr w14:paraId="5601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229669CB">
            <w:pPr>
              <w:widowControl/>
              <w:contextualSpacing/>
              <w:jc w:val="center"/>
              <w:rPr>
                <w:rFonts w:hint="eastAsia" w:ascii="宋体" w:hAnsi="宋体"/>
                <w:color w:val="000000"/>
                <w:sz w:val="24"/>
              </w:rPr>
            </w:pPr>
            <w:r>
              <w:rPr>
                <w:rFonts w:hint="eastAsia" w:ascii="宋体" w:hAnsi="宋体"/>
                <w:color w:val="000000"/>
                <w:sz w:val="24"/>
              </w:rPr>
              <w:t>日志分析</w:t>
            </w:r>
          </w:p>
        </w:tc>
        <w:tc>
          <w:tcPr>
            <w:tcW w:w="6925" w:type="dxa"/>
            <w:noWrap w:val="0"/>
            <w:vAlign w:val="center"/>
          </w:tcPr>
          <w:p w14:paraId="61DD9921">
            <w:pPr>
              <w:widowControl/>
              <w:textAlignment w:val="baseline"/>
              <w:rPr>
                <w:rFonts w:hint="eastAsia" w:ascii="宋体" w:hAnsi="宋体"/>
                <w:color w:val="000000"/>
                <w:sz w:val="24"/>
              </w:rPr>
            </w:pPr>
            <w:r>
              <w:rPr>
                <w:rFonts w:hint="eastAsia" w:ascii="宋体" w:hAnsi="宋体"/>
                <w:color w:val="000000"/>
                <w:sz w:val="24"/>
              </w:rPr>
              <w:t>满足系统需内置不同分析场景，包括各种实时分析场景、历史统计场景、实时统计等。并支持支持自定义场景。</w:t>
            </w:r>
          </w:p>
          <w:p w14:paraId="4441E989">
            <w:pPr>
              <w:widowControl/>
              <w:textAlignment w:val="baseline"/>
              <w:rPr>
                <w:rFonts w:hint="eastAsia" w:ascii="宋体" w:hAnsi="宋体"/>
                <w:color w:val="000000"/>
                <w:sz w:val="24"/>
              </w:rPr>
            </w:pPr>
            <w:r>
              <w:rPr>
                <w:rFonts w:hint="eastAsia" w:ascii="宋体" w:hAnsi="宋体"/>
                <w:color w:val="000000"/>
                <w:sz w:val="24"/>
              </w:rPr>
              <w:t xml:space="preserve">满足可以手工对选中日志进行告警或者加入观察列表中。 </w:t>
            </w:r>
          </w:p>
          <w:p w14:paraId="1F0F95A4">
            <w:pPr>
              <w:widowControl/>
              <w:textAlignment w:val="baseline"/>
              <w:rPr>
                <w:rFonts w:hint="eastAsia" w:ascii="宋体" w:hAnsi="宋体"/>
                <w:color w:val="000000"/>
                <w:sz w:val="24"/>
              </w:rPr>
            </w:pPr>
            <w:r>
              <w:rPr>
                <w:rFonts w:hint="eastAsia" w:ascii="宋体" w:hAnsi="宋体"/>
                <w:color w:val="000000"/>
                <w:sz w:val="24"/>
              </w:rPr>
              <w:t>满足自定义事件查询策略，基于事件类型的查询条件不少于10大项50小项。</w:t>
            </w:r>
          </w:p>
          <w:p w14:paraId="628E6095">
            <w:pPr>
              <w:widowControl/>
              <w:textAlignment w:val="baseline"/>
              <w:rPr>
                <w:rFonts w:hint="eastAsia" w:ascii="宋体" w:hAnsi="宋体"/>
                <w:color w:val="000000"/>
                <w:sz w:val="24"/>
              </w:rPr>
            </w:pPr>
            <w:r>
              <w:rPr>
                <w:rFonts w:hint="eastAsia" w:ascii="宋体" w:hAnsi="宋体"/>
                <w:color w:val="000000"/>
                <w:sz w:val="24"/>
              </w:rPr>
              <w:t>满足可以对选中的日志提供在线/离线地图定位、视网膜图、事件拓扑图等多种分析工具。</w:t>
            </w:r>
          </w:p>
          <w:p w14:paraId="78AE5DE2">
            <w:pPr>
              <w:widowControl/>
              <w:textAlignment w:val="baseline"/>
              <w:rPr>
                <w:rFonts w:hint="eastAsia" w:ascii="宋体" w:hAnsi="宋体"/>
                <w:color w:val="000000"/>
                <w:sz w:val="24"/>
              </w:rPr>
            </w:pPr>
            <w:r>
              <w:rPr>
                <w:rFonts w:hint="eastAsia" w:ascii="宋体" w:hAnsi="宋体"/>
                <w:color w:val="000000"/>
                <w:sz w:val="24"/>
              </w:rPr>
              <w:t>可以显示一段时间的动态日志移动图，能够在图上显示每个时间切片的日志数量、等级，并能够在图上显示每秒事件数。用户点击每个时间切片，可以查看该切片内的日志。</w:t>
            </w:r>
          </w:p>
        </w:tc>
      </w:tr>
      <w:tr w14:paraId="5332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23CD9A90">
            <w:pPr>
              <w:widowControl/>
              <w:contextualSpacing/>
              <w:jc w:val="center"/>
              <w:rPr>
                <w:rFonts w:hint="eastAsia" w:ascii="宋体" w:hAnsi="宋体"/>
                <w:color w:val="000000"/>
                <w:sz w:val="24"/>
              </w:rPr>
            </w:pPr>
            <w:r>
              <w:rPr>
                <w:rFonts w:hint="eastAsia" w:ascii="宋体" w:hAnsi="宋体"/>
                <w:color w:val="000000"/>
                <w:sz w:val="24"/>
              </w:rPr>
              <w:t>关联分析</w:t>
            </w:r>
          </w:p>
        </w:tc>
        <w:tc>
          <w:tcPr>
            <w:tcW w:w="6925" w:type="dxa"/>
            <w:noWrap w:val="0"/>
            <w:vAlign w:val="center"/>
          </w:tcPr>
          <w:p w14:paraId="73158F9A">
            <w:pPr>
              <w:widowControl/>
              <w:textAlignment w:val="baseline"/>
              <w:rPr>
                <w:rFonts w:hint="eastAsia" w:ascii="宋体" w:hAnsi="宋体"/>
                <w:color w:val="000000"/>
                <w:sz w:val="24"/>
              </w:rPr>
            </w:pPr>
            <w:r>
              <w:rPr>
                <w:rFonts w:hint="eastAsia" w:ascii="宋体" w:hAnsi="宋体"/>
                <w:color w:val="000000"/>
                <w:sz w:val="24"/>
              </w:rPr>
              <w:t>满足提供基于图形化方式的规则编辑器；规则可导入导出。</w:t>
            </w:r>
          </w:p>
          <w:p w14:paraId="09503A1C">
            <w:pPr>
              <w:widowControl/>
              <w:textAlignment w:val="baseline"/>
              <w:rPr>
                <w:rFonts w:hint="eastAsia" w:ascii="宋体" w:hAnsi="宋体"/>
                <w:color w:val="000000"/>
                <w:sz w:val="24"/>
              </w:rPr>
            </w:pPr>
            <w:r>
              <w:rPr>
                <w:rFonts w:hint="eastAsia" w:ascii="宋体" w:hAnsi="宋体"/>
                <w:color w:val="000000"/>
                <w:sz w:val="24"/>
              </w:rPr>
              <w:t>满足在编辑规则条件的时候，可以针对事件属性引用规则、应用资产属性、引用资源。</w:t>
            </w:r>
          </w:p>
        </w:tc>
      </w:tr>
      <w:tr w14:paraId="2FF6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7D978435">
            <w:pPr>
              <w:widowControl/>
              <w:contextualSpacing/>
              <w:jc w:val="center"/>
              <w:rPr>
                <w:rFonts w:hint="eastAsia" w:ascii="宋体" w:hAnsi="宋体"/>
                <w:color w:val="000000"/>
                <w:sz w:val="24"/>
              </w:rPr>
            </w:pPr>
            <w:r>
              <w:rPr>
                <w:rFonts w:hint="eastAsia" w:ascii="宋体" w:hAnsi="宋体"/>
                <w:color w:val="000000"/>
                <w:sz w:val="24"/>
              </w:rPr>
              <w:t>综合显示</w:t>
            </w:r>
          </w:p>
        </w:tc>
        <w:tc>
          <w:tcPr>
            <w:tcW w:w="6925" w:type="dxa"/>
            <w:noWrap w:val="0"/>
            <w:vAlign w:val="center"/>
          </w:tcPr>
          <w:p w14:paraId="7C7D36E0">
            <w:pPr>
              <w:widowControl/>
              <w:textAlignment w:val="baseline"/>
              <w:rPr>
                <w:rFonts w:hint="eastAsia" w:ascii="宋体" w:hAnsi="宋体"/>
                <w:color w:val="000000"/>
                <w:sz w:val="24"/>
              </w:rPr>
            </w:pPr>
            <w:r>
              <w:rPr>
                <w:rFonts w:hint="eastAsia" w:ascii="宋体" w:hAnsi="宋体"/>
                <w:color w:val="000000"/>
                <w:sz w:val="24"/>
              </w:rPr>
              <w:t>满足能够显示告警状态雷达图，日志趋势曲线图；最近事件览图；最近一段时间不同日志分类的日志数量，不同等级的日志的数量，事件EPS曲线。</w:t>
            </w:r>
          </w:p>
        </w:tc>
      </w:tr>
    </w:tbl>
    <w:p w14:paraId="3B897722">
      <w:pPr>
        <w:pStyle w:val="3"/>
        <w:rPr>
          <w:rFonts w:hint="eastAsia" w:hAnsi="宋体"/>
          <w:color w:val="000000"/>
        </w:rPr>
      </w:pPr>
    </w:p>
    <w:p w14:paraId="3FDB0C36">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（6）数据库审计服务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6925"/>
      </w:tblGrid>
      <w:tr w14:paraId="1E9D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top"/>
          </w:tcPr>
          <w:p w14:paraId="1981B45D">
            <w:pPr>
              <w:widowControl/>
              <w:contextualSpacing/>
              <w:jc w:val="center"/>
              <w:rPr>
                <w:rFonts w:hint="eastAsia" w:ascii="宋体" w:hAnsi="宋体" w:cs="宋体"/>
                <w:color w:val="000000"/>
                <w:sz w:val="24"/>
              </w:rPr>
            </w:pPr>
            <w:r>
              <w:rPr>
                <w:rFonts w:hint="eastAsia" w:ascii="宋体" w:hAnsi="宋体" w:cs="宋体"/>
                <w:color w:val="000000"/>
                <w:sz w:val="24"/>
              </w:rPr>
              <w:t>指标项</w:t>
            </w:r>
          </w:p>
        </w:tc>
        <w:tc>
          <w:tcPr>
            <w:tcW w:w="6925" w:type="dxa"/>
            <w:noWrap w:val="0"/>
            <w:vAlign w:val="top"/>
          </w:tcPr>
          <w:p w14:paraId="24225A29">
            <w:pPr>
              <w:widowControl/>
              <w:contextualSpacing/>
              <w:jc w:val="center"/>
              <w:rPr>
                <w:rFonts w:hint="eastAsia" w:ascii="宋体" w:hAnsi="宋体" w:cs="宋体"/>
                <w:color w:val="000000"/>
                <w:sz w:val="24"/>
              </w:rPr>
            </w:pPr>
            <w:r>
              <w:rPr>
                <w:rFonts w:hint="eastAsia" w:ascii="宋体" w:hAnsi="宋体" w:cs="宋体"/>
                <w:color w:val="000000"/>
                <w:sz w:val="24"/>
              </w:rPr>
              <w:t>招标要求</w:t>
            </w:r>
          </w:p>
        </w:tc>
      </w:tr>
      <w:tr w14:paraId="03CB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restart"/>
            <w:noWrap w:val="0"/>
            <w:vAlign w:val="center"/>
          </w:tcPr>
          <w:p w14:paraId="4F7CB4AA">
            <w:pPr>
              <w:widowControl/>
              <w:contextualSpacing/>
              <w:jc w:val="center"/>
              <w:rPr>
                <w:rFonts w:hint="eastAsia" w:ascii="宋体" w:hAnsi="宋体" w:cs="宋体"/>
                <w:color w:val="000000"/>
                <w:sz w:val="24"/>
              </w:rPr>
            </w:pPr>
            <w:r>
              <w:rPr>
                <w:rFonts w:hint="eastAsia" w:ascii="宋体" w:hAnsi="宋体" w:cs="宋体"/>
                <w:color w:val="000000"/>
                <w:sz w:val="24"/>
              </w:rPr>
              <w:t>审计协议</w:t>
            </w:r>
          </w:p>
        </w:tc>
        <w:tc>
          <w:tcPr>
            <w:tcW w:w="6925" w:type="dxa"/>
            <w:noWrap w:val="0"/>
            <w:vAlign w:val="center"/>
          </w:tcPr>
          <w:p w14:paraId="152BADBC">
            <w:pPr>
              <w:widowControl/>
              <w:textAlignment w:val="baseline"/>
              <w:rPr>
                <w:rFonts w:hint="eastAsia" w:ascii="宋体" w:hAnsi="宋体" w:cs="宋体"/>
                <w:color w:val="000000"/>
                <w:sz w:val="24"/>
                <w:highlight w:val="yellow"/>
              </w:rPr>
            </w:pPr>
            <w:r>
              <w:rPr>
                <w:rFonts w:hint="eastAsia" w:ascii="宋体" w:hAnsi="宋体" w:cs="宋体"/>
                <w:color w:val="000000"/>
                <w:sz w:val="24"/>
              </w:rPr>
              <w:t>支持</w:t>
            </w:r>
            <w:r>
              <w:rPr>
                <w:rFonts w:hint="eastAsia" w:ascii="宋体" w:hAnsi="宋体" w:cs="宋体"/>
                <w:color w:val="000000"/>
              </w:rPr>
              <w:t>Tdsql、Oracle、SQL-Server、DB2、MySQL等数据库审计。</w:t>
            </w:r>
          </w:p>
        </w:tc>
      </w:tr>
      <w:tr w14:paraId="2387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32C79EA9">
            <w:pPr>
              <w:widowControl/>
              <w:contextualSpacing/>
              <w:jc w:val="center"/>
              <w:rPr>
                <w:rFonts w:hint="eastAsia" w:ascii="宋体" w:hAnsi="宋体" w:cs="宋体"/>
                <w:color w:val="000000"/>
                <w:sz w:val="24"/>
              </w:rPr>
            </w:pPr>
          </w:p>
        </w:tc>
        <w:tc>
          <w:tcPr>
            <w:tcW w:w="6925" w:type="dxa"/>
            <w:noWrap w:val="0"/>
            <w:vAlign w:val="center"/>
          </w:tcPr>
          <w:p w14:paraId="6C1FC819">
            <w:pPr>
              <w:widowControl/>
              <w:textAlignment w:val="baseline"/>
              <w:rPr>
                <w:rFonts w:hint="eastAsia" w:ascii="宋体" w:hAnsi="宋体" w:cs="宋体"/>
                <w:color w:val="000000"/>
                <w:sz w:val="24"/>
              </w:rPr>
            </w:pPr>
            <w:r>
              <w:rPr>
                <w:rFonts w:hint="eastAsia" w:ascii="宋体" w:hAnsi="宋体" w:cs="宋体"/>
                <w:color w:val="000000"/>
                <w:sz w:val="24"/>
              </w:rPr>
              <w:t>支持高斯（Gauss）、人大金仓KingBase、神通(OSCAR)、达梦(DM)、南大通用(GBase) 等数据库进行审计。</w:t>
            </w:r>
          </w:p>
        </w:tc>
      </w:tr>
      <w:tr w14:paraId="5209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665F74E9">
            <w:pPr>
              <w:widowControl/>
              <w:contextualSpacing/>
              <w:jc w:val="center"/>
              <w:rPr>
                <w:rFonts w:hint="eastAsia" w:ascii="宋体" w:hAnsi="宋体" w:cs="宋体"/>
                <w:color w:val="000000"/>
                <w:sz w:val="24"/>
              </w:rPr>
            </w:pPr>
          </w:p>
        </w:tc>
        <w:tc>
          <w:tcPr>
            <w:tcW w:w="6925" w:type="dxa"/>
            <w:noWrap w:val="0"/>
            <w:vAlign w:val="center"/>
          </w:tcPr>
          <w:p w14:paraId="2A771FF0">
            <w:pPr>
              <w:widowControl/>
              <w:textAlignment w:val="baseline"/>
              <w:rPr>
                <w:rFonts w:hint="eastAsia" w:ascii="宋体" w:hAnsi="宋体" w:cs="宋体"/>
                <w:color w:val="000000"/>
                <w:sz w:val="24"/>
              </w:rPr>
            </w:pPr>
            <w:r>
              <w:rPr>
                <w:rFonts w:hint="eastAsia" w:ascii="宋体" w:hAnsi="宋体" w:cs="宋体"/>
                <w:color w:val="000000"/>
                <w:sz w:val="24"/>
              </w:rPr>
              <w:t>支持MongoDB、Redis、Hbase、hive、ES等数据库进行审计。</w:t>
            </w:r>
          </w:p>
        </w:tc>
      </w:tr>
      <w:tr w14:paraId="694E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4923B7E6">
            <w:pPr>
              <w:widowControl/>
              <w:contextualSpacing/>
              <w:jc w:val="center"/>
              <w:rPr>
                <w:rFonts w:hint="eastAsia" w:ascii="宋体" w:hAnsi="宋体" w:cs="宋体"/>
                <w:color w:val="000000"/>
                <w:sz w:val="24"/>
              </w:rPr>
            </w:pPr>
          </w:p>
        </w:tc>
        <w:tc>
          <w:tcPr>
            <w:tcW w:w="6925" w:type="dxa"/>
            <w:noWrap w:val="0"/>
            <w:vAlign w:val="center"/>
          </w:tcPr>
          <w:p w14:paraId="0609D8DC">
            <w:pPr>
              <w:widowControl/>
              <w:textAlignment w:val="baseline"/>
              <w:rPr>
                <w:rFonts w:hint="eastAsia" w:ascii="宋体" w:hAnsi="宋体" w:cs="宋体"/>
                <w:color w:val="000000"/>
                <w:sz w:val="24"/>
              </w:rPr>
            </w:pPr>
            <w:r>
              <w:rPr>
                <w:rFonts w:hint="eastAsia" w:ascii="宋体" w:hAnsi="宋体" w:cs="宋体"/>
                <w:color w:val="000000"/>
                <w:sz w:val="24"/>
              </w:rPr>
              <w:t>支持FTP、Rlogin、Radius、NFS、X11等协议审计。</w:t>
            </w:r>
          </w:p>
        </w:tc>
      </w:tr>
      <w:tr w14:paraId="48D4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restart"/>
            <w:noWrap w:val="0"/>
            <w:vAlign w:val="center"/>
          </w:tcPr>
          <w:p w14:paraId="281F086C">
            <w:pPr>
              <w:widowControl/>
              <w:contextualSpacing/>
              <w:jc w:val="center"/>
              <w:rPr>
                <w:rFonts w:hint="eastAsia" w:ascii="宋体" w:hAnsi="宋体" w:cs="宋体"/>
                <w:color w:val="000000"/>
                <w:sz w:val="24"/>
              </w:rPr>
            </w:pPr>
            <w:r>
              <w:rPr>
                <w:rFonts w:hint="eastAsia" w:ascii="宋体" w:hAnsi="宋体" w:cs="宋体"/>
                <w:color w:val="000000"/>
                <w:sz w:val="24"/>
              </w:rPr>
              <w:t>审计能力与效果</w:t>
            </w:r>
          </w:p>
        </w:tc>
        <w:tc>
          <w:tcPr>
            <w:tcW w:w="6925" w:type="dxa"/>
            <w:noWrap w:val="0"/>
            <w:vAlign w:val="center"/>
          </w:tcPr>
          <w:p w14:paraId="72170D8A">
            <w:pPr>
              <w:widowControl/>
              <w:textAlignment w:val="baseline"/>
              <w:rPr>
                <w:rFonts w:hint="eastAsia" w:ascii="宋体" w:hAnsi="宋体" w:cs="宋体"/>
                <w:color w:val="000000"/>
                <w:sz w:val="24"/>
              </w:rPr>
            </w:pPr>
            <w:r>
              <w:rPr>
                <w:rFonts w:hint="eastAsia" w:ascii="宋体" w:hAnsi="宋体" w:cs="宋体"/>
                <w:color w:val="000000"/>
                <w:sz w:val="24"/>
              </w:rPr>
              <w:t>系统应内置规则集，对数据库DML、DCL、DDL等语句及FTP、Telnet等协议中的命令进行归类，便于用户定制审计策略。</w:t>
            </w:r>
          </w:p>
        </w:tc>
      </w:tr>
      <w:tr w14:paraId="1E1C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4EA70C30">
            <w:pPr>
              <w:widowControl/>
              <w:contextualSpacing/>
              <w:jc w:val="center"/>
              <w:rPr>
                <w:rFonts w:hint="eastAsia" w:ascii="宋体" w:hAnsi="宋体" w:cs="宋体"/>
                <w:color w:val="000000"/>
                <w:sz w:val="24"/>
              </w:rPr>
            </w:pPr>
          </w:p>
        </w:tc>
        <w:tc>
          <w:tcPr>
            <w:tcW w:w="6925" w:type="dxa"/>
            <w:noWrap w:val="0"/>
            <w:vAlign w:val="center"/>
          </w:tcPr>
          <w:p w14:paraId="19551CB7">
            <w:pPr>
              <w:widowControl/>
              <w:textAlignment w:val="baseline"/>
              <w:rPr>
                <w:rFonts w:hint="eastAsia" w:ascii="宋体" w:hAnsi="宋体" w:cs="宋体"/>
                <w:color w:val="000000"/>
                <w:sz w:val="24"/>
              </w:rPr>
            </w:pPr>
            <w:r>
              <w:rPr>
                <w:rFonts w:hint="eastAsia" w:ascii="宋体" w:hAnsi="宋体" w:cs="宋体"/>
                <w:color w:val="000000"/>
                <w:sz w:val="24"/>
              </w:rPr>
              <w:t>审计策略支持时间、源IP、目的IP、协议、端口、登陆账号、命令作为响应条件。</w:t>
            </w:r>
          </w:p>
        </w:tc>
      </w:tr>
      <w:tr w14:paraId="42D9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37112FB3">
            <w:pPr>
              <w:widowControl/>
              <w:contextualSpacing/>
              <w:jc w:val="center"/>
              <w:rPr>
                <w:rFonts w:hint="eastAsia" w:ascii="宋体" w:hAnsi="宋体" w:cs="宋体"/>
                <w:color w:val="000000"/>
                <w:sz w:val="24"/>
              </w:rPr>
            </w:pPr>
          </w:p>
        </w:tc>
        <w:tc>
          <w:tcPr>
            <w:tcW w:w="6925" w:type="dxa"/>
            <w:noWrap w:val="0"/>
            <w:vAlign w:val="center"/>
          </w:tcPr>
          <w:p w14:paraId="022D4147">
            <w:pPr>
              <w:widowControl/>
              <w:textAlignment w:val="baseline"/>
              <w:rPr>
                <w:rFonts w:hint="eastAsia" w:ascii="宋体" w:hAnsi="宋体" w:cs="宋体"/>
                <w:color w:val="000000"/>
                <w:sz w:val="24"/>
              </w:rPr>
            </w:pPr>
            <w:r>
              <w:rPr>
                <w:rFonts w:hint="eastAsia" w:ascii="宋体" w:hAnsi="宋体" w:cs="宋体"/>
                <w:color w:val="000000"/>
                <w:sz w:val="24"/>
              </w:rPr>
              <w:t>审计策略支持数据库客户端软件名称、数据库名、数据库表名、数据库字段名、数据库返回码作为响应条件（非正则表达式方式）。</w:t>
            </w:r>
          </w:p>
        </w:tc>
      </w:tr>
      <w:tr w14:paraId="3BC0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24384AA0">
            <w:pPr>
              <w:widowControl/>
              <w:contextualSpacing/>
              <w:jc w:val="center"/>
              <w:rPr>
                <w:rFonts w:hint="eastAsia" w:ascii="宋体" w:hAnsi="宋体" w:cs="宋体"/>
                <w:color w:val="000000"/>
                <w:sz w:val="24"/>
              </w:rPr>
            </w:pPr>
          </w:p>
        </w:tc>
        <w:tc>
          <w:tcPr>
            <w:tcW w:w="6925" w:type="dxa"/>
            <w:noWrap w:val="0"/>
            <w:vAlign w:val="center"/>
          </w:tcPr>
          <w:p w14:paraId="5D33AFBF">
            <w:pPr>
              <w:widowControl/>
              <w:textAlignment w:val="baseline"/>
              <w:rPr>
                <w:rFonts w:hint="eastAsia" w:ascii="宋体" w:hAnsi="宋体" w:cs="宋体"/>
                <w:color w:val="000000"/>
                <w:sz w:val="24"/>
              </w:rPr>
            </w:pPr>
            <w:r>
              <w:rPr>
                <w:rFonts w:hint="eastAsia" w:ascii="宋体" w:hAnsi="宋体" w:cs="宋体"/>
                <w:color w:val="000000"/>
                <w:sz w:val="24"/>
              </w:rPr>
              <w:t>提供对数据库返回码的实时说明，帮助管理员快速对返回码进行识别。</w:t>
            </w:r>
          </w:p>
        </w:tc>
      </w:tr>
      <w:tr w14:paraId="02E6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781E9B53">
            <w:pPr>
              <w:widowControl/>
              <w:contextualSpacing/>
              <w:jc w:val="center"/>
              <w:rPr>
                <w:rFonts w:hint="eastAsia" w:ascii="宋体" w:hAnsi="宋体" w:cs="宋体"/>
                <w:color w:val="000000"/>
                <w:sz w:val="24"/>
              </w:rPr>
            </w:pPr>
          </w:p>
        </w:tc>
        <w:tc>
          <w:tcPr>
            <w:tcW w:w="6925" w:type="dxa"/>
            <w:noWrap w:val="0"/>
            <w:vAlign w:val="center"/>
          </w:tcPr>
          <w:p w14:paraId="684DE7C8">
            <w:pPr>
              <w:widowControl/>
              <w:textAlignment w:val="baseline"/>
              <w:rPr>
                <w:rFonts w:hint="eastAsia" w:ascii="宋体" w:hAnsi="宋体" w:cs="宋体"/>
                <w:color w:val="000000"/>
                <w:sz w:val="24"/>
              </w:rPr>
            </w:pPr>
            <w:r>
              <w:rPr>
                <w:rFonts w:hint="eastAsia" w:ascii="宋体" w:hAnsi="宋体" w:cs="宋体"/>
                <w:color w:val="000000"/>
                <w:sz w:val="24"/>
              </w:rPr>
              <w:t>支持对数据库DML、DCL、DDL语句的审计。</w:t>
            </w:r>
          </w:p>
        </w:tc>
      </w:tr>
      <w:tr w14:paraId="30EA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3E5EA615">
            <w:pPr>
              <w:widowControl/>
              <w:contextualSpacing/>
              <w:jc w:val="center"/>
              <w:rPr>
                <w:rFonts w:hint="eastAsia" w:ascii="宋体" w:hAnsi="宋体" w:cs="宋体"/>
                <w:color w:val="000000"/>
                <w:sz w:val="24"/>
              </w:rPr>
            </w:pPr>
          </w:p>
        </w:tc>
        <w:tc>
          <w:tcPr>
            <w:tcW w:w="6925" w:type="dxa"/>
            <w:noWrap w:val="0"/>
            <w:vAlign w:val="center"/>
          </w:tcPr>
          <w:p w14:paraId="1DF85C38">
            <w:pPr>
              <w:widowControl/>
              <w:textAlignment w:val="baseline"/>
              <w:rPr>
                <w:rFonts w:hint="eastAsia" w:ascii="宋体" w:hAnsi="宋体" w:cs="宋体"/>
                <w:color w:val="000000"/>
                <w:sz w:val="24"/>
              </w:rPr>
            </w:pPr>
            <w:r>
              <w:rPr>
                <w:rFonts w:hint="eastAsia" w:ascii="宋体" w:hAnsi="宋体" w:cs="宋体"/>
                <w:color w:val="000000"/>
                <w:sz w:val="24"/>
              </w:rPr>
              <w:t>审计策略支持数据库客户端软件名称、数据库名、数据库表名、数据库字段名、数据库返回码作为响应条件。</w:t>
            </w:r>
          </w:p>
        </w:tc>
      </w:tr>
      <w:tr w14:paraId="416E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0341CA66">
            <w:pPr>
              <w:widowControl/>
              <w:contextualSpacing/>
              <w:jc w:val="center"/>
              <w:rPr>
                <w:rFonts w:hint="eastAsia" w:ascii="宋体" w:hAnsi="宋体" w:cs="宋体"/>
                <w:color w:val="000000"/>
                <w:sz w:val="24"/>
              </w:rPr>
            </w:pPr>
          </w:p>
        </w:tc>
        <w:tc>
          <w:tcPr>
            <w:tcW w:w="6925" w:type="dxa"/>
            <w:noWrap w:val="0"/>
            <w:vAlign w:val="center"/>
          </w:tcPr>
          <w:p w14:paraId="7E7DBB4D">
            <w:pPr>
              <w:widowControl/>
              <w:textAlignment w:val="baseline"/>
              <w:rPr>
                <w:rFonts w:hint="eastAsia" w:ascii="宋体" w:hAnsi="宋体" w:cs="宋体"/>
                <w:color w:val="000000"/>
                <w:sz w:val="24"/>
              </w:rPr>
            </w:pPr>
            <w:r>
              <w:rPr>
                <w:rFonts w:hint="eastAsia" w:ascii="宋体" w:hAnsi="宋体" w:cs="宋体"/>
                <w:color w:val="000000"/>
                <w:sz w:val="24"/>
              </w:rPr>
              <w:t>审计策略支持时间、源IP、目的IP、协议、端口、登陆账号、命令作为响应条件。</w:t>
            </w:r>
          </w:p>
        </w:tc>
      </w:tr>
      <w:tr w14:paraId="08EA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0C52F729">
            <w:pPr>
              <w:widowControl/>
              <w:contextualSpacing/>
              <w:jc w:val="center"/>
              <w:rPr>
                <w:rFonts w:hint="eastAsia" w:ascii="宋体" w:hAnsi="宋体" w:cs="宋体"/>
                <w:color w:val="000000"/>
                <w:sz w:val="24"/>
              </w:rPr>
            </w:pPr>
          </w:p>
        </w:tc>
        <w:tc>
          <w:tcPr>
            <w:tcW w:w="6925" w:type="dxa"/>
            <w:noWrap w:val="0"/>
            <w:vAlign w:val="center"/>
          </w:tcPr>
          <w:p w14:paraId="6402E1F6">
            <w:pPr>
              <w:widowControl/>
              <w:textAlignment w:val="baseline"/>
              <w:rPr>
                <w:rFonts w:hint="eastAsia" w:ascii="宋体" w:hAnsi="宋体" w:cs="宋体"/>
                <w:color w:val="000000"/>
                <w:sz w:val="24"/>
              </w:rPr>
            </w:pPr>
            <w:r>
              <w:rPr>
                <w:rFonts w:hint="eastAsia" w:ascii="宋体" w:hAnsi="宋体" w:cs="宋体"/>
                <w:color w:val="000000"/>
                <w:sz w:val="24"/>
              </w:rPr>
              <w:t>支持对数据库绑定变量方式访问的审计。</w:t>
            </w:r>
          </w:p>
        </w:tc>
      </w:tr>
      <w:tr w14:paraId="334F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15238936">
            <w:pPr>
              <w:widowControl/>
              <w:contextualSpacing/>
              <w:jc w:val="center"/>
              <w:rPr>
                <w:rFonts w:hint="eastAsia" w:ascii="宋体" w:hAnsi="宋体" w:cs="宋体"/>
                <w:color w:val="000000"/>
                <w:sz w:val="24"/>
              </w:rPr>
            </w:pPr>
          </w:p>
        </w:tc>
        <w:tc>
          <w:tcPr>
            <w:tcW w:w="6925" w:type="dxa"/>
            <w:noWrap w:val="0"/>
            <w:vAlign w:val="center"/>
          </w:tcPr>
          <w:p w14:paraId="21564546">
            <w:pPr>
              <w:widowControl/>
              <w:textAlignment w:val="baseline"/>
              <w:rPr>
                <w:rFonts w:hint="eastAsia" w:ascii="宋体" w:hAnsi="宋体" w:cs="宋体"/>
                <w:color w:val="000000"/>
                <w:sz w:val="24"/>
              </w:rPr>
            </w:pPr>
            <w:r>
              <w:rPr>
                <w:rFonts w:hint="eastAsia" w:ascii="宋体" w:hAnsi="宋体" w:cs="宋体"/>
                <w:color w:val="000000"/>
                <w:sz w:val="24"/>
              </w:rPr>
              <w:t>支持访问数据库的源主机名、源主机用户的审计。</w:t>
            </w:r>
          </w:p>
        </w:tc>
      </w:tr>
      <w:tr w14:paraId="2741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6EC9ACF7">
            <w:pPr>
              <w:widowControl/>
              <w:contextualSpacing/>
              <w:jc w:val="center"/>
              <w:rPr>
                <w:rFonts w:hint="eastAsia" w:ascii="宋体" w:hAnsi="宋体" w:cs="宋体"/>
                <w:color w:val="000000"/>
                <w:sz w:val="24"/>
              </w:rPr>
            </w:pPr>
          </w:p>
        </w:tc>
        <w:tc>
          <w:tcPr>
            <w:tcW w:w="6925" w:type="dxa"/>
            <w:noWrap w:val="0"/>
            <w:vAlign w:val="center"/>
          </w:tcPr>
          <w:p w14:paraId="02C1FF9A">
            <w:pPr>
              <w:widowControl/>
              <w:textAlignment w:val="baseline"/>
              <w:rPr>
                <w:rFonts w:hint="eastAsia" w:ascii="宋体" w:hAnsi="宋体" w:cs="宋体"/>
                <w:color w:val="000000"/>
                <w:sz w:val="24"/>
              </w:rPr>
            </w:pPr>
            <w:r>
              <w:rPr>
                <w:rFonts w:hint="eastAsia" w:ascii="宋体" w:hAnsi="宋体" w:cs="宋体"/>
                <w:color w:val="000000"/>
                <w:sz w:val="24"/>
              </w:rPr>
              <w:t>支持SQL操作响应时间的审计。</w:t>
            </w:r>
          </w:p>
        </w:tc>
      </w:tr>
      <w:tr w14:paraId="29E8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05A0F087">
            <w:pPr>
              <w:widowControl/>
              <w:contextualSpacing/>
              <w:jc w:val="center"/>
              <w:rPr>
                <w:rFonts w:hint="eastAsia" w:ascii="宋体" w:hAnsi="宋体" w:cs="宋体"/>
                <w:color w:val="000000"/>
                <w:sz w:val="24"/>
              </w:rPr>
            </w:pPr>
          </w:p>
        </w:tc>
        <w:tc>
          <w:tcPr>
            <w:tcW w:w="6925" w:type="dxa"/>
            <w:noWrap w:val="0"/>
            <w:vAlign w:val="center"/>
          </w:tcPr>
          <w:p w14:paraId="0D0E6908">
            <w:pPr>
              <w:widowControl/>
              <w:textAlignment w:val="baseline"/>
              <w:rPr>
                <w:rFonts w:hint="eastAsia" w:ascii="宋体" w:hAnsi="宋体" w:cs="宋体"/>
                <w:color w:val="000000"/>
                <w:sz w:val="24"/>
              </w:rPr>
            </w:pPr>
            <w:r>
              <w:rPr>
                <w:rFonts w:hint="eastAsia" w:ascii="宋体" w:hAnsi="宋体" w:cs="宋体"/>
                <w:color w:val="000000"/>
                <w:sz w:val="24"/>
              </w:rPr>
              <w:t>支持Select操作返回行数和返回内容的审计。</w:t>
            </w:r>
          </w:p>
        </w:tc>
      </w:tr>
      <w:tr w14:paraId="7DE4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4C3A700E">
            <w:pPr>
              <w:widowControl/>
              <w:contextualSpacing/>
              <w:jc w:val="center"/>
              <w:rPr>
                <w:rFonts w:hint="eastAsia" w:ascii="宋体" w:hAnsi="宋体" w:cs="宋体"/>
                <w:color w:val="000000"/>
                <w:sz w:val="24"/>
              </w:rPr>
            </w:pPr>
          </w:p>
        </w:tc>
        <w:tc>
          <w:tcPr>
            <w:tcW w:w="6925" w:type="dxa"/>
            <w:noWrap w:val="0"/>
            <w:vAlign w:val="center"/>
          </w:tcPr>
          <w:p w14:paraId="4863EEA7">
            <w:pPr>
              <w:widowControl/>
              <w:textAlignment w:val="baseline"/>
              <w:rPr>
                <w:rFonts w:hint="eastAsia" w:ascii="宋体" w:hAnsi="宋体" w:cs="宋体"/>
                <w:color w:val="000000"/>
                <w:sz w:val="24"/>
              </w:rPr>
            </w:pPr>
            <w:r>
              <w:rPr>
                <w:rFonts w:hint="eastAsia" w:ascii="宋体" w:hAnsi="宋体" w:cs="宋体"/>
                <w:color w:val="000000"/>
                <w:sz w:val="24"/>
              </w:rPr>
              <w:t>支持对超长SQL语句的审计。</w:t>
            </w:r>
          </w:p>
        </w:tc>
      </w:tr>
      <w:tr w14:paraId="5BCD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4E0F3E69">
            <w:pPr>
              <w:widowControl/>
              <w:contextualSpacing/>
              <w:jc w:val="center"/>
              <w:rPr>
                <w:rFonts w:hint="eastAsia" w:ascii="宋体" w:hAnsi="宋体" w:cs="宋体"/>
                <w:color w:val="000000"/>
                <w:sz w:val="24"/>
              </w:rPr>
            </w:pPr>
          </w:p>
        </w:tc>
        <w:tc>
          <w:tcPr>
            <w:tcW w:w="6925" w:type="dxa"/>
            <w:noWrap w:val="0"/>
            <w:vAlign w:val="center"/>
          </w:tcPr>
          <w:p w14:paraId="34B26272">
            <w:pPr>
              <w:widowControl/>
              <w:textAlignment w:val="baseline"/>
              <w:rPr>
                <w:rFonts w:hint="eastAsia" w:ascii="宋体" w:hAnsi="宋体" w:cs="宋体"/>
                <w:color w:val="000000"/>
                <w:sz w:val="24"/>
              </w:rPr>
            </w:pPr>
            <w:r>
              <w:rPr>
                <w:rFonts w:hint="eastAsia" w:ascii="宋体" w:hAnsi="宋体" w:cs="宋体"/>
                <w:color w:val="000000"/>
                <w:sz w:val="24"/>
              </w:rPr>
              <w:t>支持访问数据库的源主机名、源主机用户、SQL操作响应时间、数据库操作成功、失败的审计。</w:t>
            </w:r>
          </w:p>
        </w:tc>
      </w:tr>
      <w:tr w14:paraId="03B4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1BFAE8BB">
            <w:pPr>
              <w:widowControl/>
              <w:contextualSpacing/>
              <w:jc w:val="center"/>
              <w:rPr>
                <w:rFonts w:hint="eastAsia" w:ascii="宋体" w:hAnsi="宋体" w:cs="宋体"/>
                <w:color w:val="000000"/>
                <w:sz w:val="24"/>
              </w:rPr>
            </w:pPr>
          </w:p>
        </w:tc>
        <w:tc>
          <w:tcPr>
            <w:tcW w:w="6925" w:type="dxa"/>
            <w:noWrap w:val="0"/>
            <w:vAlign w:val="center"/>
          </w:tcPr>
          <w:p w14:paraId="5020A80C">
            <w:pPr>
              <w:widowControl/>
              <w:textAlignment w:val="baseline"/>
              <w:rPr>
                <w:rFonts w:hint="eastAsia" w:ascii="宋体" w:hAnsi="宋体" w:cs="宋体"/>
                <w:color w:val="000000"/>
                <w:sz w:val="24"/>
              </w:rPr>
            </w:pPr>
            <w:r>
              <w:rPr>
                <w:rFonts w:hint="eastAsia" w:ascii="宋体" w:hAnsi="宋体" w:cs="宋体"/>
                <w:color w:val="000000"/>
                <w:sz w:val="24"/>
              </w:rPr>
              <w:t>支持频次告警，某一操作在周期时间内达到设定的次数阀值即可告警，周期事件和次数可按需配置。</w:t>
            </w:r>
          </w:p>
        </w:tc>
      </w:tr>
      <w:tr w14:paraId="226F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1AFAAC39">
            <w:pPr>
              <w:widowControl/>
              <w:contextualSpacing/>
              <w:jc w:val="center"/>
              <w:rPr>
                <w:rFonts w:hint="eastAsia" w:ascii="宋体" w:hAnsi="宋体" w:cs="宋体"/>
                <w:color w:val="000000"/>
                <w:sz w:val="24"/>
              </w:rPr>
            </w:pPr>
          </w:p>
        </w:tc>
        <w:tc>
          <w:tcPr>
            <w:tcW w:w="6925" w:type="dxa"/>
            <w:noWrap w:val="0"/>
            <w:vAlign w:val="center"/>
          </w:tcPr>
          <w:p w14:paraId="710139B8">
            <w:pPr>
              <w:widowControl/>
              <w:textAlignment w:val="baseline"/>
              <w:rPr>
                <w:rFonts w:hint="eastAsia" w:ascii="宋体" w:hAnsi="宋体" w:cs="宋体"/>
                <w:color w:val="000000"/>
                <w:sz w:val="24"/>
              </w:rPr>
            </w:pPr>
            <w:r>
              <w:rPr>
                <w:rFonts w:hint="eastAsia" w:ascii="宋体" w:hAnsi="宋体" w:cs="宋体"/>
                <w:color w:val="000000"/>
                <w:sz w:val="24"/>
              </w:rPr>
              <w:t>支持数据库并发会话数、并发进程数、并发用户数、并发游标数、并发事务数、数据库锁等超过限制的审计。</w:t>
            </w:r>
          </w:p>
        </w:tc>
      </w:tr>
      <w:tr w14:paraId="34F9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605D0060">
            <w:pPr>
              <w:widowControl/>
              <w:contextualSpacing/>
              <w:jc w:val="center"/>
              <w:rPr>
                <w:rFonts w:hint="eastAsia" w:ascii="宋体" w:hAnsi="宋体" w:cs="宋体"/>
                <w:color w:val="000000"/>
                <w:sz w:val="24"/>
              </w:rPr>
            </w:pPr>
          </w:p>
        </w:tc>
        <w:tc>
          <w:tcPr>
            <w:tcW w:w="6925" w:type="dxa"/>
            <w:noWrap w:val="0"/>
            <w:vAlign w:val="center"/>
          </w:tcPr>
          <w:p w14:paraId="6AC3019E">
            <w:pPr>
              <w:widowControl/>
              <w:textAlignment w:val="baseline"/>
              <w:rPr>
                <w:rFonts w:hint="eastAsia" w:ascii="宋体" w:hAnsi="宋体" w:cs="宋体"/>
                <w:color w:val="000000"/>
                <w:sz w:val="24"/>
              </w:rPr>
            </w:pPr>
            <w:r>
              <w:rPr>
                <w:rFonts w:hint="eastAsia" w:ascii="宋体" w:hAnsi="宋体" w:cs="宋体"/>
                <w:color w:val="000000"/>
                <w:sz w:val="24"/>
              </w:rPr>
              <w:t>支持数据库操作类、表、视图、索引、触发器、存储过程、域、Schema、游标、事物等各种对象的SQL操作审计。</w:t>
            </w:r>
          </w:p>
        </w:tc>
      </w:tr>
      <w:tr w14:paraId="2A9B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5D930B2C">
            <w:pPr>
              <w:widowControl/>
              <w:contextualSpacing/>
              <w:jc w:val="center"/>
              <w:rPr>
                <w:rFonts w:hint="eastAsia" w:ascii="宋体" w:hAnsi="宋体" w:cs="宋体"/>
                <w:color w:val="000000"/>
                <w:sz w:val="24"/>
              </w:rPr>
            </w:pPr>
          </w:p>
        </w:tc>
        <w:tc>
          <w:tcPr>
            <w:tcW w:w="6925" w:type="dxa"/>
            <w:noWrap w:val="0"/>
            <w:vAlign w:val="center"/>
          </w:tcPr>
          <w:p w14:paraId="493C93BF">
            <w:pPr>
              <w:widowControl/>
              <w:textAlignment w:val="baseline"/>
              <w:rPr>
                <w:rFonts w:hint="eastAsia" w:ascii="宋体" w:hAnsi="宋体" w:cs="宋体"/>
                <w:color w:val="000000"/>
                <w:sz w:val="24"/>
              </w:rPr>
            </w:pPr>
            <w:r>
              <w:rPr>
                <w:rFonts w:hint="eastAsia" w:ascii="宋体" w:hAnsi="宋体" w:cs="宋体"/>
                <w:color w:val="000000"/>
                <w:sz w:val="24"/>
              </w:rPr>
              <w:t>支持Telnet协议的审计，能够审计用户名、操作命令、命令响应时间、返回码等。</w:t>
            </w:r>
          </w:p>
        </w:tc>
      </w:tr>
      <w:tr w14:paraId="6EF7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70ECEB17">
            <w:pPr>
              <w:widowControl/>
              <w:contextualSpacing/>
              <w:jc w:val="center"/>
              <w:rPr>
                <w:rFonts w:hint="eastAsia" w:ascii="宋体" w:hAnsi="宋体" w:cs="宋体"/>
                <w:color w:val="000000"/>
                <w:sz w:val="24"/>
              </w:rPr>
            </w:pPr>
          </w:p>
        </w:tc>
        <w:tc>
          <w:tcPr>
            <w:tcW w:w="6925" w:type="dxa"/>
            <w:noWrap w:val="0"/>
            <w:vAlign w:val="center"/>
          </w:tcPr>
          <w:p w14:paraId="5AB62994">
            <w:pPr>
              <w:widowControl/>
              <w:textAlignment w:val="baseline"/>
              <w:rPr>
                <w:rFonts w:hint="eastAsia" w:ascii="宋体" w:hAnsi="宋体" w:cs="宋体"/>
                <w:color w:val="000000"/>
                <w:sz w:val="24"/>
              </w:rPr>
            </w:pPr>
            <w:r>
              <w:rPr>
                <w:rFonts w:hint="eastAsia" w:ascii="宋体" w:hAnsi="宋体" w:cs="宋体"/>
                <w:color w:val="000000"/>
                <w:sz w:val="24"/>
              </w:rPr>
              <w:t>支持对FTP协议的审计，能够审计用户名、命令、文件、命令响应时间、返回码等。</w:t>
            </w:r>
          </w:p>
        </w:tc>
      </w:tr>
      <w:tr w14:paraId="3D03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3E364048">
            <w:pPr>
              <w:widowControl/>
              <w:contextualSpacing/>
              <w:jc w:val="center"/>
              <w:rPr>
                <w:rFonts w:hint="eastAsia" w:ascii="宋体" w:hAnsi="宋体" w:cs="宋体"/>
                <w:color w:val="000000"/>
                <w:sz w:val="24"/>
              </w:rPr>
            </w:pPr>
          </w:p>
        </w:tc>
        <w:tc>
          <w:tcPr>
            <w:tcW w:w="6925" w:type="dxa"/>
            <w:noWrap w:val="0"/>
            <w:vAlign w:val="center"/>
          </w:tcPr>
          <w:p w14:paraId="460C4DBC">
            <w:pPr>
              <w:widowControl/>
              <w:textAlignment w:val="baseline"/>
              <w:rPr>
                <w:rFonts w:hint="eastAsia" w:ascii="宋体" w:hAnsi="宋体" w:cs="宋体"/>
                <w:color w:val="000000"/>
                <w:sz w:val="24"/>
              </w:rPr>
            </w:pPr>
            <w:r>
              <w:rPr>
                <w:rFonts w:hint="eastAsia" w:ascii="宋体" w:hAnsi="宋体" w:cs="宋体"/>
                <w:color w:val="000000"/>
                <w:sz w:val="24"/>
              </w:rPr>
              <w:t>支持审计网络邻居的用户名、读写操作、文件名等。</w:t>
            </w:r>
          </w:p>
        </w:tc>
      </w:tr>
      <w:tr w14:paraId="52A4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7F9F8D76">
            <w:pPr>
              <w:widowControl/>
              <w:contextualSpacing/>
              <w:jc w:val="center"/>
              <w:rPr>
                <w:rFonts w:hint="eastAsia" w:ascii="宋体" w:hAnsi="宋体" w:cs="宋体"/>
                <w:color w:val="000000"/>
                <w:sz w:val="24"/>
              </w:rPr>
            </w:pPr>
          </w:p>
        </w:tc>
        <w:tc>
          <w:tcPr>
            <w:tcW w:w="6925" w:type="dxa"/>
            <w:noWrap w:val="0"/>
            <w:vAlign w:val="center"/>
          </w:tcPr>
          <w:p w14:paraId="4FF9C9F9">
            <w:pPr>
              <w:widowControl/>
              <w:textAlignment w:val="baseline"/>
              <w:rPr>
                <w:rFonts w:hint="eastAsia" w:ascii="宋体" w:hAnsi="宋体" w:cs="宋体"/>
                <w:color w:val="000000"/>
                <w:sz w:val="24"/>
              </w:rPr>
            </w:pPr>
            <w:r>
              <w:rPr>
                <w:rFonts w:hint="eastAsia" w:ascii="宋体" w:hAnsi="宋体" w:cs="宋体"/>
                <w:color w:val="000000"/>
                <w:sz w:val="24"/>
              </w:rPr>
              <w:t>支持审计NFS协议的用户名、文件名等。</w:t>
            </w:r>
          </w:p>
        </w:tc>
      </w:tr>
      <w:tr w14:paraId="5433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143A481D">
            <w:pPr>
              <w:widowControl/>
              <w:contextualSpacing/>
              <w:jc w:val="center"/>
              <w:rPr>
                <w:rFonts w:hint="eastAsia" w:ascii="宋体" w:hAnsi="宋体" w:cs="宋体"/>
                <w:color w:val="000000"/>
                <w:sz w:val="24"/>
              </w:rPr>
            </w:pPr>
          </w:p>
        </w:tc>
        <w:tc>
          <w:tcPr>
            <w:tcW w:w="6925" w:type="dxa"/>
            <w:noWrap w:val="0"/>
            <w:vAlign w:val="center"/>
          </w:tcPr>
          <w:p w14:paraId="3EDE9D0C">
            <w:pPr>
              <w:widowControl/>
              <w:textAlignment w:val="baseline"/>
              <w:rPr>
                <w:rFonts w:hint="eastAsia" w:ascii="宋体" w:hAnsi="宋体" w:cs="宋体"/>
                <w:color w:val="000000"/>
                <w:sz w:val="24"/>
              </w:rPr>
            </w:pPr>
            <w:r>
              <w:rPr>
                <w:rFonts w:hint="eastAsia" w:ascii="宋体" w:hAnsi="宋体" w:cs="宋体"/>
                <w:color w:val="000000"/>
                <w:sz w:val="24"/>
              </w:rPr>
              <w:t>支持审计Radius协议的认证用户MAC、认证用户名、认证IP、NAS服务器IP。</w:t>
            </w:r>
          </w:p>
        </w:tc>
      </w:tr>
      <w:tr w14:paraId="77DA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36E137F8">
            <w:pPr>
              <w:widowControl/>
              <w:contextualSpacing/>
              <w:jc w:val="center"/>
              <w:rPr>
                <w:rFonts w:hint="eastAsia" w:ascii="宋体" w:hAnsi="宋体" w:cs="宋体"/>
                <w:color w:val="000000"/>
                <w:sz w:val="24"/>
              </w:rPr>
            </w:pPr>
          </w:p>
        </w:tc>
        <w:tc>
          <w:tcPr>
            <w:tcW w:w="6925" w:type="dxa"/>
            <w:noWrap w:val="0"/>
            <w:vAlign w:val="center"/>
          </w:tcPr>
          <w:p w14:paraId="1C2D9D23">
            <w:pPr>
              <w:widowControl/>
              <w:textAlignment w:val="baseline"/>
              <w:rPr>
                <w:rFonts w:hint="eastAsia" w:ascii="宋体" w:hAnsi="宋体" w:cs="宋体"/>
                <w:color w:val="000000"/>
                <w:sz w:val="24"/>
              </w:rPr>
            </w:pPr>
            <w:r>
              <w:rPr>
                <w:rFonts w:hint="eastAsia" w:ascii="宋体" w:hAnsi="宋体" w:cs="宋体"/>
                <w:color w:val="000000"/>
                <w:sz w:val="24"/>
              </w:rPr>
              <w:t>支持对针对数据库的XSS、SQL注入攻击行为进行审计。</w:t>
            </w:r>
          </w:p>
        </w:tc>
      </w:tr>
      <w:tr w14:paraId="1D98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53985711">
            <w:pPr>
              <w:widowControl/>
              <w:contextualSpacing/>
              <w:jc w:val="center"/>
              <w:rPr>
                <w:rFonts w:hint="eastAsia" w:ascii="宋体" w:hAnsi="宋体" w:cs="宋体"/>
                <w:color w:val="000000"/>
                <w:sz w:val="24"/>
              </w:rPr>
            </w:pPr>
          </w:p>
        </w:tc>
        <w:tc>
          <w:tcPr>
            <w:tcW w:w="6925" w:type="dxa"/>
            <w:noWrap w:val="0"/>
            <w:vAlign w:val="center"/>
          </w:tcPr>
          <w:p w14:paraId="271E8D99">
            <w:pPr>
              <w:widowControl/>
              <w:textAlignment w:val="baseline"/>
              <w:rPr>
                <w:rFonts w:hint="eastAsia" w:ascii="宋体" w:hAnsi="宋体" w:cs="宋体"/>
                <w:color w:val="000000"/>
                <w:sz w:val="24"/>
              </w:rPr>
            </w:pPr>
            <w:r>
              <w:rPr>
                <w:rFonts w:hint="eastAsia" w:ascii="宋体" w:hAnsi="宋体" w:cs="宋体"/>
                <w:color w:val="000000"/>
                <w:sz w:val="24"/>
              </w:rPr>
              <w:t>支持对Oracle数据库状态的自动监控，可监控会话数、连接进程、CPU和内存占用率等信息。</w:t>
            </w:r>
          </w:p>
        </w:tc>
      </w:tr>
      <w:tr w14:paraId="3722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restart"/>
            <w:noWrap w:val="0"/>
            <w:vAlign w:val="center"/>
          </w:tcPr>
          <w:p w14:paraId="2E573432">
            <w:pPr>
              <w:widowControl/>
              <w:contextualSpacing/>
              <w:jc w:val="center"/>
              <w:rPr>
                <w:rFonts w:hint="eastAsia" w:ascii="宋体" w:hAnsi="宋体" w:cs="宋体"/>
                <w:color w:val="000000"/>
                <w:sz w:val="24"/>
              </w:rPr>
            </w:pPr>
            <w:r>
              <w:rPr>
                <w:rFonts w:hint="eastAsia" w:ascii="宋体" w:hAnsi="宋体" w:cs="宋体"/>
                <w:color w:val="000000"/>
                <w:sz w:val="24"/>
              </w:rPr>
              <w:t>业务关联审计</w:t>
            </w:r>
          </w:p>
        </w:tc>
        <w:tc>
          <w:tcPr>
            <w:tcW w:w="6925" w:type="dxa"/>
            <w:noWrap w:val="0"/>
            <w:vAlign w:val="center"/>
          </w:tcPr>
          <w:p w14:paraId="2A54FAE8">
            <w:pPr>
              <w:widowControl/>
              <w:textAlignment w:val="baseline"/>
              <w:rPr>
                <w:rFonts w:hint="eastAsia" w:ascii="宋体" w:hAnsi="宋体" w:cs="宋体"/>
                <w:color w:val="000000"/>
                <w:sz w:val="24"/>
              </w:rPr>
            </w:pPr>
            <w:r>
              <w:rPr>
                <w:rFonts w:hint="eastAsia" w:ascii="宋体" w:hAnsi="宋体" w:cs="宋体"/>
                <w:color w:val="000000"/>
                <w:sz w:val="24"/>
              </w:rPr>
              <w:t>支持中间件环境下的SQL语句关联到HTTP操作，HTTP操作关联到HTTP-ID，实现中间件环境下的审计追溯。</w:t>
            </w:r>
          </w:p>
        </w:tc>
      </w:tr>
      <w:tr w14:paraId="14E1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3DCBC56A">
            <w:pPr>
              <w:widowControl/>
              <w:contextualSpacing/>
              <w:jc w:val="center"/>
              <w:rPr>
                <w:rFonts w:hint="eastAsia" w:ascii="宋体" w:hAnsi="宋体" w:cs="宋体"/>
                <w:color w:val="000000"/>
                <w:sz w:val="24"/>
              </w:rPr>
            </w:pPr>
          </w:p>
        </w:tc>
        <w:tc>
          <w:tcPr>
            <w:tcW w:w="6925" w:type="dxa"/>
            <w:noWrap w:val="0"/>
            <w:vAlign w:val="center"/>
          </w:tcPr>
          <w:p w14:paraId="7E4F04DD">
            <w:pPr>
              <w:widowControl/>
              <w:textAlignment w:val="baseline"/>
              <w:rPr>
                <w:rFonts w:hint="eastAsia" w:ascii="宋体" w:hAnsi="宋体" w:cs="宋体"/>
                <w:color w:val="000000"/>
                <w:sz w:val="24"/>
              </w:rPr>
            </w:pPr>
            <w:r>
              <w:rPr>
                <w:rFonts w:hint="eastAsia" w:ascii="宋体" w:hAnsi="宋体" w:cs="宋体"/>
                <w:color w:val="000000"/>
                <w:sz w:val="24"/>
              </w:rPr>
              <w:t>支持实时关联，实时显示关联结果，无需时候手动查询。</w:t>
            </w:r>
          </w:p>
        </w:tc>
      </w:tr>
      <w:tr w14:paraId="019E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noWrap w:val="0"/>
            <w:vAlign w:val="center"/>
          </w:tcPr>
          <w:p w14:paraId="732BE7CA">
            <w:pPr>
              <w:widowControl/>
              <w:contextualSpacing/>
              <w:jc w:val="center"/>
              <w:rPr>
                <w:rFonts w:hint="eastAsia" w:ascii="宋体" w:hAnsi="宋体" w:cs="宋体"/>
                <w:color w:val="000000"/>
                <w:sz w:val="24"/>
              </w:rPr>
            </w:pPr>
            <w:r>
              <w:rPr>
                <w:rFonts w:hint="eastAsia" w:ascii="宋体" w:hAnsi="宋体" w:cs="宋体"/>
                <w:color w:val="000000"/>
                <w:sz w:val="24"/>
              </w:rPr>
              <w:t>数据库异常行为审计</w:t>
            </w:r>
          </w:p>
        </w:tc>
        <w:tc>
          <w:tcPr>
            <w:tcW w:w="6925" w:type="dxa"/>
            <w:noWrap w:val="0"/>
            <w:vAlign w:val="center"/>
          </w:tcPr>
          <w:p w14:paraId="5BBB9291">
            <w:pPr>
              <w:widowControl/>
              <w:textAlignment w:val="baseline"/>
              <w:rPr>
                <w:rFonts w:hint="eastAsia" w:ascii="宋体" w:hAnsi="宋体" w:cs="宋体"/>
                <w:color w:val="000000"/>
                <w:sz w:val="24"/>
              </w:rPr>
            </w:pPr>
            <w:r>
              <w:rPr>
                <w:rFonts w:hint="eastAsia" w:ascii="宋体" w:hAnsi="宋体" w:cs="宋体"/>
                <w:color w:val="000000"/>
                <w:sz w:val="24"/>
              </w:rPr>
              <w:t>支持根据网络数据流自动建立数据库操作行为基线。</w:t>
            </w:r>
          </w:p>
        </w:tc>
      </w:tr>
      <w:tr w14:paraId="2E74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597" w:type="dxa"/>
            <w:vMerge w:val="restart"/>
            <w:noWrap w:val="0"/>
            <w:vAlign w:val="center"/>
          </w:tcPr>
          <w:p w14:paraId="11DDF54D">
            <w:pPr>
              <w:widowControl/>
              <w:contextualSpacing/>
              <w:jc w:val="center"/>
              <w:rPr>
                <w:rFonts w:hint="eastAsia" w:ascii="宋体" w:hAnsi="宋体" w:cs="宋体"/>
                <w:color w:val="000000"/>
                <w:sz w:val="24"/>
              </w:rPr>
            </w:pPr>
            <w:r>
              <w:rPr>
                <w:rFonts w:hint="eastAsia" w:ascii="宋体" w:hAnsi="宋体" w:cs="宋体"/>
                <w:color w:val="000000"/>
                <w:sz w:val="24"/>
              </w:rPr>
              <w:t>智能发现</w:t>
            </w:r>
          </w:p>
        </w:tc>
        <w:tc>
          <w:tcPr>
            <w:tcW w:w="6925" w:type="dxa"/>
            <w:noWrap w:val="0"/>
            <w:vAlign w:val="center"/>
          </w:tcPr>
          <w:p w14:paraId="563848FF">
            <w:pPr>
              <w:widowControl/>
              <w:textAlignment w:val="baseline"/>
              <w:rPr>
                <w:rFonts w:hint="eastAsia" w:ascii="宋体" w:hAnsi="宋体" w:cs="宋体"/>
                <w:color w:val="000000"/>
                <w:sz w:val="24"/>
              </w:rPr>
            </w:pPr>
            <w:r>
              <w:rPr>
                <w:rFonts w:hint="eastAsia" w:ascii="宋体" w:hAnsi="宋体" w:cs="宋体"/>
                <w:color w:val="000000"/>
                <w:sz w:val="24"/>
              </w:rPr>
              <w:t>满足数据库审计支持用户数据库中敏感信息的自动发现，方便针对敏感信息配置针对性的审计策略。</w:t>
            </w:r>
          </w:p>
        </w:tc>
      </w:tr>
      <w:tr w14:paraId="1DF9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14353468">
            <w:pPr>
              <w:widowControl/>
              <w:contextualSpacing/>
              <w:jc w:val="center"/>
              <w:rPr>
                <w:rFonts w:hint="eastAsia" w:ascii="宋体" w:hAnsi="宋体" w:cs="宋体"/>
                <w:color w:val="000000"/>
                <w:sz w:val="24"/>
              </w:rPr>
            </w:pPr>
          </w:p>
        </w:tc>
        <w:tc>
          <w:tcPr>
            <w:tcW w:w="6925" w:type="dxa"/>
            <w:noWrap w:val="0"/>
            <w:vAlign w:val="center"/>
          </w:tcPr>
          <w:p w14:paraId="018C8BCF">
            <w:pPr>
              <w:widowControl/>
              <w:textAlignment w:val="baseline"/>
              <w:rPr>
                <w:rFonts w:hint="eastAsia" w:ascii="宋体" w:hAnsi="宋体" w:cs="宋体"/>
                <w:color w:val="000000"/>
                <w:sz w:val="24"/>
              </w:rPr>
            </w:pPr>
            <w:r>
              <w:rPr>
                <w:rFonts w:hint="eastAsia" w:ascii="宋体" w:hAnsi="宋体" w:cs="宋体"/>
                <w:color w:val="000000"/>
                <w:sz w:val="24"/>
              </w:rPr>
              <w:t>满足敏感信息发现支持探测器和正则表达式两种方式，探测器至少包含：姓名、地名、银行卡、身份证、IP地址、密码等多种探测器。</w:t>
            </w:r>
          </w:p>
        </w:tc>
      </w:tr>
      <w:tr w14:paraId="0D04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restart"/>
            <w:noWrap w:val="0"/>
            <w:vAlign w:val="center"/>
          </w:tcPr>
          <w:p w14:paraId="1F929AF8">
            <w:pPr>
              <w:widowControl/>
              <w:contextualSpacing/>
              <w:jc w:val="center"/>
              <w:rPr>
                <w:rFonts w:hint="eastAsia" w:ascii="宋体" w:hAnsi="宋体" w:cs="宋体"/>
                <w:color w:val="000000"/>
                <w:sz w:val="24"/>
              </w:rPr>
            </w:pPr>
            <w:r>
              <w:rPr>
                <w:rFonts w:hint="eastAsia" w:ascii="宋体" w:hAnsi="宋体" w:cs="宋体"/>
                <w:color w:val="000000"/>
                <w:sz w:val="24"/>
              </w:rPr>
              <w:t>事件查询统计与报表</w:t>
            </w:r>
          </w:p>
        </w:tc>
        <w:tc>
          <w:tcPr>
            <w:tcW w:w="6925" w:type="dxa"/>
            <w:noWrap w:val="0"/>
            <w:vAlign w:val="center"/>
          </w:tcPr>
          <w:p w14:paraId="18A557ED">
            <w:pPr>
              <w:widowControl/>
              <w:textAlignment w:val="baseline"/>
              <w:rPr>
                <w:rFonts w:hint="eastAsia" w:ascii="宋体" w:hAnsi="宋体" w:cs="宋体"/>
                <w:color w:val="000000"/>
                <w:sz w:val="24"/>
              </w:rPr>
            </w:pPr>
            <w:r>
              <w:rPr>
                <w:rFonts w:hint="eastAsia" w:ascii="宋体" w:hAnsi="宋体" w:cs="宋体"/>
                <w:color w:val="000000"/>
                <w:sz w:val="24"/>
              </w:rPr>
              <w:t>满足支持基于场景的操作异常分析；可直观展现数据库异常、异常账号的访问、同账号多IP登录、上下班操作量对比异常、操作响应时间分析。</w:t>
            </w:r>
          </w:p>
        </w:tc>
      </w:tr>
      <w:tr w14:paraId="0511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22B0A9BF">
            <w:pPr>
              <w:widowControl/>
              <w:contextualSpacing/>
              <w:jc w:val="center"/>
              <w:rPr>
                <w:rFonts w:hint="eastAsia" w:ascii="宋体" w:hAnsi="宋体" w:cs="宋体"/>
                <w:color w:val="000000"/>
                <w:sz w:val="24"/>
              </w:rPr>
            </w:pPr>
          </w:p>
        </w:tc>
        <w:tc>
          <w:tcPr>
            <w:tcW w:w="6925" w:type="dxa"/>
            <w:noWrap w:val="0"/>
            <w:vAlign w:val="center"/>
          </w:tcPr>
          <w:p w14:paraId="4EADCF18">
            <w:pPr>
              <w:widowControl/>
              <w:textAlignment w:val="baseline"/>
              <w:rPr>
                <w:rFonts w:hint="eastAsia" w:ascii="宋体" w:hAnsi="宋体" w:cs="宋体"/>
                <w:color w:val="000000"/>
                <w:sz w:val="24"/>
              </w:rPr>
            </w:pPr>
            <w:r>
              <w:rPr>
                <w:rFonts w:hint="eastAsia" w:ascii="宋体" w:hAnsi="宋体" w:cs="宋体"/>
                <w:color w:val="000000"/>
                <w:sz w:val="24"/>
              </w:rPr>
              <w:t>满足支持疑似暴力破解、疑似撞库攻击场景的操作异常分析；行为周期与阀值可按需定义。</w:t>
            </w:r>
          </w:p>
        </w:tc>
      </w:tr>
      <w:tr w14:paraId="647C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286BD984">
            <w:pPr>
              <w:widowControl/>
              <w:contextualSpacing/>
              <w:jc w:val="center"/>
              <w:rPr>
                <w:rFonts w:hint="eastAsia" w:ascii="宋体" w:hAnsi="宋体" w:cs="宋体"/>
                <w:color w:val="000000"/>
                <w:sz w:val="24"/>
              </w:rPr>
            </w:pPr>
          </w:p>
        </w:tc>
        <w:tc>
          <w:tcPr>
            <w:tcW w:w="6925" w:type="dxa"/>
            <w:noWrap w:val="0"/>
            <w:vAlign w:val="center"/>
          </w:tcPr>
          <w:p w14:paraId="11A29F39">
            <w:pPr>
              <w:widowControl/>
              <w:textAlignment w:val="baseline"/>
              <w:rPr>
                <w:rFonts w:hint="eastAsia" w:ascii="宋体" w:hAnsi="宋体" w:cs="宋体"/>
                <w:color w:val="000000"/>
                <w:sz w:val="24"/>
              </w:rPr>
            </w:pPr>
            <w:r>
              <w:rPr>
                <w:rFonts w:hint="eastAsia" w:ascii="宋体" w:hAnsi="宋体" w:cs="宋体"/>
                <w:color w:val="000000"/>
                <w:sz w:val="24"/>
              </w:rPr>
              <w:t>查询需支持返回全部符合条件的结果，无上限限制。</w:t>
            </w:r>
          </w:p>
        </w:tc>
      </w:tr>
      <w:tr w14:paraId="2F68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0430F4C1">
            <w:pPr>
              <w:widowControl/>
              <w:contextualSpacing/>
              <w:jc w:val="center"/>
              <w:rPr>
                <w:rFonts w:hint="eastAsia" w:ascii="宋体" w:hAnsi="宋体" w:cs="宋体"/>
                <w:color w:val="000000"/>
                <w:sz w:val="24"/>
              </w:rPr>
            </w:pPr>
          </w:p>
        </w:tc>
        <w:tc>
          <w:tcPr>
            <w:tcW w:w="6925" w:type="dxa"/>
            <w:noWrap w:val="0"/>
            <w:vAlign w:val="center"/>
          </w:tcPr>
          <w:p w14:paraId="66596D3A">
            <w:pPr>
              <w:widowControl/>
              <w:textAlignment w:val="baseline"/>
              <w:rPr>
                <w:rFonts w:hint="eastAsia" w:ascii="宋体" w:hAnsi="宋体" w:cs="宋体"/>
                <w:color w:val="000000"/>
                <w:sz w:val="24"/>
              </w:rPr>
            </w:pPr>
            <w:r>
              <w:rPr>
                <w:rFonts w:hint="eastAsia" w:ascii="宋体" w:hAnsi="宋体" w:cs="宋体"/>
                <w:color w:val="000000"/>
                <w:sz w:val="24"/>
              </w:rPr>
              <w:t>可支持sql语句关键字查询，查询结果包含该关键字的sql语句。</w:t>
            </w:r>
          </w:p>
        </w:tc>
      </w:tr>
      <w:tr w14:paraId="0ED5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97" w:type="dxa"/>
            <w:vMerge w:val="restart"/>
            <w:noWrap w:val="0"/>
            <w:vAlign w:val="center"/>
          </w:tcPr>
          <w:p w14:paraId="0785C72A">
            <w:pPr>
              <w:widowControl/>
              <w:contextualSpacing/>
              <w:jc w:val="center"/>
              <w:rPr>
                <w:rFonts w:hint="eastAsia" w:ascii="宋体" w:hAnsi="宋体" w:cs="宋体"/>
                <w:color w:val="000000"/>
                <w:sz w:val="24"/>
              </w:rPr>
            </w:pPr>
            <w:r>
              <w:rPr>
                <w:rFonts w:hint="eastAsia" w:ascii="宋体" w:hAnsi="宋体" w:cs="宋体"/>
                <w:color w:val="000000"/>
                <w:sz w:val="24"/>
              </w:rPr>
              <w:t>第三方扩展接口与联动功能</w:t>
            </w:r>
          </w:p>
        </w:tc>
        <w:tc>
          <w:tcPr>
            <w:tcW w:w="6925" w:type="dxa"/>
            <w:noWrap w:val="0"/>
            <w:vAlign w:val="center"/>
          </w:tcPr>
          <w:p w14:paraId="0FD546F2">
            <w:pPr>
              <w:widowControl/>
              <w:textAlignment w:val="baseline"/>
              <w:rPr>
                <w:rFonts w:hint="eastAsia" w:ascii="宋体" w:hAnsi="宋体" w:cs="宋体"/>
                <w:color w:val="000000"/>
                <w:sz w:val="24"/>
              </w:rPr>
            </w:pPr>
            <w:r>
              <w:rPr>
                <w:rFonts w:hint="eastAsia" w:ascii="宋体" w:hAnsi="宋体" w:cs="宋体"/>
                <w:color w:val="000000"/>
                <w:sz w:val="24"/>
              </w:rPr>
              <w:t>支持与Web应用防火墙（WAF）的联动，可对WAF上报的应用系统攻击实现场景还原展示。</w:t>
            </w:r>
          </w:p>
        </w:tc>
      </w:tr>
      <w:tr w14:paraId="304F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vMerge w:val="continue"/>
            <w:noWrap w:val="0"/>
            <w:vAlign w:val="center"/>
          </w:tcPr>
          <w:p w14:paraId="5F620E3C">
            <w:pPr>
              <w:widowControl/>
              <w:contextualSpacing/>
              <w:jc w:val="center"/>
              <w:rPr>
                <w:rFonts w:hint="eastAsia" w:ascii="宋体" w:hAnsi="宋体" w:cs="宋体"/>
                <w:color w:val="000000"/>
                <w:sz w:val="24"/>
              </w:rPr>
            </w:pPr>
          </w:p>
        </w:tc>
        <w:tc>
          <w:tcPr>
            <w:tcW w:w="6925" w:type="dxa"/>
            <w:noWrap w:val="0"/>
            <w:vAlign w:val="center"/>
          </w:tcPr>
          <w:p w14:paraId="4168D1F9">
            <w:pPr>
              <w:widowControl/>
              <w:textAlignment w:val="baseline"/>
              <w:rPr>
                <w:rFonts w:hint="eastAsia" w:ascii="宋体" w:hAnsi="宋体" w:cs="宋体"/>
                <w:color w:val="000000"/>
                <w:sz w:val="24"/>
              </w:rPr>
            </w:pPr>
            <w:r>
              <w:rPr>
                <w:rFonts w:hint="eastAsia" w:ascii="宋体" w:hAnsi="宋体" w:cs="宋体"/>
                <w:color w:val="000000"/>
                <w:sz w:val="24"/>
              </w:rPr>
              <w:t>支持与APT检测产品的联动，对于网络传输的文件不仅可以审计，还支持恶意代码检测，报告可疑的攻击文件。</w:t>
            </w:r>
          </w:p>
        </w:tc>
      </w:tr>
    </w:tbl>
    <w:p w14:paraId="0744403D">
      <w:pPr>
        <w:pStyle w:val="3"/>
        <w:ind w:firstLine="0"/>
        <w:rPr>
          <w:rFonts w:hint="eastAsia" w:hAnsi="宋体"/>
          <w:color w:val="000000"/>
        </w:rPr>
      </w:pPr>
    </w:p>
    <w:p w14:paraId="24F080B7">
      <w:pPr>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（7）安全隐患分析</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6896"/>
      </w:tblGrid>
      <w:tr w14:paraId="0991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noWrap w:val="0"/>
            <w:vAlign w:val="center"/>
          </w:tcPr>
          <w:p w14:paraId="6F380FA8">
            <w:pPr>
              <w:widowControl/>
              <w:contextualSpacing/>
              <w:jc w:val="center"/>
              <w:rPr>
                <w:rFonts w:hint="eastAsia" w:ascii="宋体" w:hAnsi="宋体"/>
                <w:color w:val="000000"/>
                <w:sz w:val="24"/>
              </w:rPr>
            </w:pPr>
            <w:r>
              <w:rPr>
                <w:rFonts w:hint="eastAsia" w:ascii="宋体" w:hAnsi="宋体"/>
                <w:color w:val="000000"/>
                <w:sz w:val="24"/>
              </w:rPr>
              <w:t>指标项</w:t>
            </w:r>
          </w:p>
        </w:tc>
        <w:tc>
          <w:tcPr>
            <w:tcW w:w="6896" w:type="dxa"/>
            <w:noWrap w:val="0"/>
            <w:vAlign w:val="center"/>
          </w:tcPr>
          <w:p w14:paraId="2E083963">
            <w:pPr>
              <w:widowControl/>
              <w:contextualSpacing/>
              <w:jc w:val="center"/>
              <w:rPr>
                <w:rFonts w:hint="eastAsia" w:ascii="宋体" w:hAnsi="宋体"/>
                <w:color w:val="000000"/>
                <w:sz w:val="24"/>
              </w:rPr>
            </w:pPr>
            <w:r>
              <w:rPr>
                <w:rFonts w:hint="eastAsia" w:ascii="宋体" w:hAnsi="宋体"/>
                <w:color w:val="000000"/>
                <w:sz w:val="24"/>
              </w:rPr>
              <w:t>招标要求</w:t>
            </w:r>
          </w:p>
        </w:tc>
      </w:tr>
      <w:tr w14:paraId="3667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26" w:type="dxa"/>
            <w:noWrap w:val="0"/>
            <w:vAlign w:val="center"/>
          </w:tcPr>
          <w:p w14:paraId="681A0229">
            <w:pPr>
              <w:widowControl/>
              <w:contextualSpacing/>
              <w:jc w:val="center"/>
              <w:rPr>
                <w:rFonts w:hint="eastAsia" w:ascii="宋体" w:hAnsi="宋体"/>
                <w:color w:val="000000"/>
                <w:sz w:val="24"/>
              </w:rPr>
            </w:pPr>
            <w:r>
              <w:rPr>
                <w:rFonts w:hint="eastAsia" w:ascii="宋体" w:hAnsi="宋体"/>
                <w:color w:val="000000"/>
                <w:sz w:val="24"/>
              </w:rPr>
              <w:t>安全隐患分析要求</w:t>
            </w:r>
          </w:p>
        </w:tc>
        <w:tc>
          <w:tcPr>
            <w:tcW w:w="6896" w:type="dxa"/>
            <w:noWrap w:val="0"/>
            <w:vAlign w:val="center"/>
          </w:tcPr>
          <w:p w14:paraId="4CED37FD">
            <w:pPr>
              <w:rPr>
                <w:rFonts w:hint="eastAsia" w:ascii="宋体" w:hAnsi="宋体"/>
                <w:color w:val="000000"/>
                <w:sz w:val="24"/>
              </w:rPr>
            </w:pPr>
            <w:r>
              <w:rPr>
                <w:rFonts w:hint="eastAsia" w:ascii="宋体" w:hAnsi="宋体"/>
                <w:color w:val="000000"/>
                <w:sz w:val="24"/>
              </w:rPr>
              <w:t>按照采购人的有关管理规定及具体需求，提供安全隐患分析服务。包括外部访问、系统维护、资源使用等信息汇总。提供系统安全分析，包括可疑访问、恶意访问、安全试探、异常访问数据分析等安全隐患的预警性分析。</w:t>
            </w:r>
          </w:p>
        </w:tc>
      </w:tr>
    </w:tbl>
    <w:p w14:paraId="543FF4D9">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（8）密码应用服务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6830"/>
      </w:tblGrid>
      <w:tr w14:paraId="5B59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21" w:type="dxa"/>
            <w:shd w:val="clear" w:color="auto" w:fill="D9D9D9"/>
            <w:noWrap w:val="0"/>
            <w:vAlign w:val="center"/>
          </w:tcPr>
          <w:p w14:paraId="3239F4DF">
            <w:pPr>
              <w:widowControl/>
              <w:jc w:val="center"/>
              <w:rPr>
                <w:rFonts w:ascii="宋体" w:hAnsi="宋体" w:cs="仿宋_GB2312"/>
                <w:b/>
                <w:bCs/>
                <w:szCs w:val="21"/>
              </w:rPr>
            </w:pPr>
            <w:r>
              <w:rPr>
                <w:rFonts w:hint="eastAsia" w:ascii="宋体" w:hAnsi="宋体" w:cs="仿宋_GB2312"/>
                <w:b/>
                <w:bCs/>
                <w:szCs w:val="21"/>
              </w:rPr>
              <w:t>指标项</w:t>
            </w:r>
          </w:p>
        </w:tc>
        <w:tc>
          <w:tcPr>
            <w:tcW w:w="6830" w:type="dxa"/>
            <w:shd w:val="clear" w:color="auto" w:fill="D9D9D9"/>
            <w:noWrap w:val="0"/>
            <w:vAlign w:val="center"/>
          </w:tcPr>
          <w:p w14:paraId="7AC769D8">
            <w:pPr>
              <w:widowControl/>
              <w:jc w:val="center"/>
              <w:rPr>
                <w:rFonts w:ascii="宋体" w:hAnsi="宋体" w:cs="仿宋_GB2312"/>
                <w:b/>
                <w:bCs/>
                <w:szCs w:val="21"/>
              </w:rPr>
            </w:pPr>
            <w:r>
              <w:rPr>
                <w:rFonts w:hint="eastAsia" w:ascii="宋体" w:hAnsi="宋体" w:cs="仿宋_GB2312"/>
                <w:b/>
                <w:bCs/>
                <w:szCs w:val="21"/>
              </w:rPr>
              <w:t>招标要求</w:t>
            </w:r>
          </w:p>
        </w:tc>
      </w:tr>
      <w:tr w14:paraId="47EA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21" w:type="dxa"/>
            <w:vMerge w:val="restart"/>
            <w:shd w:val="clear" w:color="auto" w:fill="FFFFFF"/>
            <w:noWrap w:val="0"/>
            <w:vAlign w:val="center"/>
          </w:tcPr>
          <w:p w14:paraId="5607EC0F">
            <w:pPr>
              <w:rPr>
                <w:rFonts w:hint="eastAsia" w:ascii="宋体" w:hAnsi="宋体" w:cs="仿宋_GB2312"/>
                <w:b/>
                <w:bCs/>
                <w:szCs w:val="21"/>
              </w:rPr>
            </w:pPr>
            <w:r>
              <w:rPr>
                <w:rFonts w:hint="eastAsia"/>
              </w:rPr>
              <w:t>密码应用服务</w:t>
            </w:r>
          </w:p>
        </w:tc>
        <w:tc>
          <w:tcPr>
            <w:tcW w:w="6830" w:type="dxa"/>
            <w:shd w:val="clear" w:color="auto" w:fill="FFFFFF"/>
            <w:noWrap w:val="0"/>
            <w:vAlign w:val="center"/>
          </w:tcPr>
          <w:p w14:paraId="4713A092">
            <w:pPr>
              <w:rPr>
                <w:rFonts w:hint="eastAsia" w:ascii="宋体" w:hAnsi="宋体" w:cs="仿宋_GB2312"/>
                <w:b/>
                <w:bCs/>
                <w:szCs w:val="21"/>
              </w:rPr>
            </w:pPr>
            <w:r>
              <w:rPr>
                <w:rFonts w:hint="eastAsia"/>
              </w:rPr>
              <w:t>云平台安全运维服务-互联网基于国密算法的远程安全接入，支持在终端与平台之间建立SSL VPN安全通道，支持对接入网络的终端设备进行安全认证，支持客户端与服务端之间数据加密传输，支持对终端设备的权限控制；支持与安全浏览器建立合规的HTTPS安全通道。</w:t>
            </w:r>
          </w:p>
        </w:tc>
      </w:tr>
      <w:tr w14:paraId="7681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21" w:type="dxa"/>
            <w:vMerge w:val="continue"/>
            <w:shd w:val="clear" w:color="auto" w:fill="FFFFFF"/>
            <w:noWrap w:val="0"/>
            <w:vAlign w:val="center"/>
          </w:tcPr>
          <w:p w14:paraId="5F9D29B7">
            <w:pPr>
              <w:rPr>
                <w:rFonts w:hint="eastAsia" w:ascii="宋体" w:hAnsi="宋体" w:cs="仿宋_GB2312"/>
                <w:b/>
                <w:bCs/>
                <w:szCs w:val="21"/>
              </w:rPr>
            </w:pPr>
          </w:p>
        </w:tc>
        <w:tc>
          <w:tcPr>
            <w:tcW w:w="6830" w:type="dxa"/>
            <w:shd w:val="clear" w:color="auto" w:fill="FFFFFF"/>
            <w:noWrap w:val="0"/>
            <w:vAlign w:val="center"/>
          </w:tcPr>
          <w:p w14:paraId="31A945D6">
            <w:pPr>
              <w:rPr>
                <w:rFonts w:hint="eastAsia" w:ascii="宋体" w:hAnsi="宋体" w:cs="仿宋_GB2312"/>
                <w:b/>
                <w:bCs/>
                <w:szCs w:val="21"/>
              </w:rPr>
            </w:pPr>
            <w:r>
              <w:rPr>
                <w:rFonts w:hint="eastAsia"/>
              </w:rPr>
              <w:t>云平台安全运维服务-互联网密钥管理服务，提供密钥生成、密钥更新、密钥备份与恢复、密钥归档、密钥销毁等密钥全生命周期管理</w:t>
            </w:r>
          </w:p>
        </w:tc>
      </w:tr>
      <w:tr w14:paraId="4EB3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21" w:type="dxa"/>
            <w:vMerge w:val="continue"/>
            <w:shd w:val="clear" w:color="auto" w:fill="FFFFFF"/>
            <w:noWrap w:val="0"/>
            <w:vAlign w:val="center"/>
          </w:tcPr>
          <w:p w14:paraId="5B3C5C3C">
            <w:pPr>
              <w:rPr>
                <w:rFonts w:hint="eastAsia" w:ascii="宋体" w:hAnsi="宋体" w:cs="仿宋_GB2312"/>
                <w:b/>
                <w:bCs/>
                <w:szCs w:val="21"/>
              </w:rPr>
            </w:pPr>
          </w:p>
        </w:tc>
        <w:tc>
          <w:tcPr>
            <w:tcW w:w="6830" w:type="dxa"/>
            <w:shd w:val="clear" w:color="auto" w:fill="FFFFFF"/>
            <w:noWrap w:val="0"/>
            <w:vAlign w:val="center"/>
          </w:tcPr>
          <w:p w14:paraId="11FB5FD1">
            <w:pPr>
              <w:rPr>
                <w:rFonts w:hint="eastAsia" w:ascii="宋体" w:hAnsi="宋体" w:cs="仿宋_GB2312"/>
                <w:b/>
                <w:bCs/>
                <w:szCs w:val="21"/>
              </w:rPr>
            </w:pPr>
            <w:r>
              <w:rPr>
                <w:rFonts w:hint="eastAsia"/>
              </w:rPr>
              <w:t>云平台安全运维服务-互联网数据加密服务，提供数据加解密和完整性保护服务，实现数据库加解密、文件加解密。支持数据库字段级或表级加密与完整性保护；支持文件数据加密与完整性保护，支持细粒度数据加密控制，支持数据加密吞吐率100Mbps；</w:t>
            </w:r>
          </w:p>
        </w:tc>
      </w:tr>
      <w:tr w14:paraId="0FEA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21" w:type="dxa"/>
            <w:vMerge w:val="continue"/>
            <w:shd w:val="clear" w:color="auto" w:fill="FFFFFF"/>
            <w:noWrap w:val="0"/>
            <w:vAlign w:val="center"/>
          </w:tcPr>
          <w:p w14:paraId="58905E92">
            <w:pPr>
              <w:rPr>
                <w:rFonts w:hint="eastAsia" w:ascii="宋体" w:hAnsi="宋体" w:cs="仿宋_GB2312"/>
                <w:b/>
                <w:bCs/>
                <w:szCs w:val="21"/>
              </w:rPr>
            </w:pPr>
          </w:p>
        </w:tc>
        <w:tc>
          <w:tcPr>
            <w:tcW w:w="6830" w:type="dxa"/>
            <w:shd w:val="clear" w:color="auto" w:fill="FFFFFF"/>
            <w:noWrap w:val="0"/>
            <w:vAlign w:val="center"/>
          </w:tcPr>
          <w:p w14:paraId="1526B0BB">
            <w:pPr>
              <w:rPr>
                <w:rFonts w:hint="eastAsia" w:ascii="宋体" w:hAnsi="宋体" w:cs="仿宋_GB2312"/>
                <w:b/>
                <w:bCs/>
                <w:szCs w:val="21"/>
              </w:rPr>
            </w:pPr>
            <w:r>
              <w:rPr>
                <w:rFonts w:hint="eastAsia"/>
              </w:rPr>
              <w:t>云平台安全运维服务-互联网签名验签服务，提供数字签名与签名验证服务功能，用于身份认证时签名数据验证，基于数字签名技术实现数据的完整性保护，支持SM2签名速度不低于700次/秒。</w:t>
            </w:r>
          </w:p>
        </w:tc>
      </w:tr>
      <w:tr w14:paraId="751D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21" w:type="dxa"/>
            <w:vMerge w:val="continue"/>
            <w:shd w:val="clear" w:color="auto" w:fill="FFFFFF"/>
            <w:noWrap w:val="0"/>
            <w:vAlign w:val="center"/>
          </w:tcPr>
          <w:p w14:paraId="4216455D">
            <w:pPr>
              <w:rPr>
                <w:rFonts w:hint="eastAsia" w:ascii="宋体" w:hAnsi="宋体" w:cs="仿宋_GB2312"/>
                <w:b/>
                <w:bCs/>
                <w:szCs w:val="21"/>
              </w:rPr>
            </w:pPr>
          </w:p>
        </w:tc>
        <w:tc>
          <w:tcPr>
            <w:tcW w:w="6830" w:type="dxa"/>
            <w:shd w:val="clear" w:color="auto" w:fill="FFFFFF"/>
            <w:noWrap w:val="0"/>
            <w:vAlign w:val="center"/>
          </w:tcPr>
          <w:p w14:paraId="1226F247">
            <w:pPr>
              <w:rPr>
                <w:rFonts w:hint="eastAsia" w:ascii="宋体" w:hAnsi="宋体" w:cs="仿宋_GB2312"/>
                <w:b/>
                <w:bCs/>
                <w:szCs w:val="21"/>
              </w:rPr>
            </w:pPr>
            <w:r>
              <w:rPr>
                <w:rFonts w:hint="eastAsia"/>
              </w:rPr>
              <w:t>云平台安全运维服务-互联网虚拟密码机（VSM)服务，基于符合国密要求的密码算法和密钥安全管理机制，提供密钥产生、使用以及基础密码运算服务功能，每实例2C4G。</w:t>
            </w:r>
          </w:p>
        </w:tc>
      </w:tr>
      <w:tr w14:paraId="336D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21" w:type="dxa"/>
            <w:vMerge w:val="continue"/>
            <w:shd w:val="clear" w:color="auto" w:fill="FFFFFF"/>
            <w:noWrap w:val="0"/>
            <w:vAlign w:val="center"/>
          </w:tcPr>
          <w:p w14:paraId="01085171">
            <w:pPr>
              <w:rPr>
                <w:rFonts w:hint="eastAsia" w:ascii="宋体" w:hAnsi="宋体" w:cs="仿宋_GB2312"/>
                <w:b/>
                <w:bCs/>
                <w:szCs w:val="21"/>
              </w:rPr>
            </w:pPr>
          </w:p>
        </w:tc>
        <w:tc>
          <w:tcPr>
            <w:tcW w:w="6830" w:type="dxa"/>
            <w:shd w:val="clear" w:color="auto" w:fill="FFFFFF"/>
            <w:noWrap w:val="0"/>
            <w:vAlign w:val="center"/>
          </w:tcPr>
          <w:p w14:paraId="71E90396">
            <w:pPr>
              <w:rPr>
                <w:rFonts w:hint="eastAsia" w:ascii="宋体" w:hAnsi="宋体" w:cs="仿宋_GB2312"/>
                <w:b/>
                <w:bCs/>
                <w:szCs w:val="21"/>
              </w:rPr>
            </w:pPr>
            <w:r>
              <w:rPr>
                <w:rFonts w:hint="eastAsia"/>
              </w:rPr>
              <w:t>云平台安全运维服务-互联网密码API接口服务，把密码调用接口进行业务级封装形成统一密码服务API和SDK，对云平台上所有业务应用提供统一的密码服务，提供多租户的密码服务能力。</w:t>
            </w:r>
          </w:p>
        </w:tc>
      </w:tr>
      <w:tr w14:paraId="77DC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21" w:type="dxa"/>
            <w:vMerge w:val="continue"/>
            <w:shd w:val="clear" w:color="auto" w:fill="FFFFFF"/>
            <w:noWrap w:val="0"/>
            <w:vAlign w:val="center"/>
          </w:tcPr>
          <w:p w14:paraId="73D9A85A">
            <w:pPr>
              <w:rPr>
                <w:rFonts w:hint="eastAsia" w:ascii="宋体" w:hAnsi="宋体" w:cs="仿宋_GB2312"/>
                <w:b/>
                <w:bCs/>
                <w:szCs w:val="21"/>
              </w:rPr>
            </w:pPr>
          </w:p>
        </w:tc>
        <w:tc>
          <w:tcPr>
            <w:tcW w:w="6830" w:type="dxa"/>
            <w:shd w:val="clear" w:color="auto" w:fill="FFFFFF"/>
            <w:noWrap w:val="0"/>
            <w:vAlign w:val="center"/>
          </w:tcPr>
          <w:p w14:paraId="515A8686">
            <w:pPr>
              <w:rPr>
                <w:rFonts w:hint="eastAsia" w:ascii="宋体" w:hAnsi="宋体" w:cs="仿宋_GB2312"/>
                <w:b/>
                <w:bCs/>
                <w:szCs w:val="21"/>
              </w:rPr>
            </w:pPr>
            <w:r>
              <w:rPr>
                <w:rFonts w:hint="eastAsia"/>
              </w:rPr>
              <w:t>云平台安全运维服务-互联网数字证书服务，提供数字证书全生命周期管理服务功能，支持用户信息注册、证书申请、证书更新申请、证书注销申请、证书冻结申请、证书解冻申请等注册审核；支持用户证书签发、证书更新、证书注销、证书冻结、证书解冻等证书管理；支持SM2等密码算法</w:t>
            </w:r>
          </w:p>
        </w:tc>
      </w:tr>
      <w:tr w14:paraId="62F2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21" w:type="dxa"/>
            <w:vMerge w:val="continue"/>
            <w:shd w:val="clear" w:color="auto" w:fill="FFFFFF"/>
            <w:noWrap w:val="0"/>
            <w:vAlign w:val="center"/>
          </w:tcPr>
          <w:p w14:paraId="57D9E0AB">
            <w:pPr>
              <w:rPr>
                <w:rFonts w:hint="eastAsia" w:ascii="宋体" w:hAnsi="宋体" w:cs="仿宋_GB2312"/>
                <w:b/>
                <w:bCs/>
                <w:szCs w:val="21"/>
              </w:rPr>
            </w:pPr>
          </w:p>
        </w:tc>
        <w:tc>
          <w:tcPr>
            <w:tcW w:w="6830" w:type="dxa"/>
            <w:shd w:val="clear" w:color="auto" w:fill="FFFFFF"/>
            <w:noWrap w:val="0"/>
            <w:vAlign w:val="center"/>
          </w:tcPr>
          <w:p w14:paraId="7551EAEB">
            <w:pPr>
              <w:rPr>
                <w:rFonts w:hint="eastAsia" w:ascii="宋体" w:hAnsi="宋体" w:cs="仿宋_GB2312"/>
                <w:b/>
                <w:bCs/>
                <w:szCs w:val="21"/>
              </w:rPr>
            </w:pPr>
            <w:r>
              <w:rPr>
                <w:rFonts w:hint="eastAsia"/>
              </w:rPr>
              <w:t>云平台安全运维服务-互联网智能密码钥匙（usbkey），PC终端密码支撑服务，PC端用户身份认证。</w:t>
            </w:r>
            <w:r>
              <w:rPr>
                <w:rFonts w:hint="eastAsia"/>
              </w:rPr>
              <w:br w:type="textWrapping"/>
            </w:r>
            <w:r>
              <w:rPr>
                <w:rFonts w:hint="eastAsia"/>
              </w:rPr>
              <w:t>业务系统每个用户配发一个。</w:t>
            </w:r>
          </w:p>
        </w:tc>
      </w:tr>
      <w:tr w14:paraId="2D34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21" w:type="dxa"/>
            <w:vMerge w:val="continue"/>
            <w:shd w:val="clear" w:color="auto" w:fill="FFFFFF"/>
            <w:noWrap w:val="0"/>
            <w:vAlign w:val="center"/>
          </w:tcPr>
          <w:p w14:paraId="7485EB93">
            <w:pPr>
              <w:rPr>
                <w:rFonts w:hint="eastAsia" w:ascii="宋体" w:hAnsi="宋体" w:cs="仿宋_GB2312"/>
                <w:b/>
                <w:bCs/>
                <w:szCs w:val="21"/>
              </w:rPr>
            </w:pPr>
          </w:p>
        </w:tc>
        <w:tc>
          <w:tcPr>
            <w:tcW w:w="6830" w:type="dxa"/>
            <w:shd w:val="clear" w:color="auto" w:fill="FFFFFF"/>
            <w:noWrap w:val="0"/>
            <w:vAlign w:val="center"/>
          </w:tcPr>
          <w:p w14:paraId="3C9F3B80">
            <w:pPr>
              <w:rPr>
                <w:rFonts w:hint="eastAsia" w:ascii="宋体" w:hAnsi="宋体" w:cs="仿宋_GB2312"/>
                <w:b/>
                <w:bCs/>
                <w:szCs w:val="21"/>
              </w:rPr>
            </w:pPr>
            <w:r>
              <w:rPr>
                <w:rFonts w:hint="eastAsia"/>
              </w:rPr>
              <w:t>云平台安全运维服务-互联网SSL证书，符合国密算法的单域名SSL证书</w:t>
            </w:r>
          </w:p>
        </w:tc>
      </w:tr>
    </w:tbl>
    <w:p w14:paraId="58D2CAC9"/>
    <w:p w14:paraId="2191482D">
      <w:pPr>
        <w:adjustRightInd w:val="0"/>
        <w:spacing w:line="360" w:lineRule="auto"/>
        <w:ind w:firstLine="482" w:firstLineChars="200"/>
        <w:textAlignment w:val="baseline"/>
        <w:outlineLvl w:val="0"/>
        <w:rPr>
          <w:rFonts w:hint="eastAsia" w:ascii="宋体" w:hAnsi="宋体" w:cs="宋体"/>
          <w:b/>
          <w:sz w:val="24"/>
        </w:rPr>
      </w:pPr>
      <w:r>
        <w:rPr>
          <w:rFonts w:hint="eastAsia" w:ascii="宋体" w:hAnsi="宋体" w:cs="宋体"/>
          <w:b/>
          <w:sz w:val="24"/>
        </w:rPr>
        <w:t>2.1.6其他技术需求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096"/>
      </w:tblGrid>
      <w:tr w14:paraId="493B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5" w:type="dxa"/>
            <w:shd w:val="clear" w:color="auto" w:fill="D9D9D9"/>
            <w:noWrap w:val="0"/>
            <w:vAlign w:val="center"/>
          </w:tcPr>
          <w:p w14:paraId="7C6D1393">
            <w:pPr>
              <w:widowControl/>
              <w:spacing w:line="360" w:lineRule="auto"/>
              <w:jc w:val="center"/>
              <w:rPr>
                <w:rFonts w:hint="eastAsia" w:ascii="宋体" w:hAnsi="宋体" w:cs="宋体"/>
                <w:b/>
                <w:bCs/>
                <w:sz w:val="24"/>
              </w:rPr>
            </w:pPr>
            <w:r>
              <w:rPr>
                <w:rFonts w:hint="eastAsia" w:ascii="宋体" w:hAnsi="宋体" w:cs="宋体"/>
                <w:b/>
                <w:bCs/>
                <w:sz w:val="24"/>
              </w:rPr>
              <w:t>指标项</w:t>
            </w:r>
          </w:p>
        </w:tc>
        <w:tc>
          <w:tcPr>
            <w:tcW w:w="7096" w:type="dxa"/>
            <w:shd w:val="clear" w:color="auto" w:fill="D9D9D9"/>
            <w:noWrap w:val="0"/>
            <w:vAlign w:val="center"/>
          </w:tcPr>
          <w:p w14:paraId="753832D0">
            <w:pPr>
              <w:widowControl/>
              <w:spacing w:line="360" w:lineRule="auto"/>
              <w:jc w:val="center"/>
              <w:rPr>
                <w:rFonts w:hint="eastAsia" w:ascii="宋体" w:hAnsi="宋体" w:cs="宋体"/>
                <w:b/>
                <w:bCs/>
                <w:sz w:val="24"/>
              </w:rPr>
            </w:pPr>
            <w:r>
              <w:rPr>
                <w:rFonts w:hint="eastAsia" w:ascii="宋体" w:hAnsi="宋体" w:cs="宋体"/>
                <w:b/>
                <w:bCs/>
                <w:sz w:val="24"/>
              </w:rPr>
              <w:t>招标要求</w:t>
            </w:r>
          </w:p>
        </w:tc>
      </w:tr>
      <w:tr w14:paraId="1E83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75" w:type="dxa"/>
            <w:shd w:val="clear" w:color="auto" w:fill="FFFFFF"/>
            <w:noWrap w:val="0"/>
            <w:vAlign w:val="center"/>
          </w:tcPr>
          <w:p w14:paraId="28745696">
            <w:pPr>
              <w:spacing w:line="360" w:lineRule="auto"/>
              <w:rPr>
                <w:rFonts w:hint="eastAsia" w:ascii="宋体" w:hAnsi="宋体" w:cs="宋体"/>
                <w:sz w:val="24"/>
              </w:rPr>
            </w:pPr>
            <w:r>
              <w:rPr>
                <w:rFonts w:hint="eastAsia" w:ascii="宋体" w:hAnsi="宋体" w:cs="宋体"/>
                <w:sz w:val="24"/>
              </w:rPr>
              <w:t>政务云技术架构要求</w:t>
            </w:r>
          </w:p>
        </w:tc>
        <w:tc>
          <w:tcPr>
            <w:tcW w:w="7096" w:type="dxa"/>
            <w:shd w:val="clear" w:color="auto" w:fill="FFFFFF"/>
            <w:noWrap w:val="0"/>
            <w:vAlign w:val="center"/>
          </w:tcPr>
          <w:p w14:paraId="2355BA42">
            <w:pPr>
              <w:spacing w:line="360" w:lineRule="auto"/>
              <w:rPr>
                <w:rFonts w:hint="eastAsia" w:ascii="宋体" w:hAnsi="宋体" w:cs="宋体"/>
                <w:sz w:val="24"/>
              </w:rPr>
            </w:pPr>
            <w:r>
              <w:rPr>
                <w:rFonts w:hint="eastAsia" w:ascii="宋体" w:hAnsi="宋体" w:cs="宋体"/>
                <w:b/>
                <w:bCs/>
                <w:sz w:val="24"/>
              </w:rPr>
              <w:t>#</w:t>
            </w:r>
            <w:r>
              <w:rPr>
                <w:rFonts w:hint="eastAsia" w:ascii="宋体" w:hAnsi="宋体" w:cs="宋体"/>
                <w:sz w:val="24"/>
              </w:rPr>
              <w:t>投标人所使用云平台需采用基于OpenStack主流版本且经过厂商深度定制的云平台软件，资源虚拟化通过KVM技术实现。(提供所投产品此项要求的系统截图或其他有效证明文件)</w:t>
            </w:r>
          </w:p>
        </w:tc>
      </w:tr>
      <w:tr w14:paraId="53E3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75" w:type="dxa"/>
            <w:shd w:val="clear" w:color="auto" w:fill="FFFFFF"/>
            <w:noWrap w:val="0"/>
            <w:vAlign w:val="center"/>
          </w:tcPr>
          <w:p w14:paraId="25926D94">
            <w:pPr>
              <w:spacing w:line="360" w:lineRule="auto"/>
              <w:rPr>
                <w:rFonts w:hint="eastAsia" w:ascii="宋体" w:hAnsi="宋体" w:cs="宋体"/>
                <w:sz w:val="24"/>
              </w:rPr>
            </w:pPr>
            <w:r>
              <w:rPr>
                <w:rFonts w:hint="eastAsia" w:ascii="宋体" w:hAnsi="宋体" w:cs="宋体"/>
                <w:sz w:val="24"/>
              </w:rPr>
              <w:t>政务云存储技术要求</w:t>
            </w:r>
          </w:p>
        </w:tc>
        <w:tc>
          <w:tcPr>
            <w:tcW w:w="7096" w:type="dxa"/>
            <w:shd w:val="clear" w:color="auto" w:fill="FFFFFF"/>
            <w:noWrap w:val="0"/>
            <w:vAlign w:val="center"/>
          </w:tcPr>
          <w:p w14:paraId="44198125">
            <w:pPr>
              <w:spacing w:line="360" w:lineRule="auto"/>
              <w:rPr>
                <w:rFonts w:hint="eastAsia" w:ascii="宋体" w:hAnsi="宋体" w:cs="宋体"/>
                <w:sz w:val="24"/>
              </w:rPr>
            </w:pPr>
            <w:r>
              <w:rPr>
                <w:rFonts w:hint="eastAsia" w:ascii="宋体" w:hAnsi="宋体" w:cs="宋体"/>
                <w:sz w:val="24"/>
              </w:rPr>
              <w:t>投标人所使用云平台支持基于通用X86服务器本地硬盘的计算存储融合架构部署分布式存储资源池，底层支持三副本数据冗余（提供所投产品此项要求的系统截图、三方证明或其他有效证明文件。）</w:t>
            </w:r>
          </w:p>
        </w:tc>
      </w:tr>
      <w:tr w14:paraId="4C0D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75" w:type="dxa"/>
            <w:vMerge w:val="restart"/>
            <w:shd w:val="clear" w:color="auto" w:fill="FFFFFF"/>
            <w:noWrap w:val="0"/>
            <w:vAlign w:val="center"/>
          </w:tcPr>
          <w:p w14:paraId="7B95301C">
            <w:pPr>
              <w:spacing w:line="360" w:lineRule="auto"/>
              <w:rPr>
                <w:rFonts w:hint="eastAsia" w:ascii="宋体" w:hAnsi="宋体" w:cs="宋体"/>
                <w:sz w:val="24"/>
              </w:rPr>
            </w:pPr>
            <w:r>
              <w:rPr>
                <w:rFonts w:hint="eastAsia" w:ascii="宋体" w:hAnsi="宋体" w:cs="宋体"/>
                <w:sz w:val="24"/>
              </w:rPr>
              <w:t>政务云资源及服务管理要求</w:t>
            </w:r>
          </w:p>
        </w:tc>
        <w:tc>
          <w:tcPr>
            <w:tcW w:w="7096" w:type="dxa"/>
            <w:shd w:val="clear" w:color="auto" w:fill="FFFFFF"/>
            <w:noWrap w:val="0"/>
            <w:vAlign w:val="center"/>
          </w:tcPr>
          <w:p w14:paraId="3B18EEF4">
            <w:pPr>
              <w:spacing w:line="360" w:lineRule="auto"/>
              <w:rPr>
                <w:rFonts w:hint="eastAsia" w:ascii="宋体" w:hAnsi="宋体" w:cs="宋体"/>
                <w:sz w:val="24"/>
              </w:rPr>
            </w:pPr>
            <w:r>
              <w:rPr>
                <w:rFonts w:hint="eastAsia" w:ascii="宋体" w:hAnsi="宋体" w:cs="宋体"/>
                <w:sz w:val="24"/>
              </w:rPr>
              <w:t>云服务商提供招标人可自服务的云资源可视化管理能力，实现：云主机数量、vCPU数、内存数、磁盘数统计，云资源分配量趋势分析，云资源分布分析（互联网及政务外网分布情况、操作系统类型分布情况、云主机状态分布等），提供演示系统链接及管理工具截图证明文件。</w:t>
            </w:r>
          </w:p>
        </w:tc>
      </w:tr>
      <w:tr w14:paraId="6909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75" w:type="dxa"/>
            <w:vMerge w:val="continue"/>
            <w:shd w:val="clear" w:color="auto" w:fill="FFFFFF"/>
            <w:noWrap w:val="0"/>
            <w:vAlign w:val="center"/>
          </w:tcPr>
          <w:p w14:paraId="0E48535E">
            <w:pPr>
              <w:spacing w:line="360" w:lineRule="auto"/>
              <w:rPr>
                <w:rFonts w:hint="eastAsia" w:ascii="宋体" w:hAnsi="宋体" w:cs="宋体"/>
                <w:sz w:val="24"/>
              </w:rPr>
            </w:pPr>
          </w:p>
        </w:tc>
        <w:tc>
          <w:tcPr>
            <w:tcW w:w="7096" w:type="dxa"/>
            <w:shd w:val="clear" w:color="auto" w:fill="FFFFFF"/>
            <w:noWrap w:val="0"/>
            <w:vAlign w:val="center"/>
          </w:tcPr>
          <w:p w14:paraId="621BC92A">
            <w:pPr>
              <w:spacing w:line="360" w:lineRule="auto"/>
              <w:rPr>
                <w:rFonts w:hint="eastAsia" w:ascii="宋体" w:hAnsi="宋体" w:cs="宋体"/>
                <w:sz w:val="24"/>
              </w:rPr>
            </w:pPr>
            <w:r>
              <w:rPr>
                <w:rFonts w:hint="eastAsia" w:ascii="宋体" w:hAnsi="宋体" w:cs="宋体"/>
                <w:b/>
                <w:bCs/>
                <w:sz w:val="24"/>
              </w:rPr>
              <w:t>#</w:t>
            </w:r>
            <w:r>
              <w:rPr>
                <w:rFonts w:hint="eastAsia" w:ascii="宋体" w:hAnsi="宋体" w:cs="宋体"/>
                <w:sz w:val="24"/>
              </w:rPr>
              <w:t>云服务商提供招标人可自服务的云资源可视化管理能力，支持按资源分布进行业务资源用量分析并支持排序；支持按云主机数量进行业务系统分析并支持排序；提供演示系统链接及管理工具截图证明文件。</w:t>
            </w:r>
          </w:p>
        </w:tc>
      </w:tr>
      <w:tr w14:paraId="7BF8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75" w:type="dxa"/>
            <w:vMerge w:val="continue"/>
            <w:shd w:val="clear" w:color="auto" w:fill="FFFFFF"/>
            <w:noWrap w:val="0"/>
            <w:vAlign w:val="center"/>
          </w:tcPr>
          <w:p w14:paraId="5D3684C8">
            <w:pPr>
              <w:spacing w:line="360" w:lineRule="auto"/>
              <w:rPr>
                <w:rFonts w:hint="eastAsia" w:ascii="宋体" w:hAnsi="宋体" w:cs="宋体"/>
                <w:sz w:val="24"/>
              </w:rPr>
            </w:pPr>
          </w:p>
        </w:tc>
        <w:tc>
          <w:tcPr>
            <w:tcW w:w="7096" w:type="dxa"/>
            <w:shd w:val="clear" w:color="auto" w:fill="FFFFFF"/>
            <w:noWrap w:val="0"/>
            <w:vAlign w:val="center"/>
          </w:tcPr>
          <w:p w14:paraId="523A8A67">
            <w:pPr>
              <w:spacing w:line="360" w:lineRule="auto"/>
              <w:rPr>
                <w:rFonts w:hint="eastAsia" w:ascii="宋体" w:hAnsi="宋体" w:cs="宋体"/>
                <w:sz w:val="24"/>
              </w:rPr>
            </w:pPr>
            <w:r>
              <w:rPr>
                <w:rFonts w:hint="eastAsia" w:ascii="宋体" w:hAnsi="宋体" w:cs="宋体"/>
                <w:b/>
                <w:bCs/>
                <w:sz w:val="24"/>
              </w:rPr>
              <w:t>#</w:t>
            </w:r>
            <w:r>
              <w:rPr>
                <w:rFonts w:hint="eastAsia" w:ascii="宋体" w:hAnsi="宋体" w:cs="宋体"/>
                <w:sz w:val="24"/>
              </w:rPr>
              <w:t>云服务商提供招标人可自服务的云资源可视化管理能力，支持业务探活能力，能够根据业务系统服务IP地址、服务链接进行业务健康状态探测，展示系统运行状态，如正常、异常等，提供演示系统链接及管理工具截图证明。</w:t>
            </w:r>
          </w:p>
        </w:tc>
      </w:tr>
      <w:tr w14:paraId="5732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75" w:type="dxa"/>
            <w:vMerge w:val="continue"/>
            <w:shd w:val="clear" w:color="auto" w:fill="FFFFFF"/>
            <w:noWrap w:val="0"/>
            <w:vAlign w:val="center"/>
          </w:tcPr>
          <w:p w14:paraId="34D4F26D">
            <w:pPr>
              <w:spacing w:line="360" w:lineRule="auto"/>
              <w:rPr>
                <w:rFonts w:hint="eastAsia" w:ascii="宋体" w:hAnsi="宋体" w:cs="宋体"/>
                <w:sz w:val="24"/>
              </w:rPr>
            </w:pPr>
          </w:p>
        </w:tc>
        <w:tc>
          <w:tcPr>
            <w:tcW w:w="7096" w:type="dxa"/>
            <w:shd w:val="clear" w:color="auto" w:fill="FFFFFF"/>
            <w:noWrap w:val="0"/>
            <w:vAlign w:val="center"/>
          </w:tcPr>
          <w:p w14:paraId="2C8AC1BF">
            <w:pPr>
              <w:spacing w:line="360" w:lineRule="auto"/>
              <w:rPr>
                <w:rFonts w:hint="eastAsia" w:ascii="宋体" w:hAnsi="宋体" w:cs="宋体"/>
                <w:sz w:val="24"/>
              </w:rPr>
            </w:pPr>
            <w:r>
              <w:rPr>
                <w:rFonts w:hint="eastAsia" w:ascii="宋体" w:hAnsi="宋体" w:cs="宋体"/>
                <w:b/>
                <w:bCs/>
                <w:sz w:val="24"/>
              </w:rPr>
              <w:t>#</w:t>
            </w:r>
            <w:r>
              <w:rPr>
                <w:rFonts w:hint="eastAsia" w:ascii="宋体" w:hAnsi="宋体" w:cs="宋体"/>
                <w:sz w:val="24"/>
              </w:rPr>
              <w:t>云服务商提供招标人可自服务的云资源可视化管理能力，支持云效率分析展示能力，能够清晰展示云效率总值以及云效率变化轨迹图，时刻掌握系统云资源使用情况，并能够清晰展示不同系统云效率情况。提供演示系统链接及管理工具截图证明。</w:t>
            </w:r>
          </w:p>
        </w:tc>
      </w:tr>
    </w:tbl>
    <w:p w14:paraId="7B884989">
      <w:pPr>
        <w:widowControl/>
        <w:spacing w:line="360" w:lineRule="auto"/>
        <w:ind w:firstLine="480" w:firstLineChars="200"/>
        <w:contextualSpacing/>
        <w:rPr>
          <w:rFonts w:hint="eastAsia" w:ascii="宋体" w:hAnsi="宋体" w:cs="宋体"/>
          <w:sz w:val="24"/>
        </w:rPr>
      </w:pPr>
    </w:p>
    <w:p w14:paraId="6B5C43F2">
      <w:pPr>
        <w:widowControl/>
        <w:spacing w:line="360" w:lineRule="auto"/>
        <w:ind w:firstLine="480" w:firstLineChars="200"/>
        <w:contextualSpacing/>
        <w:outlineLvl w:val="0"/>
        <w:rPr>
          <w:rFonts w:hint="eastAsia" w:ascii="宋体" w:hAnsi="宋体" w:cs="宋体"/>
          <w:sz w:val="24"/>
        </w:rPr>
      </w:pPr>
      <w:r>
        <w:rPr>
          <w:rFonts w:hint="eastAsia" w:ascii="宋体" w:hAnsi="宋体" w:cs="宋体"/>
          <w:sz w:val="24"/>
        </w:rPr>
        <w:t>2.2采购标的需满足的服务标准、期限、效率等要求；</w:t>
      </w:r>
    </w:p>
    <w:p w14:paraId="6F9FAE0E">
      <w:pPr>
        <w:spacing w:line="360" w:lineRule="auto"/>
        <w:ind w:firstLine="420"/>
        <w:rPr>
          <w:rFonts w:hint="eastAsia" w:ascii="宋体" w:hAnsi="宋体" w:cs="宋体"/>
          <w:sz w:val="24"/>
        </w:rPr>
      </w:pPr>
      <w:r>
        <w:rPr>
          <w:rFonts w:hint="eastAsia" w:ascii="宋体" w:hAnsi="宋体" w:cs="宋体"/>
          <w:sz w:val="24"/>
        </w:rPr>
        <w:t>投标人须利用监控系统或人工对硬件设备及应用系统的运行情况进行7*24小时的不间断巡检监控，及时发现安全隐患，通知相关人员及时处理，并形成监控报告。提供7*24小时热线支持服务，能够在系统发生除宕机外的其他故障问题时，能够协调人力资源在2小时内到达运维现场提供服务。系统发生宕机问题时，投标人应在15分钟内响应，故障处理完毕后提供相关系统宕机报告。</w:t>
      </w:r>
    </w:p>
    <w:p w14:paraId="33F7893A">
      <w:pPr>
        <w:widowControl/>
        <w:spacing w:line="360" w:lineRule="auto"/>
        <w:ind w:firstLine="480" w:firstLineChars="200"/>
        <w:contextualSpacing/>
        <w:rPr>
          <w:rFonts w:hint="eastAsia" w:ascii="宋体" w:hAnsi="宋体" w:cs="宋体"/>
          <w:sz w:val="24"/>
        </w:rPr>
      </w:pPr>
    </w:p>
    <w:p w14:paraId="070C1010">
      <w:pPr>
        <w:widowControl/>
        <w:spacing w:line="360" w:lineRule="auto"/>
        <w:ind w:firstLine="480" w:firstLineChars="200"/>
        <w:contextualSpacing/>
        <w:outlineLvl w:val="0"/>
        <w:rPr>
          <w:rFonts w:hint="eastAsia" w:ascii="宋体" w:hAnsi="宋体" w:cs="宋体"/>
          <w:sz w:val="24"/>
        </w:rPr>
      </w:pPr>
      <w:r>
        <w:rPr>
          <w:rFonts w:hint="eastAsia" w:ascii="宋体" w:hAnsi="宋体" w:cs="宋体"/>
          <w:sz w:val="24"/>
        </w:rPr>
        <w:t>2.3为落实政府采购政策需满足的要求；</w:t>
      </w:r>
    </w:p>
    <w:p w14:paraId="658FEFC7">
      <w:pPr>
        <w:widowControl/>
        <w:spacing w:line="360" w:lineRule="auto"/>
        <w:ind w:firstLine="480" w:firstLineChars="200"/>
        <w:contextualSpacing/>
        <w:rPr>
          <w:rFonts w:hint="eastAsia" w:ascii="宋体" w:hAnsi="宋体" w:cs="宋体"/>
          <w:sz w:val="24"/>
        </w:rPr>
      </w:pPr>
      <w:r>
        <w:rPr>
          <w:rFonts w:hint="eastAsia" w:ascii="宋体" w:hAnsi="宋体" w:cs="宋体"/>
          <w:sz w:val="24"/>
        </w:rPr>
        <w:t>无</w:t>
      </w:r>
    </w:p>
    <w:p w14:paraId="3D7C198C">
      <w:pPr>
        <w:widowControl/>
        <w:spacing w:line="360" w:lineRule="auto"/>
        <w:ind w:firstLine="480" w:firstLineChars="200"/>
        <w:contextualSpacing/>
        <w:rPr>
          <w:rFonts w:hint="eastAsia" w:ascii="宋体" w:hAnsi="宋体" w:cs="宋体"/>
          <w:sz w:val="24"/>
        </w:rPr>
      </w:pPr>
    </w:p>
    <w:p w14:paraId="026AE26A">
      <w:pPr>
        <w:widowControl/>
        <w:spacing w:line="360" w:lineRule="auto"/>
        <w:ind w:firstLine="480" w:firstLineChars="200"/>
        <w:contextualSpacing/>
        <w:outlineLvl w:val="0"/>
        <w:rPr>
          <w:rFonts w:hint="eastAsia" w:ascii="宋体" w:hAnsi="宋体" w:cs="宋体"/>
          <w:sz w:val="24"/>
        </w:rPr>
      </w:pPr>
      <w:r>
        <w:rPr>
          <w:rFonts w:hint="eastAsia" w:ascii="宋体" w:hAnsi="宋体" w:cs="宋体"/>
          <w:sz w:val="24"/>
        </w:rPr>
        <w:t>2.4采购标的的其他技术、服务等要求；</w:t>
      </w:r>
    </w:p>
    <w:p w14:paraId="4A8AA31D">
      <w:pPr>
        <w:spacing w:line="360" w:lineRule="auto"/>
        <w:ind w:firstLine="482" w:firstLineChars="200"/>
        <w:jc w:val="left"/>
        <w:outlineLvl w:val="0"/>
        <w:rPr>
          <w:rFonts w:hint="eastAsia" w:ascii="宋体" w:hAnsi="宋体" w:cs="宋体"/>
          <w:b/>
          <w:bCs/>
          <w:sz w:val="24"/>
        </w:rPr>
      </w:pPr>
      <w:r>
        <w:rPr>
          <w:rFonts w:hint="eastAsia" w:ascii="宋体" w:hAnsi="宋体" w:cs="宋体"/>
          <w:b/>
          <w:sz w:val="24"/>
        </w:rPr>
        <w:t>2.4.1</w:t>
      </w:r>
      <w:r>
        <w:rPr>
          <w:rFonts w:hint="eastAsia" w:ascii="宋体" w:hAnsi="宋体" w:cs="宋体"/>
          <w:b/>
          <w:bCs/>
          <w:sz w:val="24"/>
        </w:rPr>
        <w:t>故障响应服务</w:t>
      </w:r>
    </w:p>
    <w:p w14:paraId="0B5069CD">
      <w:pPr>
        <w:spacing w:line="360" w:lineRule="auto"/>
        <w:ind w:firstLine="420"/>
        <w:rPr>
          <w:rFonts w:hint="eastAsia" w:ascii="宋体" w:hAnsi="宋体" w:cs="宋体"/>
          <w:sz w:val="24"/>
        </w:rPr>
      </w:pPr>
      <w:r>
        <w:rPr>
          <w:rFonts w:hint="eastAsia" w:ascii="宋体" w:hAnsi="宋体" w:cs="宋体"/>
          <w:sz w:val="24"/>
        </w:rPr>
        <w:t>投标人应当提供高效的系统维护服务，有效防范系统风险，投标人需保持7*24小时电话畅通，能够在系统发生除宕机外的其他故障问题时，能够协调人力资源在2小时内到达运维现场提供服务。系统发生宕机问题时，投标人应在15分钟内响应，故障处理完毕后提供相关系统宕机报告。</w:t>
      </w:r>
    </w:p>
    <w:p w14:paraId="657AAE68">
      <w:pPr>
        <w:spacing w:line="360" w:lineRule="auto"/>
        <w:ind w:firstLine="482" w:firstLineChars="200"/>
        <w:jc w:val="left"/>
        <w:outlineLvl w:val="0"/>
        <w:rPr>
          <w:rFonts w:hint="eastAsia" w:ascii="宋体" w:hAnsi="宋体" w:cs="宋体"/>
          <w:b/>
          <w:bCs/>
          <w:sz w:val="24"/>
        </w:rPr>
      </w:pPr>
      <w:r>
        <w:rPr>
          <w:rFonts w:hint="eastAsia" w:ascii="宋体" w:hAnsi="宋体" w:cs="宋体"/>
          <w:b/>
          <w:sz w:val="24"/>
        </w:rPr>
        <w:t>2.4.2</w:t>
      </w:r>
      <w:r>
        <w:rPr>
          <w:rFonts w:hint="eastAsia" w:ascii="宋体" w:hAnsi="宋体" w:cs="宋体"/>
          <w:b/>
          <w:bCs/>
          <w:sz w:val="24"/>
        </w:rPr>
        <w:t>重点保障要求</w:t>
      </w:r>
    </w:p>
    <w:p w14:paraId="6224B0AE">
      <w:pPr>
        <w:spacing w:line="360" w:lineRule="auto"/>
        <w:ind w:firstLine="420"/>
        <w:rPr>
          <w:rFonts w:hint="eastAsia" w:ascii="宋体" w:hAnsi="宋体" w:cs="宋体"/>
          <w:sz w:val="24"/>
        </w:rPr>
      </w:pPr>
      <w:r>
        <w:rPr>
          <w:rFonts w:hint="eastAsia" w:ascii="宋体" w:hAnsi="宋体" w:cs="宋体"/>
          <w:sz w:val="24"/>
        </w:rPr>
        <w:t>为保障业务高峰期内系统平稳运行，缓解系统高峰期内因业务发生量增大而带来系统压力风险，要求投标人根据业务周期性特点，提供必要的运维值守服务，包含所有云主机的运维维保和远程值守以及定期的巡检服务，包含重要时间节点的重保服务，保证在业务高峰期内系统平稳运行。</w:t>
      </w:r>
    </w:p>
    <w:p w14:paraId="52AB99A7">
      <w:pPr>
        <w:spacing w:line="360" w:lineRule="auto"/>
        <w:ind w:firstLine="482" w:firstLineChars="200"/>
        <w:jc w:val="left"/>
        <w:outlineLvl w:val="0"/>
        <w:rPr>
          <w:rFonts w:hint="eastAsia" w:ascii="宋体" w:hAnsi="宋体" w:cs="宋体"/>
          <w:b/>
          <w:bCs/>
          <w:sz w:val="24"/>
        </w:rPr>
      </w:pPr>
      <w:r>
        <w:rPr>
          <w:rFonts w:hint="eastAsia" w:ascii="宋体" w:hAnsi="宋体" w:cs="宋体"/>
          <w:b/>
          <w:sz w:val="24"/>
        </w:rPr>
        <w:t>2.4.3</w:t>
      </w:r>
      <w:r>
        <w:rPr>
          <w:rFonts w:hint="eastAsia" w:ascii="宋体" w:hAnsi="宋体" w:cs="宋体"/>
          <w:b/>
          <w:bCs/>
          <w:sz w:val="24"/>
        </w:rPr>
        <w:t>安全及保密要求</w:t>
      </w:r>
    </w:p>
    <w:p w14:paraId="5CE0CBDD">
      <w:pPr>
        <w:adjustRightInd w:val="0"/>
        <w:spacing w:line="360" w:lineRule="auto"/>
        <w:ind w:firstLine="480" w:firstLineChars="200"/>
        <w:jc w:val="left"/>
        <w:textAlignment w:val="baseline"/>
        <w:rPr>
          <w:rFonts w:hint="eastAsia" w:ascii="宋体" w:hAnsi="宋体" w:cs="宋体"/>
          <w:b/>
          <w:sz w:val="24"/>
        </w:rPr>
      </w:pPr>
      <w:r>
        <w:rPr>
          <w:rFonts w:hint="eastAsia" w:ascii="宋体" w:hAnsi="宋体" w:cs="宋体"/>
          <w:sz w:val="24"/>
        </w:rPr>
        <w:t>投标人须严格遵守招标人的相关信息安全规定，本项目涉及人员须与投标人签订保密协议，项目中标后本项目服务人员须与招标人签订针对本项目的保密协议，投标人应选派具有良好职业道德的人员参与和从事本项目工作，不得利用系统维护服务时的便利对招标人数据及其他信息擅自修改或透漏，投标人须承担相关保密责任。</w:t>
      </w:r>
    </w:p>
    <w:p w14:paraId="3935751F">
      <w:pPr>
        <w:widowControl/>
        <w:spacing w:line="360" w:lineRule="auto"/>
        <w:ind w:firstLine="480" w:firstLineChars="200"/>
        <w:contextualSpacing/>
        <w:rPr>
          <w:rFonts w:hint="eastAsia" w:ascii="宋体" w:hAnsi="宋体" w:cs="宋体"/>
          <w:sz w:val="24"/>
        </w:rPr>
      </w:pPr>
    </w:p>
    <w:p w14:paraId="4600B02C">
      <w:pPr>
        <w:widowControl/>
        <w:spacing w:line="360" w:lineRule="auto"/>
        <w:ind w:firstLine="480" w:firstLineChars="200"/>
        <w:contextualSpacing/>
        <w:outlineLvl w:val="0"/>
        <w:rPr>
          <w:rFonts w:hint="eastAsia" w:ascii="宋体" w:hAnsi="宋体" w:cs="宋体"/>
          <w:sz w:val="24"/>
        </w:rPr>
      </w:pPr>
      <w:r>
        <w:rPr>
          <w:rFonts w:hint="eastAsia" w:ascii="宋体" w:hAnsi="宋体" w:cs="宋体"/>
          <w:sz w:val="24"/>
        </w:rPr>
        <w:t>2.5需由投标人提供设计方案、解决方案或者组织方案的采购项目，应当说明采购标的的功能、应用场景、目标等基本要求。</w:t>
      </w:r>
    </w:p>
    <w:p w14:paraId="1470A045">
      <w:pPr>
        <w:pStyle w:val="6"/>
        <w:adjustRightInd w:val="0"/>
        <w:spacing w:line="360" w:lineRule="auto"/>
        <w:ind w:firstLine="424" w:firstLineChars="177"/>
        <w:contextualSpacing/>
        <w:jc w:val="left"/>
        <w:rPr>
          <w:rFonts w:hint="eastAsia" w:ascii="宋体" w:hAnsi="宋体" w:cs="宋体"/>
          <w:sz w:val="24"/>
          <w:szCs w:val="24"/>
        </w:rPr>
      </w:pPr>
      <w:r>
        <w:rPr>
          <w:rFonts w:hint="eastAsia" w:ascii="宋体" w:hAnsi="宋体" w:cs="宋体"/>
          <w:sz w:val="24"/>
          <w:szCs w:val="24"/>
        </w:rPr>
        <w:t>根据本次项目采购需求及内容，提供安全服务方案、项目组织实施方案、售后服务方案、落实ESG理念的工作措施等。</w:t>
      </w:r>
    </w:p>
    <w:p w14:paraId="233D81CC">
      <w:pPr>
        <w:pStyle w:val="6"/>
        <w:adjustRightInd w:val="0"/>
        <w:spacing w:line="360" w:lineRule="auto"/>
        <w:ind w:firstLine="424" w:firstLineChars="177"/>
        <w:contextualSpacing/>
        <w:jc w:val="left"/>
        <w:rPr>
          <w:rFonts w:hint="eastAsia" w:ascii="宋体" w:hAnsi="宋体" w:cs="宋体"/>
          <w:sz w:val="24"/>
          <w:szCs w:val="24"/>
        </w:rPr>
      </w:pPr>
    </w:p>
    <w:p w14:paraId="55068DB4">
      <w:pPr>
        <w:pStyle w:val="6"/>
        <w:adjustRightInd w:val="0"/>
        <w:spacing w:line="360" w:lineRule="auto"/>
        <w:ind w:firstLine="424" w:firstLineChars="177"/>
        <w:contextualSpacing/>
        <w:jc w:val="left"/>
        <w:outlineLvl w:val="0"/>
        <w:rPr>
          <w:rFonts w:hint="eastAsia" w:ascii="宋体" w:hAnsi="宋体" w:cs="宋体"/>
          <w:sz w:val="24"/>
          <w:szCs w:val="24"/>
        </w:rPr>
      </w:pPr>
      <w:r>
        <w:rPr>
          <w:rFonts w:hint="eastAsia" w:ascii="宋体" w:hAnsi="宋体" w:cs="宋体"/>
          <w:sz w:val="24"/>
          <w:szCs w:val="24"/>
        </w:rPr>
        <w:t>2.6项目团队</w:t>
      </w:r>
    </w:p>
    <w:p w14:paraId="0AF250C1">
      <w:pPr>
        <w:spacing w:line="360" w:lineRule="auto"/>
        <w:ind w:firstLine="420"/>
        <w:rPr>
          <w:rFonts w:ascii="宋体" w:hAnsi="宋体"/>
          <w:sz w:val="24"/>
        </w:rPr>
      </w:pPr>
      <w:r>
        <w:rPr>
          <w:rFonts w:hint="eastAsia" w:ascii="宋体" w:hAnsi="宋体"/>
          <w:sz w:val="24"/>
        </w:rPr>
        <w:t>项目经理不少于</w:t>
      </w:r>
      <w:r>
        <w:rPr>
          <w:rFonts w:ascii="宋体" w:hAnsi="宋体"/>
          <w:sz w:val="24"/>
        </w:rPr>
        <w:t>1</w:t>
      </w:r>
      <w:r>
        <w:rPr>
          <w:rFonts w:hint="eastAsia" w:ascii="宋体" w:hAnsi="宋体"/>
          <w:sz w:val="24"/>
        </w:rPr>
        <w:t>人，需为本科及以上学历，具备</w:t>
      </w:r>
      <w:r>
        <w:rPr>
          <w:rFonts w:ascii="宋体" w:hAnsi="宋体"/>
          <w:sz w:val="24"/>
        </w:rPr>
        <w:t>10</w:t>
      </w:r>
      <w:r>
        <w:rPr>
          <w:rFonts w:hint="eastAsia" w:ascii="宋体" w:hAnsi="宋体"/>
          <w:sz w:val="24"/>
        </w:rPr>
        <w:t>年（含）以上的工作经验，并具有信息系统项目管理师证书。</w:t>
      </w:r>
    </w:p>
    <w:p w14:paraId="15555C52">
      <w:pPr>
        <w:spacing w:line="360" w:lineRule="auto"/>
        <w:ind w:firstLine="420"/>
        <w:rPr>
          <w:rFonts w:ascii="宋体" w:hAnsi="宋体"/>
          <w:sz w:val="24"/>
        </w:rPr>
      </w:pPr>
      <w:r>
        <w:rPr>
          <w:rFonts w:hint="eastAsia" w:ascii="宋体" w:hAnsi="宋体"/>
          <w:sz w:val="24"/>
        </w:rPr>
        <w:t>技术负责人</w:t>
      </w:r>
      <w:r>
        <w:rPr>
          <w:rFonts w:ascii="宋体" w:hAnsi="宋体"/>
          <w:sz w:val="24"/>
        </w:rPr>
        <w:t>1</w:t>
      </w:r>
      <w:r>
        <w:rPr>
          <w:rFonts w:hint="eastAsia" w:ascii="宋体" w:hAnsi="宋体"/>
          <w:sz w:val="24"/>
        </w:rPr>
        <w:t>人，需为本科及以上学历，具备</w:t>
      </w:r>
      <w:r>
        <w:rPr>
          <w:rFonts w:ascii="宋体" w:hAnsi="宋体"/>
          <w:sz w:val="24"/>
        </w:rPr>
        <w:t>10</w:t>
      </w:r>
      <w:r>
        <w:rPr>
          <w:rFonts w:hint="eastAsia" w:ascii="宋体" w:hAnsi="宋体"/>
          <w:sz w:val="24"/>
        </w:rPr>
        <w:t>年（含）以上的工作经验，须同时具有系统架构设计师（高级）证书、系统分析师（高级）证书、软件设计师（中级）及以上证书。</w:t>
      </w:r>
    </w:p>
    <w:p w14:paraId="5C091DB1">
      <w:pPr>
        <w:spacing w:line="360" w:lineRule="auto"/>
        <w:ind w:firstLine="420"/>
        <w:rPr>
          <w:rFonts w:ascii="宋体" w:hAnsi="宋体"/>
          <w:sz w:val="24"/>
        </w:rPr>
      </w:pPr>
      <w:r>
        <w:rPr>
          <w:rFonts w:hint="eastAsia" w:ascii="宋体" w:hAnsi="宋体"/>
          <w:sz w:val="24"/>
        </w:rPr>
        <w:t>质量管理专员</w:t>
      </w:r>
      <w:r>
        <w:rPr>
          <w:rFonts w:ascii="宋体" w:hAnsi="宋体"/>
          <w:sz w:val="24"/>
        </w:rPr>
        <w:t>1</w:t>
      </w:r>
      <w:r>
        <w:rPr>
          <w:rFonts w:hint="eastAsia" w:ascii="宋体" w:hAnsi="宋体"/>
          <w:sz w:val="24"/>
        </w:rPr>
        <w:t>人，需为本科及以上学历，具备</w:t>
      </w:r>
      <w:r>
        <w:rPr>
          <w:rFonts w:ascii="宋体" w:hAnsi="宋体"/>
          <w:sz w:val="24"/>
        </w:rPr>
        <w:t xml:space="preserve"> 10 </w:t>
      </w:r>
      <w:r>
        <w:rPr>
          <w:rFonts w:hint="eastAsia" w:ascii="宋体" w:hAnsi="宋体"/>
          <w:sz w:val="24"/>
        </w:rPr>
        <w:t>年（含）以上的工作经验，同时具有质量管理体系内审员证书、系统集成项目管理工程师证书（中级）、信息系统项目管理师（高级）证书。</w:t>
      </w:r>
    </w:p>
    <w:p w14:paraId="76FEEE48">
      <w:pPr>
        <w:spacing w:line="360" w:lineRule="auto"/>
        <w:ind w:firstLine="420"/>
        <w:rPr>
          <w:rFonts w:hint="eastAsia" w:ascii="宋体" w:hAnsi="宋体" w:eastAsia="宋体" w:cs="宋体"/>
          <w:sz w:val="24"/>
          <w:lang w:eastAsia="zh-CN"/>
        </w:rPr>
      </w:pPr>
      <w:r>
        <w:rPr>
          <w:rFonts w:hint="eastAsia" w:ascii="宋体" w:hAnsi="宋体" w:cs="宋体"/>
          <w:sz w:val="24"/>
          <w:lang w:eastAsia="zh-CN"/>
        </w:rPr>
        <w:t>其他项目人员</w:t>
      </w:r>
      <w:r>
        <w:rPr>
          <w:rFonts w:hint="eastAsia" w:ascii="宋体" w:hAnsi="宋体" w:cs="宋体"/>
          <w:sz w:val="24"/>
        </w:rPr>
        <w:t>，除项目经理、技术负责人、质量管理专员外，需配备不少于</w:t>
      </w:r>
      <w:r>
        <w:rPr>
          <w:rFonts w:ascii="宋体" w:hAnsi="宋体" w:cs="宋体"/>
          <w:sz w:val="24"/>
        </w:rPr>
        <w:t>5</w:t>
      </w:r>
      <w:r>
        <w:rPr>
          <w:rFonts w:hint="eastAsia" w:ascii="宋体" w:hAnsi="宋体" w:cs="宋体"/>
          <w:sz w:val="24"/>
        </w:rPr>
        <w:t>名成员，每位成员均具备5年（含）以上项目实施经验</w:t>
      </w:r>
      <w:r>
        <w:rPr>
          <w:rFonts w:hint="eastAsia" w:ascii="宋体" w:hAnsi="宋体" w:cs="宋体"/>
          <w:sz w:val="24"/>
          <w:lang w:eastAsia="zh-CN"/>
        </w:rPr>
        <w:t>，</w:t>
      </w:r>
      <w:r>
        <w:rPr>
          <w:rFonts w:hint="eastAsia" w:ascii="宋体" w:hAnsi="宋体" w:cs="宋体"/>
          <w:sz w:val="24"/>
          <w:lang w:val="en-US" w:eastAsia="zh-CN"/>
        </w:rPr>
        <w:t>并</w:t>
      </w:r>
      <w:r>
        <w:rPr>
          <w:rFonts w:hint="eastAsia" w:ascii="宋体" w:hAnsi="宋体" w:cs="宋体"/>
          <w:sz w:val="24"/>
        </w:rPr>
        <w:t>具有有效的信息系统项目管理师证书/系统架构设计师证书/CISP证书</w:t>
      </w:r>
    </w:p>
    <w:p w14:paraId="16E57CE9">
      <w:pPr>
        <w:spacing w:line="360" w:lineRule="auto"/>
        <w:ind w:firstLine="420"/>
        <w:rPr>
          <w:rFonts w:ascii="宋体" w:hAnsi="宋体" w:cs="宋体"/>
          <w:sz w:val="24"/>
        </w:rPr>
      </w:pPr>
      <w:r>
        <w:rPr>
          <w:rFonts w:hint="eastAsia" w:ascii="宋体" w:hAnsi="宋体" w:cs="宋体"/>
          <w:sz w:val="24"/>
        </w:rPr>
        <w:t>投标人须设立驻场运维工程师，在采购人现场办公，作息时间与采购人同步，实时响应工作时间内需求及故障处置。</w:t>
      </w:r>
    </w:p>
    <w:p w14:paraId="65829A1E">
      <w:pPr>
        <w:spacing w:line="360" w:lineRule="auto"/>
        <w:ind w:firstLine="420"/>
        <w:rPr>
          <w:rFonts w:ascii="宋体" w:hAnsi="宋体" w:cs="宋体"/>
          <w:sz w:val="24"/>
        </w:rPr>
      </w:pPr>
      <w:r>
        <w:rPr>
          <w:rFonts w:hint="eastAsia" w:ascii="宋体" w:hAnsi="宋体" w:cs="宋体"/>
          <w:sz w:val="24"/>
        </w:rPr>
        <w:t>投标人须利用监控系统或人工对硬件设备及应用系统的运行情况进行7*24小时的不间断巡检监控，及时发现安全隐患，通知相关人员及时处理，并形成监控报告。</w:t>
      </w:r>
    </w:p>
    <w:p w14:paraId="296B7BFC">
      <w:pPr>
        <w:spacing w:line="360" w:lineRule="auto"/>
        <w:ind w:firstLine="420"/>
        <w:rPr>
          <w:rFonts w:hint="eastAsia" w:ascii="宋体" w:hAnsi="宋体" w:cs="宋体"/>
          <w:sz w:val="24"/>
        </w:rPr>
      </w:pPr>
      <w:r>
        <w:rPr>
          <w:rFonts w:hint="eastAsia" w:ascii="宋体" w:hAnsi="宋体" w:cs="宋体"/>
          <w:sz w:val="24"/>
        </w:rPr>
        <w:t>投标人负责设立技术支持热线，并安排专人值守，提供7*24小时热线支持服务。投标人针对采购人要求的云平台运维服务相关内容，需指定专业技术能力较强的工程师，根据采购人要求配合开展相关维护服务。</w:t>
      </w:r>
    </w:p>
    <w:p w14:paraId="64A28DAF">
      <w:pPr>
        <w:spacing w:line="360" w:lineRule="auto"/>
        <w:ind w:firstLine="420"/>
        <w:rPr>
          <w:rFonts w:hint="eastAsia" w:ascii="宋体" w:hAnsi="宋体" w:cs="宋体"/>
          <w:sz w:val="24"/>
        </w:rPr>
      </w:pPr>
      <w:r>
        <w:rPr>
          <w:rFonts w:hint="eastAsia" w:ascii="宋体" w:hAnsi="宋体" w:cs="宋体"/>
          <w:sz w:val="24"/>
        </w:rPr>
        <w:t>投标人应指派专业技术能力较强的驻场工程师1人，驻场工程师职责范围包括根据甲方要求配合开展相关维护服务、资源协调服务，协助用户开展政务云的日常运行管理工作。</w:t>
      </w:r>
    </w:p>
    <w:p w14:paraId="4CB91FB0">
      <w:pPr>
        <w:pStyle w:val="6"/>
        <w:adjustRightInd w:val="0"/>
        <w:spacing w:line="360" w:lineRule="auto"/>
        <w:ind w:firstLine="424" w:firstLineChars="177"/>
        <w:contextualSpacing/>
        <w:jc w:val="left"/>
        <w:rPr>
          <w:rFonts w:hint="eastAsia" w:ascii="宋体" w:hAnsi="宋体" w:cs="宋体"/>
          <w:sz w:val="24"/>
          <w:szCs w:val="24"/>
        </w:rPr>
      </w:pPr>
    </w:p>
    <w:p w14:paraId="42251BC1">
      <w:pPr>
        <w:spacing w:line="360" w:lineRule="auto"/>
        <w:contextualSpacing/>
        <w:outlineLvl w:val="0"/>
        <w:rPr>
          <w:rFonts w:hint="eastAsia" w:ascii="宋体" w:hAnsi="宋体" w:cs="宋体"/>
          <w:i/>
          <w:iCs/>
          <w:sz w:val="24"/>
        </w:rPr>
      </w:pPr>
      <w:r>
        <w:rPr>
          <w:rFonts w:hint="eastAsia" w:ascii="宋体" w:hAnsi="宋体" w:cs="宋体"/>
          <w:sz w:val="24"/>
        </w:rPr>
        <w:t>3. 验收标准</w:t>
      </w:r>
    </w:p>
    <w:p w14:paraId="6985327C">
      <w:pPr>
        <w:adjustRightInd w:val="0"/>
        <w:spacing w:line="360" w:lineRule="auto"/>
        <w:ind w:firstLine="480" w:firstLineChars="200"/>
        <w:jc w:val="left"/>
        <w:textAlignment w:val="baseline"/>
        <w:rPr>
          <w:rFonts w:hint="eastAsia" w:ascii="宋体" w:hAnsi="宋体" w:cs="宋体"/>
          <w:color w:val="000000"/>
          <w:sz w:val="24"/>
        </w:rPr>
      </w:pPr>
      <w:bookmarkStart w:id="2" w:name="_Hlk129276646"/>
      <w:bookmarkStart w:id="3" w:name="_Hlk129268994"/>
      <w:r>
        <w:rPr>
          <w:rFonts w:hint="eastAsia" w:ascii="宋体" w:hAnsi="宋体" w:cs="宋体"/>
          <w:color w:val="000000"/>
          <w:sz w:val="24"/>
        </w:rPr>
        <w:t>投标人所提供资源应满足北京市级政务云的服务要求。保证合同期内系统安全稳定运行，云平台整体可用性不低于99.99%，数据可靠性不低于99.9999%（须提供测试报告）;不因硬件故障导致服务中断12小时。</w:t>
      </w:r>
    </w:p>
    <w:p w14:paraId="608CD8D0">
      <w:pPr>
        <w:adjustRightInd w:val="0"/>
        <w:spacing w:line="360" w:lineRule="auto"/>
        <w:ind w:firstLine="480" w:firstLineChars="200"/>
        <w:jc w:val="left"/>
        <w:textAlignment w:val="baseline"/>
        <w:rPr>
          <w:rFonts w:hint="eastAsia" w:ascii="宋体" w:hAnsi="宋体" w:cs="宋体"/>
          <w:bCs/>
          <w:sz w:val="24"/>
        </w:rPr>
      </w:pPr>
      <w:r>
        <w:rPr>
          <w:rFonts w:hint="eastAsia" w:ascii="宋体" w:hAnsi="宋体" w:cs="宋体"/>
          <w:color w:val="000000"/>
          <w:sz w:val="24"/>
        </w:rPr>
        <w:t>服务期满前30个工作日开始对合同项目进行验收。投标人应当在招标人指定的验收日前向招标人提交验收报告。验收报告的内容包括但不限于，合同规定的各项服务清单，各系统设备运行情况。</w:t>
      </w:r>
    </w:p>
    <w:p w14:paraId="724B5B32">
      <w:pPr>
        <w:adjustRightInd w:val="0"/>
        <w:spacing w:line="360" w:lineRule="auto"/>
        <w:ind w:firstLine="480" w:firstLineChars="200"/>
        <w:jc w:val="left"/>
        <w:textAlignment w:val="baseline"/>
        <w:rPr>
          <w:rFonts w:hint="eastAsia" w:ascii="宋体" w:hAnsi="宋体" w:cs="宋体"/>
          <w:b/>
          <w:sz w:val="24"/>
        </w:rPr>
      </w:pPr>
      <w:r>
        <w:rPr>
          <w:rFonts w:hint="eastAsia" w:ascii="宋体" w:hAnsi="宋体" w:cs="宋体"/>
          <w:bCs/>
          <w:sz w:val="24"/>
        </w:rPr>
        <w:t>项目完成后，由招标人组织验收</w:t>
      </w:r>
      <w:bookmarkEnd w:id="2"/>
      <w:r>
        <w:rPr>
          <w:rFonts w:hint="eastAsia" w:ascii="宋体" w:hAnsi="宋体" w:cs="宋体"/>
          <w:bCs/>
          <w:sz w:val="24"/>
        </w:rPr>
        <w:t>。</w:t>
      </w:r>
      <w:bookmarkEnd w:id="3"/>
    </w:p>
    <w:p w14:paraId="4FC9F3C9">
      <w:pPr>
        <w:widowControl/>
        <w:spacing w:line="360" w:lineRule="auto"/>
        <w:ind w:firstLine="482"/>
        <w:contextualSpacing/>
        <w:rPr>
          <w:rFonts w:hint="eastAsia" w:ascii="宋体" w:hAnsi="宋体" w:cs="宋体"/>
          <w:b/>
          <w:sz w:val="24"/>
        </w:rPr>
      </w:pPr>
    </w:p>
    <w:p w14:paraId="7A78AD8E">
      <w:pPr>
        <w:spacing w:line="360" w:lineRule="auto"/>
        <w:contextualSpacing/>
        <w:outlineLvl w:val="0"/>
        <w:rPr>
          <w:rFonts w:hint="eastAsia" w:ascii="宋体" w:hAnsi="宋体" w:cs="宋体"/>
          <w:sz w:val="24"/>
        </w:rPr>
      </w:pPr>
      <w:r>
        <w:rPr>
          <w:rFonts w:hint="eastAsia" w:ascii="宋体" w:hAnsi="宋体" w:cs="宋体"/>
          <w:sz w:val="24"/>
        </w:rPr>
        <w:t>4. 其他要求</w:t>
      </w:r>
    </w:p>
    <w:p w14:paraId="0779E336">
      <w:r>
        <w:rPr>
          <w:rFonts w:hint="eastAsia" w:ascii="宋体" w:hAnsi="宋体" w:cs="宋体"/>
          <w:sz w:val="24"/>
          <w:szCs w:val="24"/>
        </w:rPr>
        <w:t>如果属于政务信息系统项目，其采购需求还应当符合《政务信息系统政府采购管理暂行办法》（财库〔2017〕210号）的相关要求</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D7DC7"/>
    <w:multiLevelType w:val="singleLevel"/>
    <w:tmpl w:val="FF2D7DC7"/>
    <w:lvl w:ilvl="0" w:tentative="0">
      <w:start w:val="1"/>
      <w:numFmt w:val="decimal"/>
      <w:lvlText w:val="%1."/>
      <w:lvlJc w:val="left"/>
      <w:pPr>
        <w:ind w:left="425" w:hanging="425"/>
      </w:pPr>
      <w:rPr>
        <w:rFonts w:hint="default"/>
      </w:rPr>
    </w:lvl>
  </w:abstractNum>
  <w:abstractNum w:abstractNumId="1">
    <w:nsid w:val="4F7EAD10"/>
    <w:multiLevelType w:val="singleLevel"/>
    <w:tmpl w:val="4F7EAD10"/>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96025"/>
    <w:rsid w:val="30F96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left="210" w:leftChars="100" w:firstLine="420" w:firstLineChars="200"/>
    </w:p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2025-07-03T06:50:00Z</dcterms:created>
  <dc:creator>柠檬不萌</dc:creator>
  <cp:lastModifiedBy>柠檬不萌</cp:lastModifiedBy>
  <dcterms:modified xsi:type="dcterms:W3CDTF">2025-07-03T06:51:06Z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B69CA878A043459798CCC8F75DF99EB1_11</vt:lpwstr>
  </property>
  <property fmtid="{D5CDD505-2E9C-101B-9397-08002B2CF9AE}" pid="4" name="KSOTemplateDocerSaveRecord">
    <vt:lpwstr>eyJoZGlkIjoiZTljYTM5NzU5NjdjYmQxMzFlODI2NzI5ZTQ0Njg4NGMiLCJ1c2VySWQiOiIzNDcyNzI1OTkifQ==</vt:lpwstr>
  </property>
</Properties>
</file>