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DDB7">
      <w:pPr>
        <w:spacing w:line="360" w:lineRule="auto"/>
        <w:jc w:val="center"/>
        <w:outlineLvl w:val="0"/>
        <w:rPr>
          <w:b/>
          <w:sz w:val="36"/>
          <w:szCs w:val="36"/>
        </w:rPr>
      </w:pPr>
      <w:bookmarkStart w:id="0" w:name="_Toc99301424"/>
      <w:r>
        <w:rPr>
          <w:b/>
          <w:sz w:val="36"/>
          <w:szCs w:val="36"/>
        </w:rPr>
        <w:t>第五章   采购需求</w:t>
      </w:r>
      <w:bookmarkEnd w:id="0"/>
    </w:p>
    <w:p w14:paraId="127BBB77">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18BAC6A2">
      <w:pPr>
        <w:spacing w:line="360" w:lineRule="auto"/>
        <w:contextualSpacing/>
        <w:rPr>
          <w:b/>
          <w:bCs/>
          <w:sz w:val="24"/>
        </w:rPr>
      </w:pPr>
      <w:r>
        <w:rPr>
          <w:b/>
          <w:bCs/>
          <w:sz w:val="24"/>
        </w:rPr>
        <w:t>1. 采购标的（货物需求一览表或简要服务内容及数量）</w:t>
      </w:r>
    </w:p>
    <w:tbl>
      <w:tblPr>
        <w:tblStyle w:val="4"/>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821"/>
        <w:gridCol w:w="1445"/>
        <w:gridCol w:w="1545"/>
        <w:gridCol w:w="2035"/>
      </w:tblGrid>
      <w:tr w14:paraId="5C3A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562ACA4F">
            <w:pPr>
              <w:spacing w:line="480" w:lineRule="exact"/>
              <w:jc w:val="center"/>
              <w:rPr>
                <w:rFonts w:ascii="宋体" w:hAnsi="宋体" w:cs="宋体"/>
                <w:b/>
                <w:sz w:val="24"/>
              </w:rPr>
            </w:pPr>
            <w:r>
              <w:rPr>
                <w:rFonts w:hint="eastAsia" w:ascii="宋体" w:hAnsi="宋体" w:cs="宋体"/>
                <w:b/>
                <w:sz w:val="24"/>
              </w:rPr>
              <w:t>序号</w:t>
            </w:r>
          </w:p>
        </w:tc>
        <w:tc>
          <w:tcPr>
            <w:tcW w:w="2821" w:type="dxa"/>
            <w:noWrap w:val="0"/>
            <w:vAlign w:val="center"/>
          </w:tcPr>
          <w:p w14:paraId="3493EFA9">
            <w:pPr>
              <w:spacing w:line="480" w:lineRule="exact"/>
              <w:jc w:val="center"/>
              <w:rPr>
                <w:rFonts w:ascii="宋体" w:hAnsi="宋体" w:cs="宋体"/>
                <w:b/>
                <w:sz w:val="24"/>
              </w:rPr>
            </w:pPr>
            <w:r>
              <w:rPr>
                <w:rFonts w:hint="eastAsia" w:ascii="宋体" w:hAnsi="宋体" w:cs="宋体"/>
                <w:b/>
                <w:sz w:val="24"/>
              </w:rPr>
              <w:t>货物或服务名称</w:t>
            </w:r>
          </w:p>
        </w:tc>
        <w:tc>
          <w:tcPr>
            <w:tcW w:w="1445" w:type="dxa"/>
            <w:noWrap w:val="0"/>
            <w:vAlign w:val="center"/>
          </w:tcPr>
          <w:p w14:paraId="51C0636F">
            <w:pPr>
              <w:spacing w:line="480" w:lineRule="exact"/>
              <w:jc w:val="center"/>
              <w:rPr>
                <w:rFonts w:ascii="宋体" w:hAnsi="宋体" w:cs="宋体"/>
                <w:b/>
                <w:sz w:val="24"/>
              </w:rPr>
            </w:pPr>
            <w:r>
              <w:rPr>
                <w:rFonts w:hint="eastAsia" w:ascii="宋体" w:hAnsi="宋体" w:cs="宋体"/>
                <w:b/>
                <w:sz w:val="24"/>
              </w:rPr>
              <w:t>数量</w:t>
            </w:r>
          </w:p>
        </w:tc>
        <w:tc>
          <w:tcPr>
            <w:tcW w:w="1545" w:type="dxa"/>
            <w:noWrap w:val="0"/>
            <w:vAlign w:val="center"/>
          </w:tcPr>
          <w:p w14:paraId="6D4D14F8">
            <w:pPr>
              <w:spacing w:line="480" w:lineRule="exact"/>
              <w:jc w:val="center"/>
              <w:rPr>
                <w:rFonts w:ascii="宋体" w:hAnsi="宋体" w:cs="宋体"/>
                <w:b/>
                <w:sz w:val="24"/>
              </w:rPr>
            </w:pPr>
            <w:r>
              <w:rPr>
                <w:rFonts w:hint="eastAsia" w:ascii="宋体" w:hAnsi="宋体" w:cs="宋体"/>
                <w:b/>
                <w:sz w:val="24"/>
              </w:rPr>
              <w:t>单位</w:t>
            </w:r>
          </w:p>
        </w:tc>
        <w:tc>
          <w:tcPr>
            <w:tcW w:w="2035" w:type="dxa"/>
            <w:noWrap w:val="0"/>
            <w:vAlign w:val="center"/>
          </w:tcPr>
          <w:p w14:paraId="7736F411">
            <w:pPr>
              <w:spacing w:line="480" w:lineRule="exact"/>
              <w:jc w:val="center"/>
              <w:rPr>
                <w:rFonts w:ascii="宋体" w:hAnsi="宋体" w:cs="宋体"/>
                <w:b/>
                <w:sz w:val="24"/>
              </w:rPr>
            </w:pPr>
            <w:r>
              <w:rPr>
                <w:rFonts w:hint="eastAsia" w:ascii="宋体" w:hAnsi="宋体" w:cs="宋体"/>
                <w:b/>
                <w:sz w:val="24"/>
              </w:rPr>
              <w:t>核心产品</w:t>
            </w:r>
          </w:p>
        </w:tc>
      </w:tr>
      <w:tr w14:paraId="0E92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5F4A6EA2">
            <w:pPr>
              <w:spacing w:line="480" w:lineRule="exact"/>
              <w:jc w:val="center"/>
              <w:rPr>
                <w:rFonts w:ascii="宋体" w:hAnsi="宋体" w:cs="宋体"/>
                <w:sz w:val="24"/>
              </w:rPr>
            </w:pPr>
            <w:r>
              <w:rPr>
                <w:rFonts w:hint="eastAsia" w:ascii="宋体" w:hAnsi="宋体" w:cs="宋体"/>
                <w:sz w:val="24"/>
              </w:rPr>
              <w:t>1</w:t>
            </w:r>
          </w:p>
        </w:tc>
        <w:tc>
          <w:tcPr>
            <w:tcW w:w="2821" w:type="dxa"/>
            <w:noWrap w:val="0"/>
            <w:vAlign w:val="center"/>
          </w:tcPr>
          <w:p w14:paraId="1F278569">
            <w:pPr>
              <w:jc w:val="center"/>
              <w:rPr>
                <w:rFonts w:ascii="宋体" w:hAnsi="宋体" w:cs="宋体"/>
                <w:bCs/>
                <w:sz w:val="24"/>
              </w:rPr>
            </w:pPr>
            <w:r>
              <w:rPr>
                <w:rFonts w:hint="eastAsia" w:ascii="宋体" w:hAnsi="宋体" w:cs="宋体"/>
                <w:bCs/>
                <w:sz w:val="24"/>
              </w:rPr>
              <w:t>数据库软件</w:t>
            </w:r>
          </w:p>
        </w:tc>
        <w:tc>
          <w:tcPr>
            <w:tcW w:w="1445" w:type="dxa"/>
            <w:noWrap w:val="0"/>
            <w:vAlign w:val="center"/>
          </w:tcPr>
          <w:p w14:paraId="1F489749">
            <w:pPr>
              <w:jc w:val="center"/>
              <w:rPr>
                <w:rFonts w:ascii="宋体" w:hAnsi="宋体" w:cs="宋体"/>
                <w:bCs/>
                <w:sz w:val="24"/>
              </w:rPr>
            </w:pPr>
            <w:r>
              <w:rPr>
                <w:rFonts w:ascii="宋体" w:hAnsi="宋体" w:cs="宋体"/>
                <w:bCs/>
                <w:sz w:val="24"/>
              </w:rPr>
              <w:t>4</w:t>
            </w:r>
          </w:p>
        </w:tc>
        <w:tc>
          <w:tcPr>
            <w:tcW w:w="1545" w:type="dxa"/>
            <w:noWrap w:val="0"/>
            <w:vAlign w:val="center"/>
          </w:tcPr>
          <w:p w14:paraId="5DBC1F40">
            <w:pPr>
              <w:spacing w:line="480" w:lineRule="exact"/>
              <w:jc w:val="center"/>
              <w:rPr>
                <w:rFonts w:ascii="宋体" w:hAnsi="宋体" w:cs="宋体"/>
                <w:sz w:val="24"/>
              </w:rPr>
            </w:pPr>
            <w:r>
              <w:rPr>
                <w:rFonts w:hint="eastAsia" w:ascii="宋体" w:hAnsi="宋体" w:cs="宋体"/>
                <w:sz w:val="24"/>
              </w:rPr>
              <w:t>套</w:t>
            </w:r>
          </w:p>
        </w:tc>
        <w:tc>
          <w:tcPr>
            <w:tcW w:w="2035" w:type="dxa"/>
            <w:noWrap w:val="0"/>
            <w:vAlign w:val="center"/>
          </w:tcPr>
          <w:p w14:paraId="1181A4BA">
            <w:pPr>
              <w:spacing w:line="480" w:lineRule="exact"/>
              <w:jc w:val="center"/>
              <w:rPr>
                <w:rFonts w:ascii="宋体" w:hAnsi="宋体" w:cs="宋体"/>
                <w:sz w:val="24"/>
              </w:rPr>
            </w:pPr>
            <w:r>
              <w:rPr>
                <w:rFonts w:hint="eastAsia" w:ascii="宋体" w:hAnsi="宋体" w:cs="宋体"/>
                <w:sz w:val="24"/>
              </w:rPr>
              <w:t>核心产品，不接受进口产品</w:t>
            </w:r>
          </w:p>
        </w:tc>
      </w:tr>
      <w:tr w14:paraId="03D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32110FA5">
            <w:pPr>
              <w:spacing w:line="480" w:lineRule="exact"/>
              <w:jc w:val="center"/>
              <w:rPr>
                <w:rFonts w:ascii="宋体" w:hAnsi="宋体" w:cs="宋体"/>
                <w:sz w:val="24"/>
              </w:rPr>
            </w:pPr>
            <w:r>
              <w:rPr>
                <w:rFonts w:hint="eastAsia" w:ascii="宋体" w:hAnsi="宋体" w:cs="宋体"/>
                <w:sz w:val="24"/>
              </w:rPr>
              <w:t>2</w:t>
            </w:r>
          </w:p>
        </w:tc>
        <w:tc>
          <w:tcPr>
            <w:tcW w:w="2821" w:type="dxa"/>
            <w:noWrap w:val="0"/>
            <w:vAlign w:val="center"/>
          </w:tcPr>
          <w:p w14:paraId="3BE97C42">
            <w:pPr>
              <w:jc w:val="center"/>
              <w:rPr>
                <w:rFonts w:ascii="宋体" w:hAnsi="宋体" w:cs="宋体"/>
                <w:bCs/>
                <w:sz w:val="24"/>
              </w:rPr>
            </w:pPr>
            <w:r>
              <w:rPr>
                <w:rFonts w:hint="eastAsia" w:ascii="宋体" w:hAnsi="宋体" w:cs="宋体"/>
                <w:bCs/>
                <w:sz w:val="24"/>
              </w:rPr>
              <w:t>应用服务器中间件软件</w:t>
            </w:r>
          </w:p>
        </w:tc>
        <w:tc>
          <w:tcPr>
            <w:tcW w:w="1445" w:type="dxa"/>
            <w:noWrap w:val="0"/>
            <w:vAlign w:val="center"/>
          </w:tcPr>
          <w:p w14:paraId="6EA48598">
            <w:pPr>
              <w:jc w:val="center"/>
              <w:rPr>
                <w:rFonts w:ascii="宋体" w:hAnsi="宋体" w:cs="宋体"/>
                <w:bCs/>
                <w:sz w:val="24"/>
              </w:rPr>
            </w:pPr>
            <w:r>
              <w:rPr>
                <w:rFonts w:hint="eastAsia" w:ascii="宋体" w:hAnsi="宋体" w:cs="宋体"/>
                <w:bCs/>
                <w:sz w:val="24"/>
              </w:rPr>
              <w:t>6</w:t>
            </w:r>
          </w:p>
        </w:tc>
        <w:tc>
          <w:tcPr>
            <w:tcW w:w="1545" w:type="dxa"/>
            <w:noWrap w:val="0"/>
            <w:vAlign w:val="center"/>
          </w:tcPr>
          <w:p w14:paraId="4277729C">
            <w:pPr>
              <w:spacing w:line="480" w:lineRule="exact"/>
              <w:jc w:val="center"/>
              <w:rPr>
                <w:rFonts w:ascii="宋体" w:hAnsi="宋体" w:cs="宋体"/>
                <w:sz w:val="24"/>
              </w:rPr>
            </w:pPr>
            <w:r>
              <w:rPr>
                <w:rFonts w:hint="eastAsia" w:ascii="宋体" w:hAnsi="宋体" w:cs="宋体"/>
                <w:sz w:val="24"/>
              </w:rPr>
              <w:t>套</w:t>
            </w:r>
          </w:p>
        </w:tc>
        <w:tc>
          <w:tcPr>
            <w:tcW w:w="2035" w:type="dxa"/>
            <w:noWrap w:val="0"/>
            <w:vAlign w:val="center"/>
          </w:tcPr>
          <w:p w14:paraId="0983428B">
            <w:pPr>
              <w:spacing w:line="480" w:lineRule="exact"/>
              <w:jc w:val="center"/>
              <w:rPr>
                <w:rFonts w:ascii="宋体" w:hAnsi="宋体" w:cs="宋体"/>
                <w:sz w:val="24"/>
              </w:rPr>
            </w:pPr>
            <w:r>
              <w:rPr>
                <w:rFonts w:hint="eastAsia" w:ascii="宋体" w:hAnsi="宋体" w:cs="宋体"/>
                <w:sz w:val="24"/>
              </w:rPr>
              <w:t>不接受进口产品</w:t>
            </w:r>
          </w:p>
        </w:tc>
      </w:tr>
      <w:tr w14:paraId="38FD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4863B2D1">
            <w:pPr>
              <w:spacing w:line="480" w:lineRule="exact"/>
              <w:jc w:val="center"/>
              <w:rPr>
                <w:rFonts w:ascii="宋体" w:hAnsi="宋体" w:cs="宋体"/>
                <w:sz w:val="24"/>
              </w:rPr>
            </w:pPr>
            <w:r>
              <w:rPr>
                <w:rFonts w:hint="eastAsia" w:ascii="宋体" w:hAnsi="宋体" w:cs="宋体"/>
                <w:sz w:val="24"/>
              </w:rPr>
              <w:t>3</w:t>
            </w:r>
          </w:p>
        </w:tc>
        <w:tc>
          <w:tcPr>
            <w:tcW w:w="2821" w:type="dxa"/>
            <w:noWrap w:val="0"/>
            <w:vAlign w:val="center"/>
          </w:tcPr>
          <w:p w14:paraId="4E64E7FB">
            <w:pPr>
              <w:jc w:val="center"/>
              <w:rPr>
                <w:rFonts w:ascii="宋体" w:hAnsi="宋体" w:cs="宋体"/>
                <w:bCs/>
                <w:sz w:val="24"/>
              </w:rPr>
            </w:pPr>
            <w:r>
              <w:rPr>
                <w:rFonts w:hint="eastAsia" w:ascii="宋体" w:hAnsi="宋体" w:cs="宋体"/>
                <w:bCs/>
                <w:sz w:val="24"/>
              </w:rPr>
              <w:t>文档中台软件（轻阅读软件）</w:t>
            </w:r>
          </w:p>
        </w:tc>
        <w:tc>
          <w:tcPr>
            <w:tcW w:w="1445" w:type="dxa"/>
            <w:noWrap w:val="0"/>
            <w:vAlign w:val="center"/>
          </w:tcPr>
          <w:p w14:paraId="52FC0C47">
            <w:pPr>
              <w:jc w:val="center"/>
              <w:rPr>
                <w:rFonts w:ascii="宋体" w:hAnsi="宋体" w:cs="宋体"/>
                <w:bCs/>
                <w:sz w:val="24"/>
              </w:rPr>
            </w:pPr>
            <w:r>
              <w:rPr>
                <w:rFonts w:hint="eastAsia" w:ascii="宋体" w:hAnsi="宋体" w:cs="宋体"/>
                <w:bCs/>
                <w:sz w:val="24"/>
              </w:rPr>
              <w:t>1</w:t>
            </w:r>
          </w:p>
        </w:tc>
        <w:tc>
          <w:tcPr>
            <w:tcW w:w="1545" w:type="dxa"/>
            <w:noWrap w:val="0"/>
            <w:vAlign w:val="center"/>
          </w:tcPr>
          <w:p w14:paraId="2A6D8CCB">
            <w:pPr>
              <w:spacing w:line="480" w:lineRule="exact"/>
              <w:jc w:val="center"/>
              <w:rPr>
                <w:rFonts w:ascii="宋体" w:hAnsi="宋体" w:cs="宋体"/>
                <w:sz w:val="24"/>
              </w:rPr>
            </w:pPr>
            <w:r>
              <w:rPr>
                <w:rFonts w:hint="eastAsia" w:ascii="宋体" w:hAnsi="宋体" w:cs="宋体"/>
                <w:sz w:val="24"/>
              </w:rPr>
              <w:t>套</w:t>
            </w:r>
          </w:p>
        </w:tc>
        <w:tc>
          <w:tcPr>
            <w:tcW w:w="2035" w:type="dxa"/>
            <w:noWrap w:val="0"/>
            <w:vAlign w:val="center"/>
          </w:tcPr>
          <w:p w14:paraId="5571BF70">
            <w:pPr>
              <w:spacing w:line="480" w:lineRule="exact"/>
              <w:jc w:val="center"/>
              <w:rPr>
                <w:rFonts w:ascii="宋体" w:hAnsi="宋体" w:cs="宋体"/>
                <w:sz w:val="24"/>
              </w:rPr>
            </w:pPr>
            <w:r>
              <w:rPr>
                <w:rFonts w:hint="eastAsia" w:ascii="宋体" w:hAnsi="宋体" w:cs="宋体"/>
                <w:sz w:val="24"/>
              </w:rPr>
              <w:t>不接受进口产品</w:t>
            </w:r>
          </w:p>
        </w:tc>
      </w:tr>
    </w:tbl>
    <w:p w14:paraId="7309FD10">
      <w:pPr>
        <w:spacing w:line="360" w:lineRule="auto"/>
        <w:contextualSpacing/>
        <w:rPr>
          <w:rFonts w:hint="eastAsia"/>
          <w:b/>
          <w:bCs/>
          <w:sz w:val="24"/>
        </w:rPr>
      </w:pPr>
      <w:r>
        <w:rPr>
          <w:b/>
          <w:bCs/>
          <w:sz w:val="24"/>
        </w:rPr>
        <w:t>2. 项目背景/项目概述</w:t>
      </w:r>
    </w:p>
    <w:p w14:paraId="42167B6F">
      <w:pPr>
        <w:spacing w:line="360" w:lineRule="auto"/>
        <w:ind w:firstLine="482"/>
        <w:contextualSpacing/>
        <w:rPr>
          <w:sz w:val="24"/>
        </w:rPr>
      </w:pPr>
      <w:r>
        <w:rPr>
          <w:rFonts w:hint="eastAsia"/>
          <w:sz w:val="24"/>
        </w:rPr>
        <w:t>为满足北京市科学技术委员会、中关村科技园区管理委员会综合事务中心协同办公平台建设，需要对基础系统及应用软件进行本次货物采购。</w:t>
      </w:r>
    </w:p>
    <w:p w14:paraId="2FDCB40E">
      <w:pPr>
        <w:spacing w:line="360" w:lineRule="auto"/>
        <w:ind w:firstLine="482"/>
        <w:contextualSpacing/>
        <w:rPr>
          <w:sz w:val="24"/>
        </w:rPr>
      </w:pPr>
      <w:r>
        <w:rPr>
          <w:rFonts w:hint="eastAsia"/>
          <w:sz w:val="24"/>
        </w:rPr>
        <w:t>具体采购的基础系统及应用软件包括：数据库软件、应用服务器中间件软件、文档中台软件（轻阅读软件）</w:t>
      </w:r>
      <w:r>
        <w:rPr>
          <w:rFonts w:hint="eastAsia"/>
          <w:sz w:val="24"/>
          <w:lang w:eastAsia="zh-CN"/>
        </w:rPr>
        <w:t>，</w:t>
      </w:r>
      <w:r>
        <w:rPr>
          <w:rFonts w:hint="eastAsia"/>
          <w:sz w:val="24"/>
          <w:lang w:val="en-US" w:eastAsia="zh-CN"/>
        </w:rPr>
        <w:t>其中数据库软件为本次采购核心产品</w:t>
      </w:r>
      <w:r>
        <w:rPr>
          <w:rFonts w:hint="eastAsia"/>
          <w:sz w:val="24"/>
        </w:rPr>
        <w:t>。</w:t>
      </w:r>
    </w:p>
    <w:p w14:paraId="7B18FD02">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39A5289B">
      <w:pPr>
        <w:spacing w:line="360" w:lineRule="auto"/>
        <w:contextualSpacing/>
        <w:rPr>
          <w:b/>
          <w:i/>
          <w:sz w:val="24"/>
        </w:rPr>
      </w:pPr>
      <w:r>
        <w:rPr>
          <w:b/>
          <w:sz w:val="24"/>
        </w:rPr>
        <w:t>1. 交付的时间和地点</w:t>
      </w:r>
      <w:r>
        <w:rPr>
          <w:rFonts w:hint="eastAsia"/>
          <w:b/>
          <w:sz w:val="24"/>
        </w:rPr>
        <w:t>：</w:t>
      </w:r>
    </w:p>
    <w:p w14:paraId="528A92E0">
      <w:pPr>
        <w:spacing w:line="360" w:lineRule="auto"/>
        <w:ind w:firstLine="480" w:firstLineChars="200"/>
        <w:contextualSpacing/>
        <w:rPr>
          <w:sz w:val="24"/>
        </w:rPr>
      </w:pPr>
      <w:r>
        <w:rPr>
          <w:rFonts w:hint="eastAsia"/>
          <w:sz w:val="24"/>
        </w:rPr>
        <w:t>（1）交付时间：合同签订后20个工作日内，完成货物交付（含：到货、安装、调试等）。</w:t>
      </w:r>
    </w:p>
    <w:p w14:paraId="0C08802C">
      <w:pPr>
        <w:spacing w:line="360" w:lineRule="auto"/>
        <w:ind w:firstLine="480" w:firstLineChars="200"/>
        <w:contextualSpacing/>
        <w:rPr>
          <w:sz w:val="24"/>
        </w:rPr>
      </w:pPr>
      <w:r>
        <w:rPr>
          <w:rFonts w:hint="eastAsia"/>
          <w:sz w:val="24"/>
        </w:rPr>
        <w:t>（2）交货地点：采购人指定地点。</w:t>
      </w:r>
    </w:p>
    <w:p w14:paraId="08AC7AB4">
      <w:pPr>
        <w:spacing w:line="360" w:lineRule="auto"/>
        <w:ind w:firstLine="480" w:firstLineChars="200"/>
        <w:contextualSpacing/>
        <w:rPr>
          <w:rFonts w:hint="eastAsia"/>
          <w:sz w:val="24"/>
        </w:rPr>
      </w:pPr>
      <w:r>
        <w:rPr>
          <w:rFonts w:hint="eastAsia"/>
          <w:sz w:val="24"/>
        </w:rPr>
        <w:t>（3）安装及验收地点：采购人指定。</w:t>
      </w:r>
    </w:p>
    <w:p w14:paraId="48A736D0">
      <w:pPr>
        <w:spacing w:line="360" w:lineRule="auto"/>
        <w:contextualSpacing/>
        <w:rPr>
          <w:b/>
          <w:sz w:val="24"/>
        </w:rPr>
      </w:pPr>
      <w:r>
        <w:rPr>
          <w:b/>
          <w:sz w:val="24"/>
        </w:rPr>
        <w:t>2. 付款条件</w:t>
      </w:r>
      <w:r>
        <w:rPr>
          <w:rFonts w:hint="eastAsia"/>
          <w:b/>
          <w:sz w:val="24"/>
        </w:rPr>
        <w:t>：</w:t>
      </w:r>
    </w:p>
    <w:p w14:paraId="53D9F0BE">
      <w:pPr>
        <w:spacing w:line="360" w:lineRule="auto"/>
        <w:ind w:firstLine="480" w:firstLineChars="200"/>
        <w:contextualSpacing/>
        <w:rPr>
          <w:rFonts w:hint="eastAsia"/>
          <w:bCs/>
          <w:sz w:val="24"/>
        </w:rPr>
      </w:pPr>
      <w:r>
        <w:rPr>
          <w:rFonts w:hint="eastAsia"/>
          <w:bCs/>
          <w:sz w:val="24"/>
        </w:rPr>
        <w:t>①合同签订生效后，采购人向中标人支付合同金额的50％，采购方应在收到中标人开具的等额发票10日内完成支付。</w:t>
      </w:r>
    </w:p>
    <w:p w14:paraId="1DC125F5">
      <w:pPr>
        <w:spacing w:line="360" w:lineRule="auto"/>
        <w:ind w:firstLine="480" w:firstLineChars="200"/>
        <w:contextualSpacing/>
        <w:rPr>
          <w:rFonts w:hint="eastAsia"/>
          <w:bCs/>
          <w:sz w:val="24"/>
        </w:rPr>
      </w:pPr>
      <w:r>
        <w:rPr>
          <w:rFonts w:hint="eastAsia"/>
          <w:bCs/>
          <w:sz w:val="24"/>
        </w:rPr>
        <w:t>②进行到货验收后，采购人向中标人支付合同金额的50％，采购方应在收到中标人开具的等额发票10日内完成支付。</w:t>
      </w:r>
    </w:p>
    <w:p w14:paraId="35F5AA34">
      <w:pPr>
        <w:spacing w:line="360" w:lineRule="auto"/>
        <w:contextualSpacing/>
        <w:rPr>
          <w:b/>
          <w:sz w:val="24"/>
        </w:rPr>
      </w:pPr>
      <w:r>
        <w:rPr>
          <w:b/>
          <w:sz w:val="24"/>
        </w:rPr>
        <w:t>3. 包装和运输</w:t>
      </w:r>
    </w:p>
    <w:p w14:paraId="39E69EF7">
      <w:pPr>
        <w:spacing w:line="360" w:lineRule="auto"/>
        <w:ind w:firstLine="480" w:firstLineChars="200"/>
        <w:contextualSpacing/>
        <w:rPr>
          <w:rFonts w:hint="eastAsia"/>
          <w:sz w:val="24"/>
        </w:rPr>
      </w:pPr>
      <w:r>
        <w:rPr>
          <w:rFonts w:hint="eastAsia"/>
          <w:sz w:val="24"/>
        </w:rPr>
        <w:t>包装和运输要求上，</w:t>
      </w:r>
      <w:r>
        <w:rPr>
          <w:sz w:val="24"/>
        </w:rPr>
        <w:t>须满足《关于印发〈商品包装政府采购需求标准（试行）〉、〈快递包装政府采购需求标准（试行）〉的通知》（财办库﹝2020﹞123号））</w:t>
      </w:r>
      <w:r>
        <w:rPr>
          <w:rFonts w:hint="eastAsia"/>
          <w:sz w:val="24"/>
        </w:rPr>
        <w:t>相关规定。同时，包装和运输费用均计算在投标报价中，不再另行报价。</w:t>
      </w:r>
    </w:p>
    <w:p w14:paraId="1ED56A8F">
      <w:pPr>
        <w:spacing w:line="360" w:lineRule="auto"/>
        <w:contextualSpacing/>
        <w:rPr>
          <w:b/>
          <w:sz w:val="24"/>
        </w:rPr>
      </w:pPr>
      <w:r>
        <w:rPr>
          <w:b/>
          <w:sz w:val="24"/>
        </w:rPr>
        <w:t>4. 售后服务</w:t>
      </w:r>
      <w:r>
        <w:rPr>
          <w:rFonts w:hint="eastAsia"/>
          <w:b/>
          <w:sz w:val="24"/>
        </w:rPr>
        <w:t>：</w:t>
      </w:r>
    </w:p>
    <w:p w14:paraId="321CF4DE">
      <w:pPr>
        <w:spacing w:line="360" w:lineRule="auto"/>
        <w:ind w:firstLine="480" w:firstLineChars="200"/>
        <w:contextualSpacing/>
        <w:rPr>
          <w:rFonts w:ascii="宋体" w:hAnsi="宋体"/>
          <w:sz w:val="24"/>
        </w:rPr>
      </w:pPr>
      <w:r>
        <w:rPr>
          <w:rFonts w:hint="eastAsia" w:ascii="宋体" w:hAnsi="宋体"/>
          <w:sz w:val="24"/>
        </w:rPr>
        <w:t>投标人须提供不少于3年的原厂售后服务。货物质量保证期内，系统运行过程中如果出现技术故障，投标人应保证在最快的时间内解决问题，恢复正常运行。</w:t>
      </w:r>
    </w:p>
    <w:p w14:paraId="024DE34C">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20872FE5">
      <w:pPr>
        <w:spacing w:line="360" w:lineRule="auto"/>
        <w:contextualSpacing/>
        <w:rPr>
          <w:b/>
          <w:sz w:val="24"/>
        </w:rPr>
      </w:pPr>
      <w:r>
        <w:rPr>
          <w:b/>
          <w:sz w:val="24"/>
        </w:rPr>
        <w:t>1. 基本要求</w:t>
      </w:r>
    </w:p>
    <w:p w14:paraId="00A4D645">
      <w:pPr>
        <w:spacing w:line="360" w:lineRule="auto"/>
        <w:ind w:firstLine="482" w:firstLineChars="200"/>
        <w:contextualSpacing/>
        <w:rPr>
          <w:b/>
          <w:sz w:val="24"/>
        </w:rPr>
      </w:pPr>
      <w:r>
        <w:rPr>
          <w:b/>
          <w:sz w:val="24"/>
        </w:rPr>
        <w:t>1.1 采购标的需实现的功能或者目标</w:t>
      </w:r>
    </w:p>
    <w:p w14:paraId="290DD3E0">
      <w:pPr>
        <w:spacing w:line="360" w:lineRule="auto"/>
        <w:ind w:firstLine="482"/>
        <w:contextualSpacing/>
        <w:rPr>
          <w:sz w:val="24"/>
        </w:rPr>
      </w:pPr>
      <w:r>
        <w:rPr>
          <w:rFonts w:hint="eastAsia"/>
          <w:sz w:val="24"/>
        </w:rPr>
        <w:t>本次采购的货物用于北京市科学技术委员会、中关村科技园区管理委员会综合事务中心协同办公平台搭建所需的基础系统及应用软件。基础系统及应用软件需要满足相关技术及功能要求。</w:t>
      </w:r>
    </w:p>
    <w:p w14:paraId="02A7A8C3">
      <w:pPr>
        <w:spacing w:line="360" w:lineRule="auto"/>
        <w:ind w:firstLine="482" w:firstLineChars="200"/>
        <w:contextualSpacing/>
        <w:rPr>
          <w:b/>
          <w:sz w:val="24"/>
        </w:rPr>
      </w:pPr>
      <w:r>
        <w:rPr>
          <w:b/>
          <w:sz w:val="24"/>
        </w:rPr>
        <w:t>1.2 需执行的国家相关标准、行业标准、地方标准或者其他标准、规范</w:t>
      </w:r>
    </w:p>
    <w:p w14:paraId="5121FE60">
      <w:pPr>
        <w:spacing w:line="360" w:lineRule="auto"/>
        <w:ind w:firstLine="480" w:firstLineChars="200"/>
        <w:contextualSpacing/>
        <w:rPr>
          <w:rFonts w:hint="eastAsia"/>
          <w:sz w:val="24"/>
        </w:rPr>
      </w:pPr>
      <w:r>
        <w:rPr>
          <w:rFonts w:hint="eastAsia"/>
          <w:sz w:val="24"/>
        </w:rPr>
        <w:t>本次采购内容必须是全新的、正品的，并符合国家相关标准、行业标准、地方标准和其他标准、规范。标签及安装标识内容应符合国家有关规定。</w:t>
      </w:r>
    </w:p>
    <w:p w14:paraId="75F86E0F">
      <w:pPr>
        <w:spacing w:line="360" w:lineRule="auto"/>
        <w:contextualSpacing/>
        <w:rPr>
          <w:b/>
          <w:sz w:val="24"/>
        </w:rPr>
      </w:pPr>
      <w:r>
        <w:rPr>
          <w:b/>
          <w:sz w:val="24"/>
        </w:rPr>
        <w:t>2. 服务内容及要求/货物技术要求</w:t>
      </w:r>
    </w:p>
    <w:p w14:paraId="4C0E6FC9">
      <w:pPr>
        <w:widowControl/>
        <w:spacing w:line="360" w:lineRule="auto"/>
        <w:ind w:firstLine="482" w:firstLineChars="200"/>
        <w:contextualSpacing/>
        <w:rPr>
          <w:b/>
          <w:sz w:val="24"/>
        </w:rPr>
      </w:pPr>
      <w:r>
        <w:rPr>
          <w:b/>
          <w:sz w:val="24"/>
        </w:rPr>
        <w:t>2.1采购标的需满足的性能、技术规格等要求</w:t>
      </w:r>
    </w:p>
    <w:p w14:paraId="2CCEBF92">
      <w:pPr>
        <w:spacing w:line="360" w:lineRule="auto"/>
        <w:ind w:firstLine="480" w:firstLineChars="200"/>
        <w:contextualSpacing/>
        <w:rPr>
          <w:rFonts w:hint="eastAsia"/>
          <w:sz w:val="24"/>
        </w:rPr>
      </w:pPr>
      <w:r>
        <w:rPr>
          <w:rFonts w:hint="eastAsia"/>
          <w:sz w:val="24"/>
        </w:rPr>
        <w:t>以下条款中打“</w:t>
      </w:r>
      <w:r>
        <w:rPr>
          <w:rFonts w:hint="eastAsia"/>
          <w:sz w:val="24"/>
          <w:lang w:eastAsia="zh-CN"/>
        </w:rPr>
        <w:t>★</w:t>
      </w:r>
      <w:r>
        <w:rPr>
          <w:rFonts w:hint="eastAsia"/>
          <w:sz w:val="24"/>
        </w:rPr>
        <w:t>”号的条款为实质性响应条款，如投标人的《投标文件》中不满足任何一项实质性条款，为不实质性响应《招标文件》，其《投标文件》将被拒绝。打“#” 号条款标注的内容为该设备重点技术指标项，将作为重要评分指标。指标要求中如有“投标人/供应商给出......”等表述要求的，请投标人明确提供响应具体内容。</w:t>
      </w:r>
    </w:p>
    <w:p w14:paraId="6921D9AA">
      <w:pPr>
        <w:spacing w:line="360" w:lineRule="auto"/>
        <w:contextualSpacing/>
        <w:rPr>
          <w:rFonts w:ascii="宋体" w:hAnsi="宋体" w:cs="宋体"/>
          <w:b/>
          <w:sz w:val="24"/>
        </w:rPr>
      </w:pPr>
      <w:r>
        <w:rPr>
          <w:rFonts w:hint="eastAsia" w:ascii="宋体" w:hAnsi="宋体" w:cs="宋体"/>
          <w:b/>
          <w:sz w:val="24"/>
        </w:rPr>
        <w:t>（1）数据库软件要求</w:t>
      </w:r>
    </w:p>
    <w:p w14:paraId="434B13BF">
      <w:pPr>
        <w:pStyle w:val="6"/>
        <w:spacing w:line="360" w:lineRule="auto"/>
        <w:ind w:firstLine="480"/>
        <w:contextualSpacing/>
        <w:rPr>
          <w:rFonts w:ascii="宋体" w:hAnsi="宋体" w:cs="宋体"/>
          <w:sz w:val="24"/>
          <w:szCs w:val="24"/>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738"/>
        <w:gridCol w:w="953"/>
        <w:gridCol w:w="1313"/>
        <w:gridCol w:w="4984"/>
      </w:tblGrid>
      <w:tr w14:paraId="3A89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4" w:type="pct"/>
            <w:tcBorders>
              <w:top w:val="single" w:color="474747" w:sz="8" w:space="0"/>
              <w:left w:val="single" w:color="474747" w:sz="8" w:space="0"/>
              <w:bottom w:val="single" w:color="888E93" w:sz="8" w:space="0"/>
              <w:right w:val="single" w:color="888E93" w:sz="8" w:space="0"/>
            </w:tcBorders>
            <w:shd w:val="clear" w:color="auto" w:fill="D9D9D9"/>
            <w:noWrap w:val="0"/>
            <w:vAlign w:val="center"/>
          </w:tcPr>
          <w:p w14:paraId="6A0DD9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50" w:type="pct"/>
            <w:tcBorders>
              <w:top w:val="single" w:color="474747" w:sz="8" w:space="0"/>
              <w:left w:val="single" w:color="888E93" w:sz="8" w:space="0"/>
              <w:bottom w:val="single" w:color="888E93" w:sz="8" w:space="0"/>
              <w:right w:val="single" w:color="888E93" w:sz="8" w:space="0"/>
            </w:tcBorders>
            <w:shd w:val="clear" w:color="auto" w:fill="D9D9D9"/>
            <w:noWrap w:val="0"/>
            <w:vAlign w:val="center"/>
          </w:tcPr>
          <w:p w14:paraId="4F9E8A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指标分类</w:t>
            </w:r>
          </w:p>
        </w:tc>
        <w:tc>
          <w:tcPr>
            <w:tcW w:w="576" w:type="pct"/>
            <w:tcBorders>
              <w:top w:val="single" w:color="474747" w:sz="8" w:space="0"/>
              <w:left w:val="single" w:color="888E93" w:sz="8" w:space="0"/>
              <w:bottom w:val="single" w:color="888E93" w:sz="8" w:space="0"/>
              <w:right w:val="single" w:color="888E93" w:sz="8" w:space="0"/>
            </w:tcBorders>
            <w:shd w:val="clear" w:color="auto" w:fill="D9D9D9"/>
            <w:noWrap w:val="0"/>
            <w:vAlign w:val="center"/>
          </w:tcPr>
          <w:p w14:paraId="228ED2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787" w:type="pct"/>
            <w:tcBorders>
              <w:top w:val="single" w:color="474747" w:sz="8" w:space="0"/>
              <w:left w:val="single" w:color="888E93" w:sz="8" w:space="0"/>
              <w:bottom w:val="single" w:color="888E93" w:sz="8" w:space="0"/>
              <w:right w:val="single" w:color="888E93" w:sz="8" w:space="0"/>
            </w:tcBorders>
            <w:shd w:val="clear" w:color="auto" w:fill="D9D9D9"/>
            <w:noWrap w:val="0"/>
            <w:vAlign w:val="center"/>
          </w:tcPr>
          <w:p w14:paraId="6CC5C6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2940" w:type="pct"/>
            <w:tcBorders>
              <w:top w:val="single" w:color="474747" w:sz="8" w:space="0"/>
              <w:left w:val="single" w:color="888E93" w:sz="8" w:space="0"/>
              <w:bottom w:val="single" w:color="888E93" w:sz="8" w:space="0"/>
              <w:right w:val="single" w:color="888E93" w:sz="8" w:space="0"/>
            </w:tcBorders>
            <w:shd w:val="clear" w:color="auto" w:fill="D9D9D9"/>
            <w:noWrap w:val="0"/>
            <w:vAlign w:val="center"/>
          </w:tcPr>
          <w:p w14:paraId="026D09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指标要求</w:t>
            </w:r>
          </w:p>
        </w:tc>
      </w:tr>
      <w:tr w14:paraId="61F4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BF76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DEBB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31FB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★安装与升级</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0207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5D8FE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a)支持命令行或图形化的安装；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b)支持命令行或图形化的可配置安装能力；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c)依据安装环境提供相应的初始化参数配置值；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d)提供图形化软件组件管理向导工具</w:t>
            </w:r>
          </w:p>
        </w:tc>
      </w:tr>
      <w:tr w14:paraId="7FB7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A857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A20E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0A2775">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398F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A3ED6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a)支持命令行或图形化的方式关闭和启动服务；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b)关闭服务后，再启动服务，服务正常</w:t>
            </w:r>
          </w:p>
        </w:tc>
      </w:tr>
      <w:tr w14:paraId="0075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3E96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4276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A6845A">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8F0E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日志</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8B83F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a)提供软件安装的日志记录功能；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b)记录的软件安装信息完整正确；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c)提供安装配置操作的日志记录功能；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d)记录的配置操作信息完整正确</w:t>
            </w:r>
          </w:p>
        </w:tc>
      </w:tr>
      <w:tr w14:paraId="0943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2B3C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46D0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A197AC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A86D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★升级维护</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2538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a)支持版本升级，保证版本间功能和数据的兼容性；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b)厂商提供当前版本与历史版本的差异说明文档，包含新版本对软件和硬件的支持情况</w:t>
            </w:r>
          </w:p>
        </w:tc>
      </w:tr>
      <w:tr w14:paraId="0C7C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92B3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B8EB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AC1095B">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CB0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安装和升级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的兼容性</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46A87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支持在不同CPU架构的节点上安装配置、升级，且安装配置、升级数据库的命令行或图形界面相同或相似</w:t>
            </w:r>
          </w:p>
        </w:tc>
      </w:tr>
      <w:tr w14:paraId="312D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4FF7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6915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9FD98B">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F3FE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节点部署</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2A0B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a)支持节点安装配置；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b)支持通过单一节点发起并将数据库部署在多个节点上</w:t>
            </w:r>
          </w:p>
        </w:tc>
      </w:tr>
      <w:tr w14:paraId="76F3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8766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90E6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93E2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★数据配置</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26D4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0844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a)依据工作负载和运行环境，提供配置参数修改的能力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b)修改数据库配置参数后，配置参数立即生效或数据库重新启动生效，立即生效的配置参数和需要数据库重新启动方可生效的配置参数在相关文档中明确</w:t>
            </w:r>
          </w:p>
        </w:tc>
      </w:tr>
      <w:tr w14:paraId="6D85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535E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9D3E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70097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FAE5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存储配置</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E320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a)提供数据库级物理存储位置、逻辑存储参数配置功能；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b)在数据库初始化阶段，提供数据库物理读写块大小的配置功能；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c)提供数据库存储对象空间使用参数的配置功能；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d)提供索引数据存储参数管理功能</w:t>
            </w:r>
          </w:p>
        </w:tc>
      </w:tr>
      <w:tr w14:paraId="7EBB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27E6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F22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2A288B5">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52AB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内存配置</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94C3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a)提供数据库内存规划和配置建议；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b)依据物理内存规划数据库可用内存；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c)依据可用内存或负载情况，自动设置或向用户建议不同数据缓存区大小</w:t>
            </w:r>
          </w:p>
        </w:tc>
      </w:tr>
      <w:tr w14:paraId="79E3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46A98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34DC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F7F6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★SQL功能</w:t>
            </w: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6216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CCFF3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a)支持数值类型；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b)支持字符类型；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c)支持二进制类型；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d)支持日期和时间类型；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e)支持布尔类型；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f)支持（大）文本类型；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g)支持大对象类型</w:t>
            </w:r>
          </w:p>
        </w:tc>
      </w:tr>
      <w:tr w14:paraId="0FE0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AA69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E477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531D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★SQL功能</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A34D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扩展数据类型</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6891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支持间隔、XML、JSON等数据类型</w:t>
            </w:r>
          </w:p>
        </w:tc>
      </w:tr>
      <w:tr w14:paraId="7858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322B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1EC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0FA4255">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B367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自定义数据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54C9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具备用户自定义数据类型的能力，可支持不同应用场景的数据类型需求</w:t>
            </w:r>
          </w:p>
        </w:tc>
      </w:tr>
      <w:tr w14:paraId="1D52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1663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315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8DC84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AA2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8F3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支持基础数据类型</w:t>
            </w:r>
          </w:p>
        </w:tc>
      </w:tr>
      <w:tr w14:paraId="4B58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B581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3D2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B91BFC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20FF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数据存储增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D4CC2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a)支持扩展数据类型；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b)支持自定义数据类型</w:t>
            </w:r>
          </w:p>
        </w:tc>
      </w:tr>
      <w:tr w14:paraId="0847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D230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A5AA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7E84B5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EF7E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D1045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支持基础数据类型</w:t>
            </w:r>
          </w:p>
        </w:tc>
      </w:tr>
      <w:tr w14:paraId="500E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85CA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017D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FBBEE4A">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E23B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数据检索增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2FE4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a)支持扩展数据类型；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b)支持自定义数据类型；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c)支持中文检索功能，如使用中国纪年历法进行检索</w:t>
            </w:r>
          </w:p>
        </w:tc>
      </w:tr>
      <w:tr w14:paraId="353D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9A8E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CE91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F07CF21">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1430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★核心SQL能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力</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2B91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a)支持左外连接；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b)支持右外连接；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c)支持内连接；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d)支持全连接</w:t>
            </w:r>
          </w:p>
        </w:tc>
      </w:tr>
      <w:tr w14:paraId="54F0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1979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E4C3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5E3DB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24D5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★字符集</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6D437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中文字符集符合GB18030的要求</w:t>
            </w:r>
          </w:p>
        </w:tc>
      </w:tr>
      <w:tr w14:paraId="6342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97C1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2BF0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817A4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E09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1AD8F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a)支持逻辑操作符及相关运算；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b)支持比较操作符及相关运算；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c)支持算术运算符及相关运算</w:t>
            </w:r>
          </w:p>
        </w:tc>
      </w:tr>
      <w:tr w14:paraId="4258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AE19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259A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7E0946">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686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★条件表达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式</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286D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a)支持对比条件表达式；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b)支持逻辑条件表达式；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c)支持空值条件表达式；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d)支持等于条件表达式；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e)支持模式匹配条件表达式；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f)支持区间条件表达式；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g)支持IN条件表达式；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h)支持存在条件表达式；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i)支持以上条件表达式的复合表达式</w:t>
            </w:r>
          </w:p>
        </w:tc>
      </w:tr>
      <w:tr w14:paraId="0928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50CE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E77B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2519DE0">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3923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★SQL执行计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划</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B233C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支持SQL计划，使SQL按照指定的语句执行，并实现预期结果</w:t>
            </w:r>
          </w:p>
        </w:tc>
      </w:tr>
      <w:tr w14:paraId="0A1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CE66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A66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499F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★数据库对象</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4C5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★基础对象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943E4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a)支持用户的创建、删除、修改；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b)支持角色的创建、删除、修改；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c)支持存储过程的创建、删除、修改；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d)支持表操作功能；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e)支持自增序列；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f)支持主键约束、外键约束、唯一性约束、检查约束和联合主键约束；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g)支持游标功能；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h)支持视图的创建、删除、修改；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i)支持数值计算函数、字符处理函数、日期时间值函数、间隔函数、类型转换函数、位运算函数、聚合函数、格式化、系统信息等常用函数</w:t>
            </w:r>
          </w:p>
        </w:tc>
      </w:tr>
      <w:tr w14:paraId="3146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9B93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ECAE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905183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DE11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扩展对象类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90C8B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a)支持包的创建、删除、修改；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b)支持触发器的创建、删除、修改；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c)支持外部链接的创建、删除，并可以通过外部链接进行外部访问；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d)支持作业的创建、删除、修改；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e)支持全局唯一的自增序列；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f)支持创建函数索引；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g)支持定义同义词</w:t>
            </w:r>
          </w:p>
        </w:tc>
      </w:tr>
      <w:tr w14:paraId="07B8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03DF4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6B0D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6F76B06">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1916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★基础表分区管理</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007A9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a)哈希分区方式；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b)范围分区方式；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c)列表分区方式</w:t>
            </w:r>
          </w:p>
        </w:tc>
      </w:tr>
      <w:tr w14:paraId="170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EC1B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D467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A73A30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7D8A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扩展表分区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6233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a)支持数据库表分区及二级分区能力；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b)支持建立分区索引</w:t>
            </w:r>
          </w:p>
        </w:tc>
      </w:tr>
      <w:tr w14:paraId="78E4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6916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B4FC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5CA3070">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225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查看对象</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7967F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a)支持查看数据库信息；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b)支持查看表对象信息；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c)支持查看索引对象信息；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d)支持查看字段对象信息；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e）支持查看约束对象信息；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f）支持查看数据库实例信息；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g）支持查看表空间信息</w:t>
            </w:r>
          </w:p>
        </w:tc>
      </w:tr>
      <w:tr w14:paraId="1B85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051F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CEDF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F5EE201">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3332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系统信息</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FC292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a)支持查看日志文件的能力；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b）厂商提供查看实例数据缓存的视图或图形化管理工具；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c）厂商提供查看日志缓存的视图或图形化管理工具；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d）厂商提供查看数据字典的视图或图形化管理工具</w:t>
            </w:r>
          </w:p>
        </w:tc>
      </w:tr>
      <w:tr w14:paraId="0444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FA3F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636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50E9C3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A8AE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★对象变更</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F208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a)支持数据库的创建、删除、更新以及数据库属性的查询；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b)支持在线变更表结构、索引；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c)支持数据的增加、删除、修改和查询</w:t>
            </w:r>
          </w:p>
        </w:tc>
      </w:tr>
      <w:tr w14:paraId="78C7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C4A7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B0A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C16D079">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800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查看会话系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统表/视图</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1EF10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a)提供查看会话标识的视图或图形化管理工具；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b)提供查看进程/线程标识的视图或图形化管理工具；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c)提供查看用户标识的视图或图形化管理工具；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d)提供查看最近的用户请求命令的视图或图形化管理工具；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e)提供查看缺省模式的视图或图形化管理工具；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f)提供查看登录时间/会话状态的视图或图形化管理工具；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g)提供查看会话状态的视图或图形化管理工具；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h)提供查看等待会话的锁信息的视图或图形化管理工具；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i)提供查看等待时间统计信息的视图或图形化管理工具；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j)提供查看使用时间统计信息的视图或图形化管理工具</w:t>
            </w:r>
          </w:p>
        </w:tc>
      </w:tr>
      <w:tr w14:paraId="1B0F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9A45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1FF3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03CBAC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E212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查看监控连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接系统表/视图</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1A389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a)提供查看连接标识的视图或图形化管理工具；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b)提供查看连接状态的视图或图形化管理工具；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c)提供查看连接用户的视图或图形化管理工具；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d)提供查看连接类型的视图或图形化管理工具；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e)提供查看当前事务信息的视图或图形化管理工具</w:t>
            </w:r>
          </w:p>
        </w:tc>
      </w:tr>
      <w:tr w14:paraId="6228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394E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62F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DAF22D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AC3B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异构数据库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联机访问</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5C29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提供异构数据库数据联机访问功能</w:t>
            </w:r>
          </w:p>
        </w:tc>
      </w:tr>
      <w:tr w14:paraId="1B59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113B4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490D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3D54BD5">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D6F8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完整性管理</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0622D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a)支持验证表存储完整性；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b)支持验证索引存储完整性；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c)支持验证数据库存储结构完整性；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d)支持查看视图定义完整性；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e)支持查看存储过程/函数定义完整性</w:t>
            </w:r>
          </w:p>
        </w:tc>
      </w:tr>
      <w:tr w14:paraId="05E8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EA69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5E04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59DF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★事务能力</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3329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★事务基础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特性</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44F2E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支持事务的ACID</w:t>
            </w:r>
          </w:p>
        </w:tc>
      </w:tr>
      <w:tr w14:paraId="674A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2C5A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ED96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2B3FF5">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1996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★死锁检测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与处理</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BFBE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a)在并发执行过程中，能检测到死锁；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b)提供解决全局死锁的机制；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c)具备死锁处理能力；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d)具备死锁超时回滚的能力；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e)具备死锁检测与处理记录功能</w:t>
            </w:r>
          </w:p>
        </w:tc>
      </w:tr>
      <w:tr w14:paraId="541D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03F5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E18B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3A55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0C01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★运行时统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计信息基础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D58DE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a）数据库慢SQL统计：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1）支持统计SQL语句；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2）支持统计用户名；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3）支持统计数据库名；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4）支持统计执行时长；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b）数据库性能状态统计：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1）支持统计每秒事务数和查询数；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2）支持统计SQL平均响应时间；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3）支持统计高频SQL</w:t>
            </w:r>
          </w:p>
        </w:tc>
      </w:tr>
      <w:tr w14:paraId="07C0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ABF4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58C8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7C3D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10C9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运行时统计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信息增强功能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59B9C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a)支持统计集群节点CPU使用情况；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b)支持统计集群节点内存使用情况；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c)支持统计集群节点磁盘使用情况；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d)支持统计集群节点网络使用情况</w:t>
            </w:r>
          </w:p>
        </w:tc>
      </w:tr>
      <w:tr w14:paraId="4CF3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19E7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1C3D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B7D21DC">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AED9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★日志</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948B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a)具备对各类事件进行日志记录的功能，可通过日志查看操作内容、执行过程和结果；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b)具备提示和警告功能，提示或警告数据库结构修改、数据库运行配置修改等重要操作；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c)日志完整正确，并且提供可读文本的形式；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d)支持中文日志</w:t>
            </w:r>
          </w:p>
        </w:tc>
      </w:tr>
      <w:tr w14:paraId="0BC5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CE48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4B66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B136EEA">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27D7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★远程运维</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B8022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具备远程维护功能</w:t>
            </w:r>
          </w:p>
        </w:tc>
      </w:tr>
      <w:tr w14:paraId="57DB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7E4F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6805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109AEDA">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47D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9B03C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a)厂商提供通知管理员的方法或工具；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b)支持设置报警基线，数据库运行中遇到重要事件、异常事件和状态、超过报警阈值等情况时，通知管理员；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c)提供报警API；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d)报警发生时，支持报警信息的实时展示</w:t>
            </w:r>
          </w:p>
        </w:tc>
      </w:tr>
      <w:tr w14:paraId="2B43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E386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AE19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B6C9B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A92A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SQL监测与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优化建议</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1B1D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a)实时监测SQL执行过程中资源使用情况；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b)提供查询计划的缓存管理功能；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c)提供SQL改写的优化建议</w:t>
            </w:r>
          </w:p>
        </w:tc>
      </w:tr>
      <w:tr w14:paraId="1217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2A2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5BC9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9AAF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6F41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应用迁移</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72C39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a)提供SQL、存储过程等价语法转换，并将转换后的语法在目标库进行校验，转换后语法可编译可执行；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b)对转换出错或校验出错的语法进行定位，引导用户进行错误校正后再次编译校验；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c)尽量减少应用的修改，从源数据库迁移到目标数据库，并可运行</w:t>
            </w:r>
          </w:p>
        </w:tc>
      </w:tr>
      <w:tr w14:paraId="00AB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6BB69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FD9A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C0D566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98EB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★数据迁移</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05FDF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a)提供元数据、数据库、数据库对象、表数据快速迁移的功能；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b)支持数据迁移工具实现同构或异构数据库之间的数据迁移；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c)支持全量数据迁移、增量数据持续同步等迁移模式；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d)在数据迁移过程中具备应对传输异常的能力，保障数据迁移的稳定性、连续性和一致性；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e)支持存量数据的一次性迁移和增量数据库的持续同步；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f)支持多种不同类型的源数据库和目标数据库之间的数据迁移</w:t>
            </w:r>
          </w:p>
        </w:tc>
      </w:tr>
      <w:tr w14:paraId="641E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C514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E098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8A51EB">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09E2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★数据比对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527D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对源数据库和目标数据库之间的数据进行比对，支持数据一致性，并提供一致性比对报告</w:t>
            </w:r>
          </w:p>
        </w:tc>
      </w:tr>
      <w:tr w14:paraId="6496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3FE8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A6CD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B8304AB">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87E4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数据比对增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3E5A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数据比对规模是可配置的，用户可根据业务需求，进行库级、表级等级别的比对，提供数据修复功能</w:t>
            </w:r>
          </w:p>
        </w:tc>
      </w:tr>
      <w:tr w14:paraId="580E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90A4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FE0E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275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★备份恢复</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54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★数据备份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371E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a)运行状态下支持对数据库进行全库备份；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b)运行状态下支持对数据库进行部分备份；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c)运行状态下支持对数据库进行增量备份</w:t>
            </w:r>
          </w:p>
        </w:tc>
      </w:tr>
      <w:tr w14:paraId="2447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F6DE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B45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F38372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E73B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备份数据管理</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7B41A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a)支持备份数据的加密；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b)支持备份数据的压缩；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c)支持备份数据的存储</w:t>
            </w:r>
          </w:p>
        </w:tc>
      </w:tr>
      <w:tr w14:paraId="04D8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123F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D475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6ED068">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698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备份、恢复</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A127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a)支持对数据库的所有或指定用户/模式下的数据进行备份；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b)支持对数据库的所有或指定用户/模式下的数据备份进行恢复</w:t>
            </w:r>
          </w:p>
        </w:tc>
      </w:tr>
      <w:tr w14:paraId="0A60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284B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7351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8889771">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9C8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★多种存储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媒体备份、还原</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C6467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支持多种备份存储媒体，支持多种存储媒体的部分、完整数据库数据还原处理能力</w:t>
            </w:r>
          </w:p>
        </w:tc>
      </w:tr>
      <w:tr w14:paraId="4EE4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403C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2CE6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1A0A84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CB39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的一致性校验</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86D2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提供数据库备份数据一致性校验的命令或工具</w:t>
            </w:r>
          </w:p>
        </w:tc>
      </w:tr>
      <w:tr w14:paraId="4037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2AB9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59E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7B40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★集群管理</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5476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★集群构建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与管理</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787B0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a)支持集群的运行环境；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b)支持创建并配置数据库集群；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c)配置信息至少包括日常运维管理、容灾管理、日志管理、备份管理、监控等</w:t>
            </w:r>
          </w:p>
        </w:tc>
      </w:tr>
      <w:tr w14:paraId="05D6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12AF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EDBFF8E">
            <w:pPr>
              <w:jc w:val="center"/>
              <w:rPr>
                <w:rFonts w:hint="eastAsia" w:ascii="宋体" w:hAnsi="宋体" w:eastAsia="宋体" w:cs="宋体"/>
                <w:i w:val="0"/>
                <w:iCs w:val="0"/>
                <w:color w:val="000000"/>
                <w:sz w:val="21"/>
                <w:szCs w:val="21"/>
                <w:u w:val="none"/>
              </w:rPr>
            </w:pP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4201FE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DC8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集群构建与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管理扩展要求</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84165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在读写操作负载差距较大时，提供读写分离能力</w:t>
            </w:r>
          </w:p>
        </w:tc>
      </w:tr>
      <w:tr w14:paraId="516F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703D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ACFA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3AB290A">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846B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共享存储架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构下的集群要求</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260C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在共享存储集群架构的基础上：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a)支持管理硬件存储资源，包括为共享存储扩展存储容量；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b)支持集群多个节点同时写入或一写多读，事务支持ACID特性；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c)支持节点间的缓存一致性</w:t>
            </w:r>
          </w:p>
        </w:tc>
      </w:tr>
      <w:tr w14:paraId="5837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980F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57B1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82F9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B8FD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发调试工具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D51C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a)具备图形化功能，提高易用性；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b)具备导入、编辑、保存、执行SQL语句和SQL脚本功能；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c)具备复制、编辑现有数据库对象功能；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d)具备关键词显示标记、动态语法提示的SQL编辑器功能</w:t>
            </w:r>
          </w:p>
        </w:tc>
      </w:tr>
      <w:tr w14:paraId="185D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B110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D92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97B1498">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D348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数据库预编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译工具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397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厂商提供预编译工具，支持嵌入式SQL编程</w:t>
            </w:r>
          </w:p>
        </w:tc>
      </w:tr>
      <w:tr w14:paraId="6F8A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0B9F4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7CE2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E53E39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C0CC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网络配置工具</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8886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a)提供客户端、服务器端网络配置向导；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b)支持配置网络连接参数、主机、端口、协议等内容</w:t>
            </w:r>
          </w:p>
        </w:tc>
      </w:tr>
      <w:tr w14:paraId="3690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9378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3CD4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F5D8C1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909B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创建、修改、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删除工具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C723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a)支持数据库的创建、修改和删除；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b)支持配置数据库数据文件、日志文件、归档文件的存储位置、逻辑空间（如表空间）等参数；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c)支持配置数据库属性相关参数（如最大连接数等）</w:t>
            </w:r>
          </w:p>
        </w:tc>
      </w:tr>
      <w:tr w14:paraId="73AE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4E22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24BE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80F10C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47F5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★用户、角色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9C626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a)支持创建、修改、删除用户的功能；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b）提供定义用户的功能；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c)支持创建、修改、删除角色的功能，且提供用户自定义角色的功能</w:t>
            </w:r>
          </w:p>
        </w:tc>
      </w:tr>
      <w:tr w14:paraId="02FF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40D9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0D13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15553FC">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98E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★SQL执行计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划查看工具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FDA7B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a)提供与数据库管理系统进行SQL交互的工具，方便运维工作；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b)支持查看SQL语句查询执行计划与统计信息</w:t>
            </w:r>
          </w:p>
        </w:tc>
      </w:tr>
      <w:tr w14:paraId="61C5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ADC1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7DB0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6DFE8D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EFC6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象工具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DD74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a)支持创建、修改、删除表的功能，支持定义表结构、约束、存储配置管理的功能；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b)支持创建、修改、删除索引的功能，支持定义索引结构、类型、存储配置管理的功能；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c)支持创建、修改、删除视图的功能，支持视图定义的功能；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d)支持创建、修改、删除约束的功能，支持约束定义的功能</w:t>
            </w:r>
          </w:p>
        </w:tc>
      </w:tr>
      <w:tr w14:paraId="6CB0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6046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AD0F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53FBA8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8111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★导入导出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B93C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a)支持导出不同格式，可以将不同格式数据导入到数据库中；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b)支持不同级别和不同数据库对象的导入/导出功能；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c)支持从文本文件或者其他上游数据源将数据导入；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d)支持SQL脚本进行导入导出</w:t>
            </w:r>
          </w:p>
        </w:tc>
      </w:tr>
      <w:tr w14:paraId="5811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7DA1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030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E5363D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E0CD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触发器、存储过程/函数工具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8B59F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a)支持创建、修改、删除触发器的功能，支持触发条件、事件的设置；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b)支持创建、修改、删除存储过程/函数的功能，提供定义存储过程/函数的工具</w:t>
            </w:r>
          </w:p>
        </w:tc>
      </w:tr>
      <w:tr w14:paraId="3AAC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F7EF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DD3C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3B8857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C759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E9A76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a)支持数据库、数据库存储对象结构、数据、统计信息更新维护；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b)支持数据库创建、数据库修改、数据库删除、数据库模板维护；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c)支持数据库任务自动化调度作业管理；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d)支持图形化展示数据库管理的各种元数据界面，展示的内容具有层次性，包括模式、非模式数据字典信息</w:t>
            </w:r>
          </w:p>
        </w:tc>
      </w:tr>
      <w:tr w14:paraId="0A33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4E647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1B92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FF2BBB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8A7E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监控跟踪工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F37CB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a)收集和统计数据库某时间段的运行状态及性能信息，判断该时间的数据库运行性能瓶颈；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b)支持系统状态监控能力，包括对集群、服务器和数据库状态的监控等；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c)支持性能瓶颈跟踪、运行过程监测与调优；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d)提供数据库实例、网络通信、数据库对象的跟踪日志，日志数据准确、完整；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e)支持特定事件或事务发生时收集监控数据库活动事务数据；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f)支持跟踪数据库等待事件；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g)提供捕获并记录实例、数据库在特定时间点的状态</w:t>
            </w:r>
          </w:p>
        </w:tc>
      </w:tr>
      <w:tr w14:paraId="10F4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496F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2A8B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FDF7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★图形化管理</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6B1A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图形化远程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数据库</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D30F1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a)提供数据库资源配置向导；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b)提供远程数据库服务启动、关闭功能</w:t>
            </w:r>
          </w:p>
        </w:tc>
      </w:tr>
      <w:tr w14:paraId="2FC4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4F23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DE3E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9A38831">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CA4F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开发工具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E1D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厂商提供图形化的开发工具</w:t>
            </w:r>
          </w:p>
        </w:tc>
      </w:tr>
      <w:tr w14:paraId="186F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EE5F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5068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35A1F4B">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B67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F118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厂商提供图形化的运维工具</w:t>
            </w:r>
          </w:p>
        </w:tc>
      </w:tr>
      <w:tr w14:paraId="4804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1EBE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670E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91489E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77C6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DCD6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厂商提供图形化数据展示工具</w:t>
            </w:r>
          </w:p>
        </w:tc>
      </w:tr>
      <w:tr w14:paraId="55EF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FE55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8204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A54ACC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966E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图形界面配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置参数基础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CDDAC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a）基本配置参数：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1）配置资源使用限额；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2）配置连接数；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3）配置白名单；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b）逻辑存储配置：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1）图形界面支持逻辑存储配置；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2）提供图形化界面管理数据库对象逻辑空间分配功能；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c）提供图形界面配置参数功能，支持图形界面配置用户口令；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d）配置审计：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1）支持图形化界面配置审计策略；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2）支持查看审计数据</w:t>
            </w:r>
          </w:p>
        </w:tc>
      </w:tr>
      <w:tr w14:paraId="3531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1731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0EEC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8ECC6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01BD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数据库对象</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1F32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14:paraId="6C3A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8F64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8C7E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F76788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EEEF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图形化监控</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989E4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a）支持多实例集成监控与管理；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b）支持操作系统和网络资源集成监控与管理</w:t>
            </w:r>
          </w:p>
        </w:tc>
      </w:tr>
      <w:tr w14:paraId="7175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E748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A595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4105686">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94C4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归档</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E9D78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支持对归档模式、归档文件位置、归档启用/停用进行管理</w:t>
            </w:r>
          </w:p>
        </w:tc>
      </w:tr>
      <w:tr w14:paraId="64C3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298A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C833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685F66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76EE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数据的备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份、还原/恢复</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7B9D4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提供图形化管理数据的备份、还原/恢复的功能</w:t>
            </w:r>
          </w:p>
        </w:tc>
      </w:tr>
      <w:tr w14:paraId="31EA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6779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9AE9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4147BC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B3C9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图形化界面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易用性</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0A0E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a)支持浏览器图形界面管理；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b)图形化管理工具界面窗口、选单、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图标、文字、快捷键统一并易于理解</w:t>
            </w:r>
          </w:p>
        </w:tc>
      </w:tr>
      <w:tr w14:paraId="36BE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197B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7624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06F8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★稳定运行</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405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★稳定运行</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1C53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a)支持连续稳定运行；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b)支持数据库管理系统运行风险的报警能力</w:t>
            </w:r>
          </w:p>
        </w:tc>
      </w:tr>
      <w:tr w14:paraId="6DEE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48FE7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164F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4CB4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★故障切换</w:t>
            </w: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BE8D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★快速切换</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C1085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支持快速切换，在主数据库出现故障时，能够快速切换到备用数据库，保障业务正常运行</w:t>
            </w:r>
          </w:p>
        </w:tc>
      </w:tr>
      <w:tr w14:paraId="3D9B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D189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9E6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EB81919">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7B77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★恢复无断点</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3EF9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支持无断点恢复能力</w:t>
            </w:r>
          </w:p>
        </w:tc>
      </w:tr>
      <w:tr w14:paraId="5AC6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EEAE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B268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591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★容灾能力</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8B5B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★主备备份</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30D4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a)支持多副本，支持主副本与从副本之间的数据同步，最低时延由生产厂商提供；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b)提供基于主机的数据库复制技术，包括基于日志的备用数据库远程数据库备份技术，并具备数据副本间的复制能力</w:t>
            </w:r>
          </w:p>
        </w:tc>
      </w:tr>
      <w:tr w14:paraId="3154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BD54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4D2F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D886909">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48A8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★实例容灾</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BFC2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a)在任意数据库实例出现故障时，集群内服务正常运行，数据不丢失，集群整体业务可用；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b)在实例故障、节点故障等单数据库实例故障时，RPO时间等于0，RTO时间小于30s</w:t>
            </w:r>
          </w:p>
        </w:tc>
      </w:tr>
      <w:tr w14:paraId="5030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EDAD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6468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F22A5F1">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4965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★容灾部署</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D87CA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a)提供远程容灾部署与管理功能；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b)提供生产中心与备份中心之间的容灾部署与管理功能</w:t>
            </w:r>
          </w:p>
        </w:tc>
      </w:tr>
      <w:tr w14:paraId="6F0E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B641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0EB5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0FB5F0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B312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★同城容灾</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AA3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a)支持同城双中心部署，当主中心故障时，业务切换到备中心；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b)由于网络、供电等原因造成的可用区级故障，触发集群计划外停机，在同城多可用区场景下，RPO时间等于0，RTO时间小于1分钟</w:t>
            </w:r>
          </w:p>
        </w:tc>
      </w:tr>
      <w:tr w14:paraId="3270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EF5B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2334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4164D4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17B2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异地容灾</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C99CD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a)城市级故障，比如地震，业务可以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切换到异地；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b)异地灾备场景支持两地三中心部署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架构，在本地建立同城灾备中心，在异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地建立异地灾备中心，RPO时间小于1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分钟，RTO时间小于10分钟</w:t>
            </w:r>
          </w:p>
        </w:tc>
      </w:tr>
      <w:tr w14:paraId="3030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0E29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F5D1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802D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★容错性</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327F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★服务端编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程稳定性</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8D68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支持当用户自定义的存储过程、函数运行异常时，数据库稳定运行</w:t>
            </w:r>
          </w:p>
        </w:tc>
      </w:tr>
      <w:tr w14:paraId="732D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04BD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C4C5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9CFCDA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7EC7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★网络容错</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CD1AF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支持网络中断时，保障事务一致性</w:t>
            </w:r>
          </w:p>
        </w:tc>
      </w:tr>
      <w:tr w14:paraId="2C35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3090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5737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6BA791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EAEB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★检测报警</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CDD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a)支持数据库实例启动时错误检测能力；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b)支持加载不同文件格式、不同大小数据出现错误时的故障检测和处理能力；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c)支持数据库备份执行过程中发生故障时报错或者报警能力；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d)支持数据库恢复发生故障时报错或者报警能力</w:t>
            </w:r>
          </w:p>
        </w:tc>
      </w:tr>
      <w:tr w14:paraId="6DC2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1775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5558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E4B1AA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88D7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★故障恢复</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BDD35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a)系统故障重启后能正常运行且支持数据一致性；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b)支持完全媒体故障恢复的能力；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c)提供基于时间点故障恢复功能</w:t>
            </w:r>
          </w:p>
        </w:tc>
      </w:tr>
      <w:tr w14:paraId="7DDD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9E8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1D8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性要求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4C2B6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05C0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★不同级别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故障可恢复</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9BFFF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支持数据库事务故障、系统故障、存储媒体故障不同级别的可恢复能力</w:t>
            </w:r>
          </w:p>
        </w:tc>
      </w:tr>
      <w:tr w14:paraId="4338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C69E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C2BF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05A8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软件兼容</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9005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云化部署</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2264F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持虚拟化部署或容器化部署等云化部署方式</w:t>
            </w:r>
          </w:p>
        </w:tc>
      </w:tr>
      <w:tr w14:paraId="5EB2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7241E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0A8C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35AD0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★硬件兼容</w:t>
            </w: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27B99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兼容</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08438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a)同源支持以下至少三种CPU平台架构：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1)ARM；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2)LoongArch；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3)MIPS；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4)SW64；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5)x86；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b)支持SMP和NUMA的运行环境</w:t>
            </w:r>
          </w:p>
        </w:tc>
      </w:tr>
      <w:tr w14:paraId="0B2B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5B2B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1719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4E7A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★标准兼容</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9665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★ODBC</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68E5D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支持ODBC</w:t>
            </w:r>
          </w:p>
        </w:tc>
      </w:tr>
      <w:tr w14:paraId="5649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2E0D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81B1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37F2CC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D28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★JDBC</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1D292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支持JDBC</w:t>
            </w:r>
          </w:p>
        </w:tc>
      </w:tr>
      <w:tr w14:paraId="7941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45BB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DE51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3B32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★交付方式</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483A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★交付方式</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FE121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以光盘、便携式移动设备、镜像文件、在线下载等交付方式提供产品交付物</w:t>
            </w:r>
          </w:p>
        </w:tc>
      </w:tr>
      <w:tr w14:paraId="1B92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BD0A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AC5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B18F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★服务周期</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5C93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周期</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4CAB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产品自发布之日起至产品停止功能升级（包含不限于新特性、新硬件支持、问题修复、安全补丁等）之日止≥5年</w:t>
            </w:r>
          </w:p>
        </w:tc>
      </w:tr>
      <w:tr w14:paraId="2F74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310CE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8030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425A82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E969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★产品延伸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服务周期</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EB62D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产品停止功能升级之日起至产品停止功能维护（包括问题修复、安全补丁等）之日止≥4年</w:t>
            </w:r>
          </w:p>
        </w:tc>
      </w:tr>
      <w:tr w14:paraId="5D43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8A89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D075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EB4B5C4">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CB6E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★产品延伸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安全服务周期</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BDFFC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产品功能维护停止之日起至产品停止安全维护（包括中高风险漏洞修复）之日止≥2年</w:t>
            </w:r>
          </w:p>
        </w:tc>
      </w:tr>
      <w:tr w14:paraId="6EEA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0113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8E76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F4831B7">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B14D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最小保障期</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459E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自销售之日起，产品售后服务周期≥6年</w:t>
            </w:r>
          </w:p>
        </w:tc>
      </w:tr>
      <w:tr w14:paraId="0963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CB4B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2C6A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C11E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★供应链与服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务保障</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0061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★供应链与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服务保障基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础要求</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5353D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a)提供多种形式支持服务，包含电话、电子邮件、远程连接等；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b)提供技术支持服务，支持同城4h、异地12h响应要求，两个工作日解决问题，对于未能解决的问题和故障提供可行的升级方案；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c)提供培训材料、产品手册、培训视频等培训相关内容；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d)建立全国技术服务体系和服务团队，符合专业服务体系标准要求，提供原厂中文服务；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e)服务周期内支持版本免费升级；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f)开源产品对获得的社区源代码进行安全性和知识产权审查与管理；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g)提供数据库参数、慢SQL语句的性能优化指南，包含性能优化的具体措施、技巧、案例及建议等</w:t>
            </w:r>
          </w:p>
        </w:tc>
      </w:tr>
      <w:tr w14:paraId="000A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688C2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5CFC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BA78FF6">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1F46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定制服务</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116E7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针对关键客户提供代码级定制优化服务</w:t>
            </w:r>
          </w:p>
        </w:tc>
      </w:tr>
      <w:tr w14:paraId="1BA2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5E3E6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AA9F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895C97F">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5D3E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驻场服务</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A9B7C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提供原厂团队驻场服务</w:t>
            </w:r>
          </w:p>
        </w:tc>
      </w:tr>
      <w:tr w14:paraId="29AC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26B3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D071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337551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623E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在线反馈</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FAE6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支持在线问题反馈</w:t>
            </w:r>
          </w:p>
        </w:tc>
      </w:tr>
      <w:tr w14:paraId="17BA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2D987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4041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DB4B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★基本要求</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8F80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★基本要求</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262C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数据库应当符合安全可靠测评要求</w:t>
            </w:r>
          </w:p>
        </w:tc>
      </w:tr>
      <w:tr w14:paraId="67A9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AFA2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80B5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C781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★基础安全</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5C65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安全架构</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402A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将系统管理员分为数据库管理员、数据库安全员和数据库审计员三种类型</w:t>
            </w:r>
          </w:p>
        </w:tc>
      </w:tr>
      <w:tr w14:paraId="08E8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6E4DC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FCF2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B55811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FD11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★漏洞管理</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731DB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建立漏洞管理机制，及时通过邮件、网站等方式将安全漏洞告知用户，并提供安全补丁对漏洞进行修复</w:t>
            </w:r>
          </w:p>
        </w:tc>
      </w:tr>
      <w:tr w14:paraId="3D47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ECFA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E79E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478D4E5D">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49D6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★身份鉴别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及访问控制</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71971E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提供身份鉴别及访问控制，加解密的密码要求符合GM/T0028的相关规定</w:t>
            </w:r>
          </w:p>
        </w:tc>
      </w:tr>
      <w:tr w14:paraId="5B1E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4FE83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CA4E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restar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B198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增强安全</w:t>
            </w: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BBFA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防篡改</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7A342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a)支持对指定的表开启防篡改能力，开启后，对重要数据的增、删、改操作，记录篡改校验信息，并提供篡改校验能力；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b)支持对指定的表开启追溯能力，开启后，对数据的变更具有全向追溯能力，能够记录数据变更的历史信息以及相应的操作记录</w:t>
            </w:r>
          </w:p>
        </w:tc>
      </w:tr>
      <w:tr w14:paraId="5549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0FE92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54357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A4127C3">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EA1A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全密态</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155B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支持全密态的等值、非等值查询能力</w:t>
            </w:r>
          </w:p>
        </w:tc>
      </w:tr>
      <w:tr w14:paraId="1823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13A91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3C8C1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585C720C">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6F1B1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安全扩展要求</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C49B3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支持自身数据的动态脱敏和透明加密</w:t>
            </w:r>
          </w:p>
        </w:tc>
      </w:tr>
      <w:tr w14:paraId="5142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888E93" w:sz="8" w:space="0"/>
              <w:right w:val="single" w:color="888E93" w:sz="8" w:space="0"/>
            </w:tcBorders>
            <w:shd w:val="clear" w:color="auto" w:fill="FFFFFF"/>
            <w:noWrap w:val="0"/>
            <w:vAlign w:val="center"/>
          </w:tcPr>
          <w:p w14:paraId="7F793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45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12BB5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FCD83EE">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2294D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闪回查询</w:t>
            </w:r>
          </w:p>
        </w:tc>
        <w:tc>
          <w:tcPr>
            <w:tcW w:w="2940" w:type="pct"/>
            <w:tcBorders>
              <w:top w:val="single" w:color="888E93" w:sz="8" w:space="0"/>
              <w:left w:val="single" w:color="888E93" w:sz="8" w:space="0"/>
              <w:bottom w:val="single" w:color="888E93" w:sz="8" w:space="0"/>
              <w:right w:val="single" w:color="888E93" w:sz="8" w:space="0"/>
            </w:tcBorders>
            <w:shd w:val="clear" w:color="auto" w:fill="FFFFFF"/>
            <w:noWrap w:val="0"/>
            <w:vAlign w:val="center"/>
          </w:tcPr>
          <w:p w14:paraId="064244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支持数据库闪回查询</w:t>
            </w:r>
          </w:p>
        </w:tc>
      </w:tr>
      <w:tr w14:paraId="57E8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888E93" w:sz="8" w:space="0"/>
              <w:left w:val="single" w:color="474747" w:sz="8" w:space="0"/>
              <w:bottom w:val="single" w:color="474747" w:sz="8" w:space="0"/>
              <w:right w:val="single" w:color="888E93" w:sz="8" w:space="0"/>
            </w:tcBorders>
            <w:shd w:val="clear" w:color="auto" w:fill="FFFFFF"/>
            <w:noWrap w:val="0"/>
            <w:vAlign w:val="center"/>
          </w:tcPr>
          <w:p w14:paraId="7DEC1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45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680A0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w:t>
            </w:r>
          </w:p>
        </w:tc>
        <w:tc>
          <w:tcPr>
            <w:tcW w:w="576" w:type="pct"/>
            <w:vMerge w:val="continue"/>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4DABEB70">
            <w:pPr>
              <w:jc w:val="center"/>
              <w:rPr>
                <w:rFonts w:hint="eastAsia" w:ascii="宋体" w:hAnsi="宋体" w:eastAsia="宋体" w:cs="宋体"/>
                <w:i w:val="0"/>
                <w:iCs w:val="0"/>
                <w:color w:val="000000"/>
                <w:sz w:val="21"/>
                <w:szCs w:val="21"/>
                <w:u w:val="none"/>
              </w:rPr>
            </w:pPr>
          </w:p>
        </w:tc>
        <w:tc>
          <w:tcPr>
            <w:tcW w:w="787"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7C240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闪回恢复</w:t>
            </w:r>
          </w:p>
        </w:tc>
        <w:tc>
          <w:tcPr>
            <w:tcW w:w="2940" w:type="pct"/>
            <w:tcBorders>
              <w:top w:val="single" w:color="888E93" w:sz="8" w:space="0"/>
              <w:left w:val="single" w:color="888E93" w:sz="8" w:space="0"/>
              <w:bottom w:val="single" w:color="474747" w:sz="8" w:space="0"/>
              <w:right w:val="single" w:color="888E93" w:sz="8" w:space="0"/>
            </w:tcBorders>
            <w:shd w:val="clear" w:color="auto" w:fill="FFFFFF"/>
            <w:noWrap w:val="0"/>
            <w:vAlign w:val="center"/>
          </w:tcPr>
          <w:p w14:paraId="1AA341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支持闪回查询实时恢复数据，支持不同级别（如库级、表级等）的闪回恢复</w:t>
            </w:r>
          </w:p>
        </w:tc>
      </w:tr>
    </w:tbl>
    <w:p w14:paraId="3ACDB716">
      <w:pPr>
        <w:pStyle w:val="6"/>
        <w:spacing w:line="360" w:lineRule="auto"/>
        <w:ind w:firstLine="0" w:firstLineChars="0"/>
        <w:contextualSpacing/>
        <w:rPr>
          <w:rFonts w:ascii="宋体" w:hAnsi="宋体" w:cs="宋体"/>
          <w:sz w:val="24"/>
          <w:szCs w:val="24"/>
        </w:rPr>
      </w:pPr>
    </w:p>
    <w:p w14:paraId="4369272D">
      <w:pPr>
        <w:spacing w:line="480" w:lineRule="exact"/>
        <w:contextualSpacing/>
        <w:rPr>
          <w:rFonts w:ascii="宋体" w:hAnsi="宋体" w:cs="宋体"/>
          <w:b/>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）应用服务器中间件软件要求</w:t>
      </w:r>
    </w:p>
    <w:tbl>
      <w:tblPr>
        <w:tblStyle w:val="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2026"/>
        <w:gridCol w:w="5596"/>
      </w:tblGrid>
      <w:tr w14:paraId="7D839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24" w:type="pct"/>
            <w:noWrap w:val="0"/>
            <w:vAlign w:val="center"/>
          </w:tcPr>
          <w:p w14:paraId="3E0F63FC">
            <w:pPr>
              <w:spacing w:line="276" w:lineRule="auto"/>
              <w:jc w:val="center"/>
              <w:rPr>
                <w:rFonts w:ascii="宋体" w:hAnsi="宋体" w:cs="宋体"/>
                <w:b/>
                <w:color w:val="000000"/>
                <w:szCs w:val="21"/>
                <w:highlight w:val="white"/>
              </w:rPr>
            </w:pPr>
            <w:r>
              <w:rPr>
                <w:rFonts w:hint="eastAsia" w:ascii="宋体" w:hAnsi="宋体" w:cs="宋体"/>
                <w:b/>
                <w:color w:val="000000"/>
                <w:szCs w:val="21"/>
                <w:highlight w:val="white"/>
              </w:rPr>
              <w:t>序号</w:t>
            </w:r>
          </w:p>
        </w:tc>
        <w:tc>
          <w:tcPr>
            <w:tcW w:w="1189" w:type="pct"/>
            <w:noWrap w:val="0"/>
            <w:vAlign w:val="center"/>
          </w:tcPr>
          <w:p w14:paraId="55D78A8D">
            <w:pPr>
              <w:spacing w:line="276" w:lineRule="auto"/>
              <w:jc w:val="center"/>
              <w:rPr>
                <w:rFonts w:ascii="宋体" w:hAnsi="宋体" w:cs="宋体"/>
                <w:b/>
                <w:color w:val="000000"/>
                <w:szCs w:val="21"/>
                <w:highlight w:val="white"/>
              </w:rPr>
            </w:pPr>
            <w:r>
              <w:rPr>
                <w:rFonts w:hint="eastAsia" w:ascii="宋体" w:hAnsi="宋体" w:cs="宋体"/>
                <w:b/>
                <w:color w:val="000000"/>
                <w:szCs w:val="21"/>
                <w:highlight w:val="white"/>
              </w:rPr>
              <w:t>分类</w:t>
            </w:r>
          </w:p>
        </w:tc>
        <w:tc>
          <w:tcPr>
            <w:tcW w:w="3285" w:type="pct"/>
            <w:noWrap w:val="0"/>
            <w:vAlign w:val="center"/>
          </w:tcPr>
          <w:p w14:paraId="7F14107B">
            <w:pPr>
              <w:spacing w:line="276" w:lineRule="auto"/>
              <w:jc w:val="center"/>
              <w:rPr>
                <w:rFonts w:ascii="宋体" w:hAnsi="宋体" w:cs="宋体"/>
                <w:b/>
                <w:color w:val="000000"/>
                <w:szCs w:val="21"/>
                <w:highlight w:val="white"/>
              </w:rPr>
            </w:pPr>
            <w:r>
              <w:rPr>
                <w:rFonts w:hint="eastAsia" w:ascii="宋体" w:hAnsi="宋体" w:cs="宋体"/>
                <w:b/>
                <w:color w:val="000000"/>
                <w:szCs w:val="21"/>
                <w:highlight w:val="white"/>
              </w:rPr>
              <w:t>技术要求</w:t>
            </w:r>
          </w:p>
        </w:tc>
      </w:tr>
      <w:tr w14:paraId="1DFB4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0" w:hRule="atLeast"/>
          <w:jc w:val="center"/>
        </w:trPr>
        <w:tc>
          <w:tcPr>
            <w:tcW w:w="524" w:type="pct"/>
            <w:noWrap w:val="0"/>
            <w:vAlign w:val="center"/>
          </w:tcPr>
          <w:p w14:paraId="4BAF1484">
            <w:pPr>
              <w:spacing w:line="276" w:lineRule="auto"/>
              <w:jc w:val="center"/>
              <w:rPr>
                <w:rFonts w:ascii="宋体" w:hAnsi="宋体" w:cs="宋体"/>
                <w:color w:val="000000"/>
                <w:szCs w:val="21"/>
              </w:rPr>
            </w:pPr>
            <w:r>
              <w:rPr>
                <w:rFonts w:hint="eastAsia" w:ascii="宋体" w:hAnsi="宋体" w:cs="宋体"/>
                <w:color w:val="000000"/>
                <w:szCs w:val="21"/>
              </w:rPr>
              <w:t>1</w:t>
            </w:r>
          </w:p>
        </w:tc>
        <w:tc>
          <w:tcPr>
            <w:tcW w:w="1189" w:type="pct"/>
            <w:vMerge w:val="restart"/>
            <w:noWrap w:val="0"/>
            <w:vAlign w:val="center"/>
          </w:tcPr>
          <w:p w14:paraId="11F2F180">
            <w:pPr>
              <w:widowControl/>
              <w:spacing w:line="276" w:lineRule="auto"/>
              <w:jc w:val="center"/>
              <w:rPr>
                <w:rFonts w:ascii="宋体" w:hAnsi="宋体" w:cs="宋体"/>
                <w:color w:val="000000"/>
                <w:szCs w:val="21"/>
              </w:rPr>
            </w:pPr>
            <w:r>
              <w:rPr>
                <w:rFonts w:hint="eastAsia" w:ascii="宋体" w:hAnsi="宋体" w:cs="宋体"/>
                <w:color w:val="000000"/>
                <w:szCs w:val="21"/>
              </w:rPr>
              <w:t>商务要求</w:t>
            </w:r>
          </w:p>
        </w:tc>
        <w:tc>
          <w:tcPr>
            <w:tcW w:w="3285" w:type="pct"/>
            <w:noWrap w:val="0"/>
            <w:vAlign w:val="center"/>
          </w:tcPr>
          <w:p w14:paraId="1DFE2C41">
            <w:pPr>
              <w:spacing w:line="360" w:lineRule="auto"/>
              <w:rPr>
                <w:rFonts w:hint="eastAsia" w:ascii="宋体" w:hAnsi="宋体" w:cs="宋体"/>
                <w:color w:val="000000"/>
                <w:szCs w:val="21"/>
              </w:rPr>
            </w:pPr>
            <w:r>
              <w:rPr>
                <w:rFonts w:hint="eastAsia" w:ascii="宋体" w:hAnsi="宋体" w:cs="宋体"/>
                <w:color w:val="000000"/>
                <w:szCs w:val="21"/>
              </w:rPr>
              <w:t>#供应商的信创综合服务解决方案须通过Q/KXY EDCC-XC/M-122-2024《信息技术应用创新综合服务能力成熟度模型》标准的检验，满足4级“优秀级”要求。提供中国信息通信研究院颁发的《信息技术应用创新综合服务能力成熟度检验证书》复印件。</w:t>
            </w:r>
          </w:p>
        </w:tc>
      </w:tr>
      <w:tr w14:paraId="314C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8" w:hRule="atLeast"/>
          <w:jc w:val="center"/>
        </w:trPr>
        <w:tc>
          <w:tcPr>
            <w:tcW w:w="524" w:type="pct"/>
            <w:noWrap w:val="0"/>
            <w:vAlign w:val="center"/>
          </w:tcPr>
          <w:p w14:paraId="055012C1">
            <w:pPr>
              <w:spacing w:line="276" w:lineRule="auto"/>
              <w:jc w:val="center"/>
              <w:rPr>
                <w:rFonts w:ascii="宋体" w:hAnsi="宋体" w:cs="宋体"/>
                <w:color w:val="000000"/>
                <w:szCs w:val="21"/>
              </w:rPr>
            </w:pPr>
            <w:r>
              <w:rPr>
                <w:rFonts w:hint="eastAsia" w:ascii="宋体" w:hAnsi="宋体" w:cs="宋体"/>
                <w:color w:val="000000"/>
                <w:szCs w:val="21"/>
              </w:rPr>
              <w:t>2</w:t>
            </w:r>
          </w:p>
        </w:tc>
        <w:tc>
          <w:tcPr>
            <w:tcW w:w="1189" w:type="pct"/>
            <w:vMerge w:val="continue"/>
            <w:noWrap w:val="0"/>
            <w:vAlign w:val="center"/>
          </w:tcPr>
          <w:p w14:paraId="34B0087D">
            <w:pPr>
              <w:widowControl/>
              <w:spacing w:line="276" w:lineRule="auto"/>
              <w:jc w:val="center"/>
              <w:rPr>
                <w:rFonts w:ascii="宋体" w:hAnsi="宋体" w:cs="宋体"/>
                <w:color w:val="000000"/>
                <w:szCs w:val="21"/>
              </w:rPr>
            </w:pPr>
          </w:p>
        </w:tc>
        <w:tc>
          <w:tcPr>
            <w:tcW w:w="3285" w:type="pct"/>
            <w:noWrap w:val="0"/>
            <w:vAlign w:val="center"/>
          </w:tcPr>
          <w:p w14:paraId="3408ECBF">
            <w:pPr>
              <w:spacing w:line="360" w:lineRule="auto"/>
              <w:rPr>
                <w:rFonts w:ascii="宋体" w:hAnsi="宋体" w:cs="宋体"/>
                <w:szCs w:val="21"/>
              </w:rPr>
            </w:pPr>
            <w:r>
              <w:rPr>
                <w:rFonts w:hint="eastAsia" w:ascii="宋体" w:hAnsi="宋体" w:cs="宋体"/>
                <w:color w:val="000000"/>
                <w:szCs w:val="21"/>
              </w:rPr>
              <w:t>#为适应业务需求，产品需通过Q/KXY MI002-2022《云原生能力成熟度模型 第五部分：中间件》的检验，并获得云原生中间件能力成熟度4级认证。需提供由中国信息通信研究院出具的《云原生中间件能力成熟度检验报告》，报告内容至少包括报告首页、检验关键内容页（含弹性、可移植性、可维护性、可观测性、高可用性、开放性、安全性等）以及检验结论。</w:t>
            </w:r>
          </w:p>
        </w:tc>
      </w:tr>
      <w:tr w14:paraId="1574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8" w:hRule="atLeast"/>
          <w:jc w:val="center"/>
        </w:trPr>
        <w:tc>
          <w:tcPr>
            <w:tcW w:w="524" w:type="pct"/>
            <w:noWrap w:val="0"/>
            <w:vAlign w:val="center"/>
          </w:tcPr>
          <w:p w14:paraId="6E14F96F">
            <w:pPr>
              <w:spacing w:line="276" w:lineRule="auto"/>
              <w:jc w:val="center"/>
              <w:rPr>
                <w:rFonts w:ascii="宋体" w:hAnsi="宋体" w:cs="宋体"/>
                <w:color w:val="000000"/>
                <w:szCs w:val="21"/>
              </w:rPr>
            </w:pPr>
            <w:r>
              <w:rPr>
                <w:rFonts w:hint="eastAsia" w:ascii="宋体" w:hAnsi="宋体" w:cs="宋体"/>
                <w:color w:val="000000"/>
                <w:szCs w:val="21"/>
              </w:rPr>
              <w:t>3</w:t>
            </w:r>
          </w:p>
        </w:tc>
        <w:tc>
          <w:tcPr>
            <w:tcW w:w="1189" w:type="pct"/>
            <w:vMerge w:val="continue"/>
            <w:noWrap w:val="0"/>
            <w:vAlign w:val="center"/>
          </w:tcPr>
          <w:p w14:paraId="0E0722B2">
            <w:pPr>
              <w:widowControl/>
              <w:spacing w:line="276" w:lineRule="auto"/>
              <w:jc w:val="center"/>
              <w:rPr>
                <w:rFonts w:ascii="宋体" w:hAnsi="宋体" w:cs="宋体"/>
                <w:color w:val="000000"/>
                <w:szCs w:val="21"/>
              </w:rPr>
            </w:pPr>
          </w:p>
        </w:tc>
        <w:tc>
          <w:tcPr>
            <w:tcW w:w="3285" w:type="pct"/>
            <w:noWrap w:val="0"/>
            <w:vAlign w:val="center"/>
          </w:tcPr>
          <w:p w14:paraId="0F64A768">
            <w:pPr>
              <w:spacing w:line="360" w:lineRule="auto"/>
              <w:rPr>
                <w:rFonts w:hint="eastAsia" w:ascii="宋体" w:hAnsi="宋体" w:cs="宋体"/>
                <w:color w:val="000000"/>
                <w:szCs w:val="21"/>
              </w:rPr>
            </w:pPr>
            <w:r>
              <w:rPr>
                <w:rFonts w:hint="eastAsia" w:ascii="宋体" w:hAnsi="宋体" w:cs="宋体"/>
                <w:color w:val="000000"/>
                <w:szCs w:val="21"/>
              </w:rPr>
              <w:t>#为确保中间件产品具备良好的运维生态支持，产品需通过</w:t>
            </w:r>
            <w:r>
              <w:rPr>
                <w:rFonts w:hint="eastAsia"/>
              </w:rPr>
              <w:t>国家认证（认可）的检测机构</w:t>
            </w:r>
            <w:r>
              <w:rPr>
                <w:rFonts w:hint="eastAsia" w:ascii="宋体" w:hAnsi="宋体" w:cs="宋体"/>
                <w:color w:val="000000"/>
                <w:szCs w:val="21"/>
              </w:rPr>
              <w:t>的检验认证，并符合Q/KXY MI001-2022《云原生平台中间件管理能力要求》的标准。同时，能力级别需达到“先进级”，并取得相应的《云原生平台中间件管理能力检验证书》。</w:t>
            </w:r>
          </w:p>
        </w:tc>
      </w:tr>
      <w:tr w14:paraId="34CD7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6" w:hRule="atLeast"/>
          <w:jc w:val="center"/>
        </w:trPr>
        <w:tc>
          <w:tcPr>
            <w:tcW w:w="524" w:type="pct"/>
            <w:noWrap w:val="0"/>
            <w:vAlign w:val="center"/>
          </w:tcPr>
          <w:p w14:paraId="0ACFAF6E">
            <w:pPr>
              <w:spacing w:line="276" w:lineRule="auto"/>
              <w:jc w:val="center"/>
              <w:rPr>
                <w:rFonts w:ascii="宋体" w:hAnsi="宋体" w:cs="宋体"/>
                <w:color w:val="000000"/>
                <w:szCs w:val="21"/>
              </w:rPr>
            </w:pPr>
            <w:r>
              <w:rPr>
                <w:rFonts w:hint="eastAsia" w:ascii="宋体" w:hAnsi="宋体" w:cs="宋体"/>
                <w:color w:val="000000"/>
                <w:szCs w:val="21"/>
              </w:rPr>
              <w:t>4</w:t>
            </w:r>
          </w:p>
        </w:tc>
        <w:tc>
          <w:tcPr>
            <w:tcW w:w="1189" w:type="pct"/>
            <w:vMerge w:val="continue"/>
            <w:noWrap w:val="0"/>
            <w:vAlign w:val="center"/>
          </w:tcPr>
          <w:p w14:paraId="51604AE5">
            <w:pPr>
              <w:widowControl/>
              <w:spacing w:line="276" w:lineRule="auto"/>
              <w:jc w:val="center"/>
              <w:rPr>
                <w:rFonts w:ascii="宋体" w:hAnsi="宋体" w:cs="宋体"/>
                <w:color w:val="000000"/>
                <w:szCs w:val="21"/>
              </w:rPr>
            </w:pPr>
          </w:p>
        </w:tc>
        <w:tc>
          <w:tcPr>
            <w:tcW w:w="3285" w:type="pct"/>
            <w:noWrap w:val="0"/>
            <w:vAlign w:val="center"/>
          </w:tcPr>
          <w:p w14:paraId="1926D7D2">
            <w:pPr>
              <w:spacing w:line="360" w:lineRule="auto"/>
              <w:rPr>
                <w:rFonts w:hint="eastAsia" w:ascii="宋体" w:hAnsi="宋体" w:cs="宋体"/>
                <w:color w:val="000000"/>
                <w:szCs w:val="21"/>
              </w:rPr>
            </w:pPr>
            <w:r>
              <w:rPr>
                <w:rFonts w:hint="eastAsia" w:ascii="宋体" w:hAnsi="宋体" w:cs="宋体"/>
                <w:color w:val="000000"/>
                <w:szCs w:val="21"/>
              </w:rPr>
              <w:t>#产品符合自主可控要求，为产品原厂商自主研发产品，非开源产品改造。提供第三方自研评估测试报告，证明产品为自主研发，至少包括报告首页、自研测试用例、测试结论等内容，测试结论包含“全部为自研代码”说明。</w:t>
            </w:r>
          </w:p>
        </w:tc>
      </w:tr>
      <w:tr w14:paraId="09E4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16CFF417">
            <w:pPr>
              <w:spacing w:line="276" w:lineRule="auto"/>
              <w:jc w:val="center"/>
              <w:rPr>
                <w:rFonts w:ascii="宋体" w:hAnsi="宋体" w:cs="宋体"/>
                <w:color w:val="000000"/>
                <w:szCs w:val="21"/>
              </w:rPr>
            </w:pPr>
            <w:r>
              <w:rPr>
                <w:rFonts w:hint="eastAsia" w:ascii="宋体" w:hAnsi="宋体" w:cs="宋体"/>
                <w:color w:val="000000"/>
                <w:szCs w:val="21"/>
              </w:rPr>
              <w:t>5</w:t>
            </w:r>
          </w:p>
        </w:tc>
        <w:tc>
          <w:tcPr>
            <w:tcW w:w="1189" w:type="pct"/>
            <w:vMerge w:val="continue"/>
            <w:noWrap w:val="0"/>
            <w:vAlign w:val="center"/>
          </w:tcPr>
          <w:p w14:paraId="40EAD55F">
            <w:pPr>
              <w:widowControl/>
              <w:spacing w:line="276" w:lineRule="auto"/>
              <w:jc w:val="center"/>
              <w:rPr>
                <w:rFonts w:ascii="宋体" w:hAnsi="宋体" w:cs="宋体"/>
                <w:color w:val="000000"/>
                <w:szCs w:val="21"/>
              </w:rPr>
            </w:pPr>
          </w:p>
        </w:tc>
        <w:tc>
          <w:tcPr>
            <w:tcW w:w="3285" w:type="pct"/>
            <w:noWrap w:val="0"/>
            <w:vAlign w:val="center"/>
          </w:tcPr>
          <w:p w14:paraId="7387C4E6">
            <w:pPr>
              <w:spacing w:line="360" w:lineRule="auto"/>
              <w:rPr>
                <w:rFonts w:ascii="宋体" w:hAnsi="宋体" w:cs="宋体"/>
                <w:szCs w:val="21"/>
              </w:rPr>
            </w:pPr>
            <w:r>
              <w:rPr>
                <w:rFonts w:hint="eastAsia" w:ascii="宋体" w:hAnsi="宋体" w:cs="宋体"/>
                <w:color w:val="000000"/>
                <w:szCs w:val="21"/>
              </w:rPr>
              <w:t>#所提供的应用服务器中间件产品符合GB/T22239-2019《信息安全技术网络安全等级保护测评要求》(四级)身份鉴别、访问控制、安全审计、入侵防范、数据完整性、数据保密性、数据备份恢复、剩余信息保护技术要求。需提供等级保护测评服务认证资质的第三方机构的测评报告，提供的报告关键页需包含上述内容证明。</w:t>
            </w:r>
          </w:p>
        </w:tc>
      </w:tr>
      <w:tr w14:paraId="51F0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1" w:hRule="atLeast"/>
          <w:jc w:val="center"/>
        </w:trPr>
        <w:tc>
          <w:tcPr>
            <w:tcW w:w="524" w:type="pct"/>
            <w:noWrap w:val="0"/>
            <w:vAlign w:val="center"/>
          </w:tcPr>
          <w:p w14:paraId="517754CC">
            <w:pPr>
              <w:spacing w:line="276"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1189" w:type="pct"/>
            <w:noWrap w:val="0"/>
            <w:vAlign w:val="center"/>
          </w:tcPr>
          <w:p w14:paraId="3F9E01C5">
            <w:pPr>
              <w:widowControl/>
              <w:spacing w:line="276" w:lineRule="auto"/>
              <w:jc w:val="center"/>
              <w:rPr>
                <w:rFonts w:ascii="宋体" w:hAnsi="宋体" w:cs="宋体"/>
                <w:color w:val="000000"/>
                <w:szCs w:val="21"/>
              </w:rPr>
            </w:pPr>
          </w:p>
        </w:tc>
        <w:tc>
          <w:tcPr>
            <w:tcW w:w="3285" w:type="pct"/>
            <w:noWrap w:val="0"/>
            <w:vAlign w:val="center"/>
          </w:tcPr>
          <w:p w14:paraId="321C97B0">
            <w:pPr>
              <w:spacing w:line="360" w:lineRule="auto"/>
              <w:rPr>
                <w:rFonts w:hint="default" w:ascii="宋体" w:hAnsi="宋体" w:cs="宋体"/>
                <w:color w:val="000000"/>
                <w:szCs w:val="21"/>
                <w:lang w:val="en-US"/>
              </w:rPr>
            </w:pPr>
            <w:r>
              <w:rPr>
                <w:rFonts w:hint="eastAsia" w:ascii="宋体" w:hAnsi="宋体" w:cs="宋体"/>
                <w:color w:val="000000"/>
                <w:szCs w:val="21"/>
              </w:rPr>
              <w:t>#</w:t>
            </w:r>
            <w:r>
              <w:rPr>
                <w:rFonts w:hint="eastAsia" w:ascii="宋体" w:hAnsi="宋体" w:cs="宋体"/>
                <w:color w:val="000000"/>
                <w:szCs w:val="21"/>
                <w:lang w:val="en-US" w:eastAsia="zh-CN"/>
              </w:rPr>
              <w:t>本次投标中间产品，要求1个中间件授权可支持运行7个微服务。</w:t>
            </w:r>
          </w:p>
        </w:tc>
      </w:tr>
      <w:tr w14:paraId="2BB5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6C1A3F54">
            <w:pPr>
              <w:spacing w:line="276"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189" w:type="pct"/>
            <w:vMerge w:val="restart"/>
            <w:noWrap w:val="0"/>
            <w:vAlign w:val="center"/>
          </w:tcPr>
          <w:p w14:paraId="71B6E054">
            <w:pPr>
              <w:widowControl/>
              <w:spacing w:line="276" w:lineRule="auto"/>
              <w:jc w:val="center"/>
              <w:rPr>
                <w:rFonts w:ascii="宋体" w:hAnsi="宋体" w:cs="宋体"/>
                <w:color w:val="000000"/>
                <w:szCs w:val="21"/>
              </w:rPr>
            </w:pPr>
            <w:r>
              <w:rPr>
                <w:rFonts w:hint="eastAsia" w:ascii="宋体" w:hAnsi="宋体" w:cs="宋体"/>
                <w:color w:val="000000"/>
                <w:szCs w:val="21"/>
              </w:rPr>
              <w:t>功能要求</w:t>
            </w:r>
          </w:p>
        </w:tc>
        <w:tc>
          <w:tcPr>
            <w:tcW w:w="3285" w:type="pct"/>
            <w:noWrap w:val="0"/>
            <w:vAlign w:val="center"/>
          </w:tcPr>
          <w:p w14:paraId="739266DD">
            <w:pPr>
              <w:spacing w:line="360" w:lineRule="auto"/>
              <w:rPr>
                <w:rFonts w:hint="eastAsia" w:ascii="宋体" w:hAnsi="宋体" w:cs="宋体"/>
                <w:color w:val="000000"/>
                <w:szCs w:val="21"/>
              </w:rPr>
            </w:pPr>
            <w:r>
              <w:rPr>
                <w:rFonts w:hint="eastAsia" w:ascii="宋体" w:hAnsi="宋体" w:cs="宋体"/>
                <w:color w:val="000000"/>
                <w:szCs w:val="21"/>
              </w:rPr>
              <w:t>#应用服务器中间件需遵循JavaEE标准规范，通过JavaEE 7、JavaEE 8、JakartaEE 9.0、JakartaEE 9.1、JakartaEE 10标准认证，逐个提供JAVA官方网站的链接和截图证明。</w:t>
            </w:r>
          </w:p>
        </w:tc>
      </w:tr>
      <w:tr w14:paraId="09DBE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524" w:type="pct"/>
            <w:noWrap w:val="0"/>
            <w:vAlign w:val="center"/>
          </w:tcPr>
          <w:p w14:paraId="7FD48593">
            <w:pPr>
              <w:spacing w:line="276"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189" w:type="pct"/>
            <w:vMerge w:val="continue"/>
            <w:noWrap w:val="0"/>
            <w:vAlign w:val="center"/>
          </w:tcPr>
          <w:p w14:paraId="517C5DD9">
            <w:pPr>
              <w:widowControl/>
              <w:spacing w:line="276" w:lineRule="auto"/>
              <w:jc w:val="center"/>
              <w:rPr>
                <w:rFonts w:ascii="宋体" w:hAnsi="宋体" w:cs="宋体"/>
                <w:color w:val="000000"/>
                <w:szCs w:val="21"/>
              </w:rPr>
            </w:pPr>
          </w:p>
        </w:tc>
        <w:tc>
          <w:tcPr>
            <w:tcW w:w="3285" w:type="pct"/>
            <w:noWrap w:val="0"/>
            <w:vAlign w:val="center"/>
          </w:tcPr>
          <w:p w14:paraId="38087DFA">
            <w:pPr>
              <w:spacing w:line="360" w:lineRule="auto"/>
              <w:rPr>
                <w:rFonts w:hint="eastAsia" w:ascii="宋体" w:hAnsi="宋体" w:cs="宋体"/>
                <w:color w:val="000000"/>
                <w:szCs w:val="21"/>
              </w:rPr>
            </w:pPr>
            <w:r>
              <w:rPr>
                <w:rFonts w:hint="eastAsia" w:ascii="宋体" w:hAnsi="宋体" w:cs="宋体"/>
                <w:color w:val="000000"/>
                <w:szCs w:val="21"/>
              </w:rPr>
              <w:t>#中间件产品提供适合PaaS平台部署的轻量级产品，提供支持SpringBoot内嵌中间件版本，支持SpringBoot1.x版本、SpringBoot2.x版本、SpringBoot3.x版本。提供5年以上中间件轻量级版本软件著作权证明。</w:t>
            </w:r>
          </w:p>
        </w:tc>
      </w:tr>
      <w:tr w14:paraId="5972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24F21399">
            <w:pPr>
              <w:spacing w:line="276"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1189" w:type="pct"/>
            <w:vMerge w:val="continue"/>
            <w:noWrap w:val="0"/>
            <w:vAlign w:val="center"/>
          </w:tcPr>
          <w:p w14:paraId="54DDBCE1">
            <w:pPr>
              <w:widowControl/>
              <w:spacing w:line="276" w:lineRule="auto"/>
              <w:jc w:val="center"/>
              <w:rPr>
                <w:rFonts w:ascii="宋体" w:hAnsi="宋体" w:cs="宋体"/>
                <w:color w:val="000000"/>
                <w:szCs w:val="21"/>
              </w:rPr>
            </w:pPr>
          </w:p>
        </w:tc>
        <w:tc>
          <w:tcPr>
            <w:tcW w:w="3285" w:type="pct"/>
            <w:noWrap w:val="0"/>
            <w:vAlign w:val="center"/>
          </w:tcPr>
          <w:p w14:paraId="4412B9A8">
            <w:pPr>
              <w:spacing w:line="360" w:lineRule="auto"/>
              <w:rPr>
                <w:rFonts w:hint="eastAsia" w:ascii="宋体" w:hAnsi="宋体" w:cs="宋体"/>
                <w:color w:val="000000"/>
                <w:szCs w:val="21"/>
              </w:rPr>
            </w:pPr>
            <w:r>
              <w:rPr>
                <w:rFonts w:hint="eastAsia" w:ascii="宋体" w:hAnsi="宋体" w:cs="宋体"/>
                <w:color w:val="000000"/>
                <w:szCs w:val="21"/>
              </w:rPr>
              <w:t>支持国产化环境，如飞腾、龙芯、鲲鹏、海光、申威、兆芯等平台及麒麟、统信、中科方德等国产操作系统。支持国产数据库，如：神州通用、达梦、人大金仓、华为GaussDB、瀚高数据库等国产数据库，提供兼容互认证书。</w:t>
            </w:r>
          </w:p>
        </w:tc>
      </w:tr>
      <w:tr w14:paraId="5DAE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0D189A1A">
            <w:pPr>
              <w:spacing w:line="276"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1189" w:type="pct"/>
            <w:vMerge w:val="continue"/>
            <w:noWrap w:val="0"/>
            <w:vAlign w:val="center"/>
          </w:tcPr>
          <w:p w14:paraId="063C9FDC">
            <w:pPr>
              <w:widowControl/>
              <w:spacing w:line="276" w:lineRule="auto"/>
              <w:jc w:val="center"/>
              <w:rPr>
                <w:rFonts w:ascii="宋体" w:hAnsi="宋体" w:cs="宋体"/>
                <w:color w:val="000000"/>
                <w:szCs w:val="21"/>
              </w:rPr>
            </w:pPr>
          </w:p>
        </w:tc>
        <w:tc>
          <w:tcPr>
            <w:tcW w:w="3285" w:type="pct"/>
            <w:noWrap w:val="0"/>
            <w:vAlign w:val="center"/>
          </w:tcPr>
          <w:p w14:paraId="6EDFB353">
            <w:pPr>
              <w:spacing w:line="360" w:lineRule="auto"/>
              <w:rPr>
                <w:rFonts w:hint="eastAsia" w:ascii="宋体" w:hAnsi="宋体" w:cs="宋体"/>
                <w:color w:val="000000"/>
                <w:szCs w:val="21"/>
              </w:rPr>
            </w:pPr>
            <w:r>
              <w:rPr>
                <w:rFonts w:hint="eastAsia" w:ascii="宋体" w:hAnsi="宋体" w:cs="宋体"/>
                <w:color w:val="000000"/>
                <w:szCs w:val="21"/>
              </w:rPr>
              <w:t>#产品标准和技术要求符合GM/T 0028《密码模块安全技术要求》第二级或以上要求并提供国家密码管理局商用密码检测中心颁发的商用密码产品认证证书，提供商用密码产品认证证书。</w:t>
            </w:r>
          </w:p>
        </w:tc>
      </w:tr>
      <w:tr w14:paraId="21E64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71C4CE6C">
            <w:pPr>
              <w:spacing w:line="276"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w:t>
            </w:r>
          </w:p>
        </w:tc>
        <w:tc>
          <w:tcPr>
            <w:tcW w:w="1189" w:type="pct"/>
            <w:noWrap w:val="0"/>
            <w:vAlign w:val="center"/>
          </w:tcPr>
          <w:p w14:paraId="1718BF39">
            <w:pPr>
              <w:widowControl/>
              <w:spacing w:line="276" w:lineRule="auto"/>
              <w:jc w:val="center"/>
              <w:rPr>
                <w:rFonts w:ascii="宋体" w:hAnsi="宋体" w:cs="宋体"/>
                <w:color w:val="000000"/>
                <w:szCs w:val="21"/>
              </w:rPr>
            </w:pPr>
            <w:r>
              <w:rPr>
                <w:rFonts w:hint="eastAsia" w:ascii="宋体" w:hAnsi="宋体" w:cs="宋体"/>
                <w:color w:val="000000"/>
                <w:szCs w:val="21"/>
              </w:rPr>
              <w:t>安全要求</w:t>
            </w:r>
          </w:p>
        </w:tc>
        <w:tc>
          <w:tcPr>
            <w:tcW w:w="3285" w:type="pct"/>
            <w:noWrap w:val="0"/>
            <w:vAlign w:val="center"/>
          </w:tcPr>
          <w:p w14:paraId="77C84D20">
            <w:pPr>
              <w:spacing w:line="360" w:lineRule="auto"/>
              <w:rPr>
                <w:rFonts w:hint="eastAsia" w:ascii="宋体" w:hAnsi="宋体" w:cs="宋体"/>
                <w:color w:val="000000"/>
                <w:szCs w:val="21"/>
              </w:rPr>
            </w:pPr>
            <w:r>
              <w:rPr>
                <w:rFonts w:hint="eastAsia" w:ascii="宋体" w:hAnsi="宋体" w:cs="宋体"/>
                <w:color w:val="000000"/>
                <w:szCs w:val="21"/>
              </w:rPr>
              <w:t>为保障产品安全性，应对产品进行安全功能测试和渗透测试，提供第三方权威机构出具的安全测试报告《应用安全测试报告》。为确保测试全面，安全检测应覆盖SQL注入、XSS跨站、访问控制、身份验证、逻辑型漏洞、敏感信息泄漏、文件操作、安全配置漏洞、会话管理、接口参数、端口测试等几个方面的测试指标。提供的报告关键页需包含上述内容证明。</w:t>
            </w:r>
          </w:p>
        </w:tc>
      </w:tr>
      <w:tr w14:paraId="5428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5A2717D1">
            <w:pPr>
              <w:spacing w:line="276"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1189" w:type="pct"/>
            <w:vMerge w:val="restart"/>
            <w:noWrap w:val="0"/>
            <w:vAlign w:val="center"/>
          </w:tcPr>
          <w:p w14:paraId="4614EBAD">
            <w:pPr>
              <w:widowControl/>
              <w:spacing w:line="276" w:lineRule="auto"/>
              <w:jc w:val="center"/>
              <w:rPr>
                <w:rFonts w:ascii="宋体" w:hAnsi="宋体" w:cs="宋体"/>
                <w:color w:val="000000"/>
                <w:szCs w:val="21"/>
              </w:rPr>
            </w:pPr>
            <w:r>
              <w:rPr>
                <w:rFonts w:hint="eastAsia" w:ascii="宋体" w:hAnsi="宋体" w:cs="宋体"/>
                <w:color w:val="000000"/>
                <w:szCs w:val="21"/>
              </w:rPr>
              <w:t>性能要求</w:t>
            </w:r>
          </w:p>
        </w:tc>
        <w:tc>
          <w:tcPr>
            <w:tcW w:w="3285" w:type="pct"/>
            <w:noWrap w:val="0"/>
            <w:vAlign w:val="center"/>
          </w:tcPr>
          <w:p w14:paraId="7108ACDB">
            <w:pPr>
              <w:spacing w:line="360" w:lineRule="auto"/>
              <w:rPr>
                <w:rFonts w:hint="eastAsia" w:ascii="宋体" w:hAnsi="宋体" w:cs="宋体"/>
                <w:color w:val="000000"/>
                <w:szCs w:val="21"/>
              </w:rPr>
            </w:pPr>
            <w:r>
              <w:rPr>
                <w:rFonts w:hint="eastAsia" w:ascii="宋体" w:hAnsi="宋体" w:cs="宋体"/>
                <w:color w:val="000000"/>
                <w:szCs w:val="21"/>
              </w:rPr>
              <w:t>#为保证系统稳定运行，提供在全国产环境下满足至少五十万在线用户访问能力，平均响应时间低于300毫秒，事务通过率≥98%。提供权威第三方测评机构出具的测试报告证明。</w:t>
            </w:r>
          </w:p>
        </w:tc>
      </w:tr>
      <w:tr w14:paraId="0E70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jc w:val="center"/>
        </w:trPr>
        <w:tc>
          <w:tcPr>
            <w:tcW w:w="524" w:type="pct"/>
            <w:noWrap w:val="0"/>
            <w:vAlign w:val="center"/>
          </w:tcPr>
          <w:p w14:paraId="4FC0CE09">
            <w:pPr>
              <w:spacing w:line="276"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w:t>
            </w:r>
          </w:p>
        </w:tc>
        <w:tc>
          <w:tcPr>
            <w:tcW w:w="1189" w:type="pct"/>
            <w:vMerge w:val="continue"/>
            <w:noWrap w:val="0"/>
            <w:vAlign w:val="center"/>
          </w:tcPr>
          <w:p w14:paraId="1E29A422">
            <w:pPr>
              <w:widowControl/>
              <w:spacing w:line="276" w:lineRule="auto"/>
              <w:jc w:val="center"/>
              <w:rPr>
                <w:rFonts w:ascii="宋体" w:hAnsi="宋体" w:cs="宋体"/>
                <w:color w:val="000000"/>
                <w:szCs w:val="21"/>
              </w:rPr>
            </w:pPr>
          </w:p>
        </w:tc>
        <w:tc>
          <w:tcPr>
            <w:tcW w:w="3285" w:type="pct"/>
            <w:noWrap w:val="0"/>
            <w:vAlign w:val="center"/>
          </w:tcPr>
          <w:p w14:paraId="01D0A8E4">
            <w:pPr>
              <w:spacing w:line="360" w:lineRule="auto"/>
              <w:rPr>
                <w:rFonts w:hint="eastAsia" w:ascii="宋体" w:hAnsi="宋体" w:cs="宋体"/>
                <w:color w:val="000000"/>
                <w:szCs w:val="21"/>
              </w:rPr>
            </w:pPr>
            <w:r>
              <w:rPr>
                <w:rFonts w:hint="eastAsia" w:ascii="宋体" w:hAnsi="宋体" w:cs="宋体"/>
                <w:color w:val="000000"/>
                <w:szCs w:val="21"/>
              </w:rPr>
              <w:t>需要具备传统环境(非容器)和容器环境生产案例，在单用户同时实现非容器环境150台服务器以上、容器环境8000个Pod节点以上规模，须出具应用证明。</w:t>
            </w:r>
          </w:p>
        </w:tc>
      </w:tr>
    </w:tbl>
    <w:p w14:paraId="2D10C0F8">
      <w:pPr>
        <w:pStyle w:val="3"/>
        <w:rPr>
          <w:rFonts w:ascii="宋体" w:hAnsi="宋体"/>
        </w:rPr>
      </w:pPr>
    </w:p>
    <w:p w14:paraId="45A5E992">
      <w:pPr>
        <w:pStyle w:val="6"/>
        <w:numPr>
          <w:ilvl w:val="0"/>
          <w:numId w:val="2"/>
        </w:numPr>
        <w:spacing w:line="360" w:lineRule="auto"/>
        <w:ind w:firstLine="480" w:firstLineChars="0"/>
        <w:contextualSpacing/>
        <w:rPr>
          <w:rFonts w:ascii="宋体" w:hAnsi="宋体" w:cs="宋体"/>
          <w:b/>
          <w:sz w:val="24"/>
          <w:szCs w:val="24"/>
        </w:rPr>
      </w:pPr>
      <w:r>
        <w:rPr>
          <w:rFonts w:hint="eastAsia" w:ascii="宋体" w:hAnsi="宋体" w:cs="宋体"/>
          <w:b/>
          <w:sz w:val="24"/>
          <w:szCs w:val="24"/>
        </w:rPr>
        <w:t>文档中台软件（轻阅读软件）要求</w:t>
      </w:r>
    </w:p>
    <w:tbl>
      <w:tblPr>
        <w:tblStyle w:val="4"/>
        <w:tblW w:w="4998" w:type="pct"/>
        <w:tblInd w:w="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Layout w:type="autofit"/>
        <w:tblCellMar>
          <w:top w:w="0" w:type="dxa"/>
          <w:left w:w="108" w:type="dxa"/>
          <w:bottom w:w="0" w:type="dxa"/>
          <w:right w:w="108" w:type="dxa"/>
        </w:tblCellMar>
      </w:tblPr>
      <w:tblGrid>
        <w:gridCol w:w="881"/>
        <w:gridCol w:w="2028"/>
        <w:gridCol w:w="5610"/>
      </w:tblGrid>
      <w:tr w14:paraId="7D2A4BAC">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429"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16FE72A4">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57A8A58E">
            <w:pPr>
              <w:widowControl/>
              <w:jc w:val="center"/>
              <w:rPr>
                <w:rFonts w:ascii="宋体" w:hAnsi="宋体" w:cs="宋体"/>
                <w:b/>
                <w:bCs/>
                <w:color w:val="000000"/>
                <w:kern w:val="0"/>
                <w:szCs w:val="21"/>
              </w:rPr>
            </w:pPr>
            <w:r>
              <w:rPr>
                <w:rFonts w:hint="eastAsia" w:ascii="宋体" w:hAnsi="宋体" w:cs="宋体"/>
                <w:b/>
                <w:bCs/>
                <w:color w:val="000000"/>
                <w:kern w:val="0"/>
                <w:szCs w:val="21"/>
              </w:rPr>
              <w:t>分类</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70B5DA6E">
            <w:pPr>
              <w:widowControl/>
              <w:jc w:val="center"/>
              <w:rPr>
                <w:rFonts w:ascii="宋体" w:hAnsi="宋体" w:cs="宋体"/>
                <w:b/>
                <w:bCs/>
                <w:color w:val="000000"/>
                <w:kern w:val="0"/>
                <w:szCs w:val="21"/>
              </w:rPr>
            </w:pPr>
            <w:r>
              <w:rPr>
                <w:rFonts w:hint="eastAsia" w:ascii="宋体" w:hAnsi="宋体" w:cs="宋体"/>
                <w:b/>
                <w:bCs/>
                <w:color w:val="000000"/>
                <w:kern w:val="0"/>
                <w:szCs w:val="21"/>
              </w:rPr>
              <w:t>技术要求</w:t>
            </w:r>
          </w:p>
        </w:tc>
      </w:tr>
      <w:tr w14:paraId="36E0BBAD">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1E306644">
            <w:pPr>
              <w:spacing w:line="276" w:lineRule="auto"/>
              <w:jc w:val="center"/>
              <w:rPr>
                <w:rFonts w:ascii="宋体" w:hAnsi="宋体" w:cs="宋体"/>
                <w:color w:val="000000"/>
                <w:szCs w:val="21"/>
              </w:rPr>
            </w:pPr>
            <w:r>
              <w:rPr>
                <w:rFonts w:hint="eastAsia" w:ascii="宋体" w:hAnsi="宋体" w:cs="宋体"/>
                <w:color w:val="000000"/>
                <w:szCs w:val="21"/>
              </w:rPr>
              <w:t>1</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0551B3E0">
            <w:pPr>
              <w:spacing w:line="276" w:lineRule="auto"/>
              <w:jc w:val="center"/>
              <w:rPr>
                <w:rFonts w:ascii="宋体" w:hAnsi="宋体" w:cs="宋体"/>
                <w:color w:val="000000"/>
                <w:szCs w:val="21"/>
              </w:rPr>
            </w:pPr>
            <w:r>
              <w:rPr>
                <w:rFonts w:hint="eastAsia" w:ascii="宋体" w:hAnsi="宋体" w:cs="宋体"/>
                <w:color w:val="000000"/>
                <w:szCs w:val="21"/>
              </w:rPr>
              <w:t>多格式阅览</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171D2E02">
            <w:pPr>
              <w:spacing w:line="360" w:lineRule="auto"/>
              <w:rPr>
                <w:rFonts w:hint="eastAsia" w:ascii="宋体" w:hAnsi="宋体" w:cs="宋体"/>
                <w:color w:val="000000"/>
                <w:szCs w:val="21"/>
              </w:rPr>
            </w:pPr>
            <w:r>
              <w:rPr>
                <w:rFonts w:hint="eastAsia" w:ascii="宋体" w:hAnsi="宋体" w:cs="宋体"/>
                <w:color w:val="000000"/>
                <w:szCs w:val="21"/>
              </w:rPr>
              <w:t>#支持OFD/PDF等版式文件、OFD/PDF文件流、OFFICE/WPS系列文档、图片、网页、文本文件、压缩包、音视频等多格式文档跨平台、跨浏览器的无插件快速阅览功能，支持非加密文档和加密文档。</w:t>
            </w:r>
          </w:p>
        </w:tc>
      </w:tr>
      <w:tr w14:paraId="6DBBA674">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5959DA0F">
            <w:pPr>
              <w:spacing w:line="276" w:lineRule="auto"/>
              <w:jc w:val="center"/>
              <w:rPr>
                <w:rFonts w:ascii="宋体" w:hAnsi="宋体" w:cs="宋体"/>
                <w:color w:val="000000"/>
                <w:szCs w:val="21"/>
              </w:rPr>
            </w:pPr>
            <w:r>
              <w:rPr>
                <w:rFonts w:hint="eastAsia" w:ascii="宋体" w:hAnsi="宋体" w:cs="宋体"/>
                <w:color w:val="000000"/>
                <w:szCs w:val="21"/>
              </w:rPr>
              <w:t>2</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79B64853">
            <w:pPr>
              <w:spacing w:line="276" w:lineRule="auto"/>
              <w:jc w:val="center"/>
              <w:rPr>
                <w:rFonts w:ascii="宋体" w:hAnsi="宋体" w:cs="宋体"/>
                <w:color w:val="000000"/>
                <w:szCs w:val="21"/>
              </w:rPr>
            </w:pPr>
            <w:r>
              <w:rPr>
                <w:rFonts w:hint="eastAsia" w:ascii="宋体" w:hAnsi="宋体" w:cs="宋体"/>
                <w:color w:val="000000"/>
                <w:szCs w:val="21"/>
              </w:rPr>
              <w:t>文件阅读</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39E05F0D">
            <w:pPr>
              <w:spacing w:line="360" w:lineRule="auto"/>
              <w:rPr>
                <w:rFonts w:hint="eastAsia" w:ascii="宋体" w:hAnsi="宋体" w:cs="宋体"/>
                <w:color w:val="000000"/>
                <w:szCs w:val="21"/>
              </w:rPr>
            </w:pPr>
            <w:r>
              <w:rPr>
                <w:rFonts w:hint="eastAsia" w:ascii="宋体" w:hAnsi="宋体" w:cs="宋体"/>
                <w:color w:val="000000"/>
                <w:szCs w:val="21"/>
              </w:rPr>
              <w:t>#支持文件内容选择与复制，支持翻页、缩放、跳转、全屏操作，包括版式文件的缩略图、目录、语义、书签、注释、数字签名和附件导览功能。</w:t>
            </w:r>
          </w:p>
        </w:tc>
      </w:tr>
      <w:tr w14:paraId="01F17B17">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7EFA6087">
            <w:pPr>
              <w:spacing w:line="276" w:lineRule="auto"/>
              <w:jc w:val="center"/>
              <w:rPr>
                <w:rFonts w:ascii="宋体" w:hAnsi="宋体" w:cs="宋体"/>
                <w:color w:val="000000"/>
                <w:szCs w:val="21"/>
              </w:rPr>
            </w:pPr>
            <w:r>
              <w:rPr>
                <w:rFonts w:hint="eastAsia" w:ascii="宋体" w:hAnsi="宋体" w:cs="宋体"/>
                <w:color w:val="000000"/>
                <w:szCs w:val="21"/>
              </w:rPr>
              <w:t>3</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3C218685">
            <w:pPr>
              <w:spacing w:line="276" w:lineRule="auto"/>
              <w:jc w:val="center"/>
              <w:rPr>
                <w:rFonts w:ascii="宋体" w:hAnsi="宋体" w:cs="宋体"/>
                <w:color w:val="000000"/>
                <w:szCs w:val="21"/>
              </w:rPr>
            </w:pPr>
            <w:r>
              <w:rPr>
                <w:rFonts w:hint="eastAsia" w:ascii="宋体" w:hAnsi="宋体" w:cs="宋体"/>
                <w:color w:val="000000"/>
                <w:szCs w:val="21"/>
              </w:rPr>
              <w:t>文档编辑</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7BE17D35">
            <w:pPr>
              <w:spacing w:line="360" w:lineRule="auto"/>
              <w:rPr>
                <w:rFonts w:hint="eastAsia" w:ascii="宋体" w:hAnsi="宋体" w:cs="宋体"/>
                <w:color w:val="000000"/>
                <w:szCs w:val="21"/>
              </w:rPr>
            </w:pPr>
            <w:r>
              <w:rPr>
                <w:rFonts w:hint="eastAsia" w:ascii="宋体" w:hAnsi="宋体" w:cs="宋体"/>
                <w:color w:val="000000"/>
                <w:szCs w:val="21"/>
              </w:rPr>
              <w:t>#支持OFD版式文档的图文注释、批注修订、手写签批功能，提供签字笔（粗、细）、软笔（粗、中、细）、字迹颜色配置选项，提供橡皮擦功能，提供功能截图和国家级第三方检测机构出具的测试报告。</w:t>
            </w:r>
          </w:p>
        </w:tc>
      </w:tr>
      <w:tr w14:paraId="6E4F0802">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29F21EC1">
            <w:pPr>
              <w:spacing w:line="276" w:lineRule="auto"/>
              <w:jc w:val="center"/>
              <w:rPr>
                <w:rFonts w:ascii="宋体" w:hAnsi="宋体" w:cs="宋体"/>
                <w:color w:val="000000"/>
                <w:szCs w:val="21"/>
              </w:rPr>
            </w:pPr>
            <w:r>
              <w:rPr>
                <w:rFonts w:hint="eastAsia" w:ascii="宋体" w:hAnsi="宋体" w:cs="宋体"/>
                <w:color w:val="000000"/>
                <w:szCs w:val="21"/>
              </w:rPr>
              <w:t>4</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55728D65">
            <w:pPr>
              <w:spacing w:line="276" w:lineRule="auto"/>
              <w:jc w:val="center"/>
              <w:rPr>
                <w:rFonts w:ascii="宋体" w:hAnsi="宋体" w:cs="宋体"/>
                <w:color w:val="000000"/>
                <w:szCs w:val="21"/>
              </w:rPr>
            </w:pPr>
            <w:r>
              <w:rPr>
                <w:rFonts w:hint="eastAsia" w:ascii="宋体" w:hAnsi="宋体" w:cs="宋体"/>
                <w:color w:val="000000"/>
                <w:szCs w:val="21"/>
              </w:rPr>
              <w:t>安全管控</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050E30F4">
            <w:pPr>
              <w:spacing w:line="360" w:lineRule="auto"/>
              <w:rPr>
                <w:rFonts w:hint="eastAsia" w:ascii="宋体" w:hAnsi="宋体" w:cs="宋体"/>
                <w:color w:val="000000"/>
                <w:szCs w:val="21"/>
              </w:rPr>
            </w:pPr>
            <w:r>
              <w:rPr>
                <w:rFonts w:hint="eastAsia" w:ascii="宋体" w:hAnsi="宋体" w:cs="宋体"/>
                <w:color w:val="000000"/>
                <w:szCs w:val="21"/>
              </w:rPr>
              <w:t>#提供安全下载、文档水印、分页授权、权限管理、信息脱敏以及参数保护等安全机制保障文件安全使用。</w:t>
            </w:r>
          </w:p>
        </w:tc>
      </w:tr>
      <w:tr w14:paraId="07E9F8C3">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48473296">
            <w:pPr>
              <w:spacing w:line="276" w:lineRule="auto"/>
              <w:jc w:val="center"/>
              <w:rPr>
                <w:rFonts w:ascii="宋体" w:hAnsi="宋体" w:cs="宋体"/>
                <w:color w:val="000000"/>
                <w:szCs w:val="21"/>
              </w:rPr>
            </w:pPr>
            <w:r>
              <w:rPr>
                <w:rFonts w:hint="eastAsia" w:ascii="宋体" w:hAnsi="宋体" w:cs="宋体"/>
                <w:color w:val="000000"/>
                <w:szCs w:val="21"/>
              </w:rPr>
              <w:t>5</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79AE1E3E">
            <w:pPr>
              <w:spacing w:line="276" w:lineRule="auto"/>
              <w:jc w:val="center"/>
              <w:rPr>
                <w:rFonts w:ascii="宋体" w:hAnsi="宋体" w:cs="宋体"/>
                <w:color w:val="000000"/>
                <w:szCs w:val="21"/>
              </w:rPr>
            </w:pPr>
            <w:r>
              <w:rPr>
                <w:rFonts w:hint="eastAsia" w:ascii="宋体" w:hAnsi="宋体" w:cs="宋体"/>
                <w:color w:val="000000"/>
                <w:szCs w:val="21"/>
              </w:rPr>
              <w:t>签章验章</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0D9B822C">
            <w:pPr>
              <w:spacing w:line="360" w:lineRule="auto"/>
              <w:rPr>
                <w:rFonts w:hint="eastAsia" w:ascii="宋体" w:hAnsi="宋体" w:cs="宋体"/>
                <w:color w:val="000000"/>
                <w:szCs w:val="21"/>
              </w:rPr>
            </w:pPr>
            <w:r>
              <w:rPr>
                <w:rFonts w:hint="eastAsia" w:ascii="宋体" w:hAnsi="宋体" w:cs="宋体"/>
                <w:color w:val="000000"/>
                <w:szCs w:val="21"/>
              </w:rPr>
              <w:t>#支持拖动盖章、关键字盖章及预盖章等，并可进行验章操作，提供国家级第三方检测机构出具的测试报告。</w:t>
            </w:r>
          </w:p>
        </w:tc>
      </w:tr>
      <w:tr w14:paraId="2AB49ED0">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40671580">
            <w:pPr>
              <w:spacing w:line="276" w:lineRule="auto"/>
              <w:jc w:val="center"/>
              <w:rPr>
                <w:rFonts w:ascii="宋体" w:hAnsi="宋体" w:cs="宋体"/>
                <w:color w:val="000000"/>
                <w:szCs w:val="21"/>
              </w:rPr>
            </w:pPr>
            <w:r>
              <w:rPr>
                <w:rFonts w:hint="eastAsia" w:ascii="宋体" w:hAnsi="宋体" w:cs="宋体"/>
                <w:color w:val="000000"/>
                <w:szCs w:val="21"/>
              </w:rPr>
              <w:t>6</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2D71E374">
            <w:pPr>
              <w:spacing w:line="276" w:lineRule="auto"/>
              <w:jc w:val="center"/>
              <w:rPr>
                <w:rFonts w:ascii="宋体" w:hAnsi="宋体" w:cs="宋体"/>
                <w:color w:val="000000"/>
                <w:szCs w:val="21"/>
              </w:rPr>
            </w:pPr>
            <w:r>
              <w:rPr>
                <w:rFonts w:hint="eastAsia" w:ascii="宋体" w:hAnsi="宋体" w:cs="宋体"/>
                <w:color w:val="000000"/>
                <w:szCs w:val="21"/>
              </w:rPr>
              <w:t>应用集成</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53BA6B90">
            <w:pPr>
              <w:spacing w:line="360" w:lineRule="auto"/>
              <w:rPr>
                <w:rFonts w:hint="eastAsia" w:ascii="宋体" w:hAnsi="宋体" w:cs="宋体"/>
                <w:color w:val="000000"/>
                <w:szCs w:val="21"/>
              </w:rPr>
            </w:pPr>
            <w:r>
              <w:rPr>
                <w:rFonts w:hint="eastAsia" w:ascii="宋体" w:hAnsi="宋体" w:cs="宋体"/>
                <w:color w:val="000000"/>
                <w:szCs w:val="21"/>
              </w:rPr>
              <w:t>#支持通过标准接口进行多业务系统集成。可根据用户需求进行定制开发。</w:t>
            </w:r>
          </w:p>
        </w:tc>
      </w:tr>
      <w:tr w14:paraId="67092B8E">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6D8B8C44">
            <w:pPr>
              <w:spacing w:line="276" w:lineRule="auto"/>
              <w:jc w:val="center"/>
              <w:rPr>
                <w:rFonts w:ascii="宋体" w:hAnsi="宋体" w:cs="宋体"/>
                <w:color w:val="000000"/>
                <w:szCs w:val="21"/>
              </w:rPr>
            </w:pPr>
            <w:r>
              <w:rPr>
                <w:rFonts w:hint="eastAsia" w:ascii="宋体" w:hAnsi="宋体" w:cs="宋体"/>
                <w:color w:val="000000"/>
                <w:szCs w:val="21"/>
              </w:rPr>
              <w:t>7</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3F3A6A4E">
            <w:pPr>
              <w:spacing w:line="276" w:lineRule="auto"/>
              <w:jc w:val="center"/>
              <w:rPr>
                <w:rFonts w:ascii="宋体" w:hAnsi="宋体" w:cs="宋体"/>
                <w:color w:val="000000"/>
                <w:szCs w:val="21"/>
              </w:rPr>
            </w:pPr>
            <w:r>
              <w:rPr>
                <w:rFonts w:hint="eastAsia" w:ascii="宋体" w:hAnsi="宋体" w:cs="宋体"/>
                <w:color w:val="000000"/>
                <w:szCs w:val="21"/>
              </w:rPr>
              <w:t>系统可靠性</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594893A0">
            <w:pPr>
              <w:spacing w:line="360" w:lineRule="auto"/>
              <w:rPr>
                <w:rFonts w:hint="eastAsia" w:ascii="宋体" w:hAnsi="宋体" w:cs="宋体"/>
                <w:color w:val="000000"/>
                <w:szCs w:val="21"/>
              </w:rPr>
            </w:pPr>
            <w:r>
              <w:rPr>
                <w:rFonts w:hint="eastAsia" w:ascii="宋体" w:hAnsi="宋体" w:cs="宋体"/>
                <w:color w:val="000000"/>
                <w:szCs w:val="21"/>
              </w:rPr>
              <w:t>#支持集群部署，主机宕机后备机能够处理访问任务，支持7*24小时高效运行。提供国家级第三方检测机构出具的测试报告。</w:t>
            </w:r>
          </w:p>
        </w:tc>
      </w:tr>
      <w:tr w14:paraId="49217D0F">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21CC2145">
            <w:pPr>
              <w:spacing w:line="276" w:lineRule="auto"/>
              <w:jc w:val="center"/>
              <w:rPr>
                <w:rFonts w:ascii="宋体" w:hAnsi="宋体" w:cs="宋体"/>
                <w:color w:val="000000"/>
                <w:szCs w:val="21"/>
              </w:rPr>
            </w:pPr>
            <w:r>
              <w:rPr>
                <w:rFonts w:hint="eastAsia" w:ascii="宋体" w:hAnsi="宋体" w:cs="宋体"/>
                <w:color w:val="000000"/>
                <w:szCs w:val="21"/>
              </w:rPr>
              <w:t>8</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013C4C19">
            <w:pPr>
              <w:spacing w:line="276" w:lineRule="auto"/>
              <w:jc w:val="center"/>
              <w:rPr>
                <w:rFonts w:ascii="宋体" w:hAnsi="宋体" w:cs="宋体"/>
                <w:color w:val="000000"/>
                <w:szCs w:val="21"/>
              </w:rPr>
            </w:pPr>
            <w:r>
              <w:rPr>
                <w:rFonts w:hint="eastAsia" w:ascii="宋体" w:hAnsi="宋体" w:cs="宋体"/>
                <w:color w:val="000000"/>
                <w:szCs w:val="21"/>
              </w:rPr>
              <w:t>性能指标</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53C84000">
            <w:pPr>
              <w:spacing w:line="360" w:lineRule="auto"/>
              <w:rPr>
                <w:rFonts w:hint="eastAsia" w:ascii="宋体" w:hAnsi="宋体" w:cs="宋体"/>
                <w:color w:val="000000"/>
                <w:szCs w:val="21"/>
              </w:rPr>
            </w:pPr>
            <w:r>
              <w:rPr>
                <w:rFonts w:hint="eastAsia" w:ascii="宋体" w:hAnsi="宋体" w:cs="宋体"/>
                <w:color w:val="000000"/>
                <w:szCs w:val="21"/>
              </w:rPr>
              <w:t>#单服务器部署时，支持2000用户在线，200以上并发。</w:t>
            </w:r>
          </w:p>
        </w:tc>
      </w:tr>
      <w:tr w14:paraId="460CDA35">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17C0CDDB">
            <w:pPr>
              <w:spacing w:line="276" w:lineRule="auto"/>
              <w:jc w:val="center"/>
              <w:rPr>
                <w:rFonts w:ascii="宋体" w:hAnsi="宋体" w:cs="宋体"/>
                <w:color w:val="000000"/>
                <w:szCs w:val="21"/>
              </w:rPr>
            </w:pPr>
            <w:r>
              <w:rPr>
                <w:rFonts w:hint="eastAsia" w:ascii="宋体" w:hAnsi="宋体" w:cs="宋体"/>
                <w:color w:val="000000"/>
                <w:szCs w:val="21"/>
              </w:rPr>
              <w:t>9</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6910FD8F">
            <w:pPr>
              <w:spacing w:line="276" w:lineRule="auto"/>
              <w:jc w:val="center"/>
              <w:rPr>
                <w:rFonts w:ascii="宋体" w:hAnsi="宋体" w:cs="宋体"/>
                <w:color w:val="000000"/>
                <w:szCs w:val="21"/>
              </w:rPr>
            </w:pPr>
            <w:r>
              <w:rPr>
                <w:rFonts w:hint="eastAsia" w:ascii="宋体" w:hAnsi="宋体" w:cs="宋体"/>
                <w:color w:val="000000"/>
                <w:szCs w:val="21"/>
              </w:rPr>
              <w:t>标准符合</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73A38883">
            <w:pPr>
              <w:spacing w:line="360" w:lineRule="auto"/>
              <w:rPr>
                <w:rFonts w:hint="eastAsia" w:ascii="宋体" w:hAnsi="宋体" w:cs="宋体"/>
                <w:color w:val="000000"/>
                <w:szCs w:val="21"/>
              </w:rPr>
            </w:pPr>
            <w:r>
              <w:rPr>
                <w:rFonts w:hint="eastAsia" w:ascii="宋体" w:hAnsi="宋体" w:cs="宋体"/>
                <w:color w:val="000000"/>
                <w:szCs w:val="21"/>
              </w:rPr>
              <w:t>#通过OFD标准符合性测试并提供信息处理产品标准符合性检测中心出具的检测报告。</w:t>
            </w:r>
          </w:p>
        </w:tc>
      </w:tr>
      <w:tr w14:paraId="5CEBC919">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517" w:type="pct"/>
            <w:tcBorders>
              <w:top w:val="single" w:color="080F17" w:sz="6" w:space="0"/>
              <w:left w:val="single" w:color="080F17" w:sz="6" w:space="0"/>
              <w:bottom w:val="single" w:color="080F17" w:sz="6" w:space="0"/>
              <w:right w:val="single" w:color="080F17" w:sz="6" w:space="0"/>
            </w:tcBorders>
            <w:noWrap w:val="0"/>
            <w:vAlign w:val="center"/>
          </w:tcPr>
          <w:p w14:paraId="167F724C">
            <w:pPr>
              <w:spacing w:line="276" w:lineRule="auto"/>
              <w:jc w:val="center"/>
              <w:rPr>
                <w:rFonts w:ascii="宋体" w:hAnsi="宋体" w:cs="宋体"/>
                <w:color w:val="000000"/>
                <w:szCs w:val="21"/>
              </w:rPr>
            </w:pPr>
            <w:r>
              <w:rPr>
                <w:rFonts w:hint="eastAsia" w:ascii="宋体" w:hAnsi="宋体" w:cs="宋体"/>
                <w:color w:val="000000"/>
                <w:szCs w:val="21"/>
              </w:rPr>
              <w:t>10</w:t>
            </w:r>
          </w:p>
        </w:tc>
        <w:tc>
          <w:tcPr>
            <w:tcW w:w="1190" w:type="pct"/>
            <w:tcBorders>
              <w:top w:val="single" w:color="080F17" w:sz="6" w:space="0"/>
              <w:left w:val="single" w:color="080F17" w:sz="6" w:space="0"/>
              <w:bottom w:val="single" w:color="080F17" w:sz="6" w:space="0"/>
              <w:right w:val="single" w:color="080F17" w:sz="6" w:space="0"/>
            </w:tcBorders>
            <w:noWrap w:val="0"/>
            <w:vAlign w:val="center"/>
          </w:tcPr>
          <w:p w14:paraId="086C5BD4">
            <w:pPr>
              <w:spacing w:line="276" w:lineRule="auto"/>
              <w:jc w:val="center"/>
              <w:rPr>
                <w:rFonts w:ascii="宋体" w:hAnsi="宋体" w:cs="宋体"/>
                <w:color w:val="000000"/>
                <w:szCs w:val="21"/>
              </w:rPr>
            </w:pPr>
            <w:r>
              <w:rPr>
                <w:rFonts w:hint="eastAsia" w:ascii="宋体" w:hAnsi="宋体" w:cs="宋体"/>
                <w:color w:val="000000"/>
                <w:szCs w:val="21"/>
              </w:rPr>
              <w:t>按需推送</w:t>
            </w:r>
          </w:p>
        </w:tc>
        <w:tc>
          <w:tcPr>
            <w:tcW w:w="3292" w:type="pct"/>
            <w:tcBorders>
              <w:top w:val="single" w:color="080F17" w:sz="6" w:space="0"/>
              <w:left w:val="single" w:color="080F17" w:sz="6" w:space="0"/>
              <w:bottom w:val="single" w:color="080F17" w:sz="6" w:space="0"/>
              <w:right w:val="single" w:color="080F17" w:sz="6" w:space="0"/>
            </w:tcBorders>
            <w:noWrap w:val="0"/>
            <w:vAlign w:val="center"/>
          </w:tcPr>
          <w:p w14:paraId="23721DB6">
            <w:pPr>
              <w:spacing w:line="360" w:lineRule="auto"/>
              <w:rPr>
                <w:rFonts w:hint="eastAsia" w:ascii="宋体" w:hAnsi="宋体" w:cs="宋体"/>
                <w:color w:val="000000"/>
                <w:szCs w:val="21"/>
              </w:rPr>
            </w:pPr>
            <w:r>
              <w:rPr>
                <w:rFonts w:hint="eastAsia" w:ascii="宋体" w:hAnsi="宋体" w:cs="宋体"/>
                <w:color w:val="000000"/>
                <w:szCs w:val="21"/>
              </w:rPr>
              <w:t>#应实现文档内容按需推送功能，以提升阅读效果。需提供国家级第三方检测机构出具的测试报告。</w:t>
            </w:r>
          </w:p>
        </w:tc>
      </w:tr>
    </w:tbl>
    <w:p w14:paraId="272411DD">
      <w:pPr>
        <w:spacing w:line="360" w:lineRule="auto"/>
        <w:contextualSpacing/>
        <w:rPr>
          <w:rFonts w:hint="eastAsia"/>
          <w:sz w:val="24"/>
        </w:rPr>
      </w:pPr>
    </w:p>
    <w:p w14:paraId="5B580014">
      <w:pPr>
        <w:widowControl/>
        <w:spacing w:line="360" w:lineRule="auto"/>
        <w:ind w:firstLine="482" w:firstLineChars="200"/>
        <w:contextualSpacing/>
        <w:rPr>
          <w:b/>
          <w:sz w:val="24"/>
        </w:rPr>
      </w:pPr>
      <w:r>
        <w:rPr>
          <w:b/>
          <w:sz w:val="24"/>
        </w:rPr>
        <w:t>2.2采购标的需满足的服务标准、期限、效率等要求</w:t>
      </w:r>
    </w:p>
    <w:p w14:paraId="7C42871B">
      <w:pPr>
        <w:spacing w:line="360" w:lineRule="auto"/>
        <w:ind w:firstLine="482" w:firstLineChars="200"/>
        <w:contextualSpacing/>
        <w:rPr>
          <w:b/>
          <w:sz w:val="24"/>
        </w:rPr>
      </w:pPr>
      <w:r>
        <w:rPr>
          <w:rFonts w:hint="eastAsia"/>
          <w:b/>
          <w:sz w:val="24"/>
        </w:rPr>
        <w:t>（1）服务标准：</w:t>
      </w:r>
    </w:p>
    <w:p w14:paraId="5E01ED2C">
      <w:pPr>
        <w:spacing w:line="360" w:lineRule="auto"/>
        <w:ind w:firstLine="480" w:firstLineChars="200"/>
        <w:contextualSpacing/>
        <w:rPr>
          <w:sz w:val="24"/>
        </w:rPr>
      </w:pPr>
      <w:r>
        <w:rPr>
          <w:rFonts w:hint="eastAsia"/>
          <w:sz w:val="24"/>
        </w:rPr>
        <w:t>提供全面的售后服务方案，要求：全面细致、体系完善、服务机构覆盖范围合理、服务能力强、技术支持保障措施到位。</w:t>
      </w:r>
    </w:p>
    <w:p w14:paraId="0B14B132">
      <w:pPr>
        <w:spacing w:line="360" w:lineRule="auto"/>
        <w:ind w:firstLine="480" w:firstLineChars="200"/>
        <w:contextualSpacing/>
        <w:rPr>
          <w:rFonts w:hint="eastAsia"/>
          <w:sz w:val="24"/>
        </w:rPr>
      </w:pPr>
      <w:r>
        <w:rPr>
          <w:rFonts w:hint="eastAsia"/>
          <w:sz w:val="24"/>
        </w:rPr>
        <w:t>提供完善的培训方案。投标人负责对所参与项目的人员进行培训，并提交详细培训计划。投标人需提供详实的培训计划和培训方案。培训方案包含培训内容、培训课时等。系统的培训工作要试运行前实施，在培训实施之前编制特定的培训材料。</w:t>
      </w:r>
    </w:p>
    <w:p w14:paraId="4B1A4EFE">
      <w:pPr>
        <w:spacing w:line="360" w:lineRule="auto"/>
        <w:ind w:firstLine="482" w:firstLineChars="200"/>
        <w:contextualSpacing/>
        <w:rPr>
          <w:b/>
          <w:sz w:val="24"/>
        </w:rPr>
      </w:pPr>
      <w:r>
        <w:rPr>
          <w:rFonts w:hint="eastAsia"/>
          <w:b/>
          <w:sz w:val="24"/>
        </w:rPr>
        <w:t>（</w:t>
      </w:r>
      <w:r>
        <w:rPr>
          <w:b/>
          <w:sz w:val="24"/>
        </w:rPr>
        <w:t>2</w:t>
      </w:r>
      <w:r>
        <w:rPr>
          <w:rFonts w:hint="eastAsia"/>
          <w:b/>
          <w:sz w:val="24"/>
        </w:rPr>
        <w:t>）服务期限：</w:t>
      </w:r>
    </w:p>
    <w:p w14:paraId="16B0886B">
      <w:pPr>
        <w:spacing w:line="360" w:lineRule="auto"/>
        <w:ind w:firstLine="480" w:firstLineChars="200"/>
        <w:contextualSpacing/>
        <w:rPr>
          <w:sz w:val="24"/>
        </w:rPr>
      </w:pPr>
      <w:r>
        <w:rPr>
          <w:rFonts w:hint="eastAsia"/>
          <w:sz w:val="24"/>
        </w:rPr>
        <w:t>中标人须提供不少于</w:t>
      </w:r>
      <w:r>
        <w:rPr>
          <w:sz w:val="24"/>
        </w:rPr>
        <w:t>3</w:t>
      </w:r>
      <w:r>
        <w:rPr>
          <w:rFonts w:hint="eastAsia"/>
          <w:sz w:val="24"/>
        </w:rPr>
        <w:t>年的原厂工程师售后服务。设备终验合格后进入系统质量保证期，自双方代表在系统终验合格单上签字之日起计算。</w:t>
      </w:r>
    </w:p>
    <w:p w14:paraId="52F6235D">
      <w:pPr>
        <w:spacing w:line="360" w:lineRule="auto"/>
        <w:ind w:firstLine="482" w:firstLineChars="200"/>
        <w:contextualSpacing/>
        <w:rPr>
          <w:rFonts w:hint="eastAsia"/>
          <w:b/>
          <w:sz w:val="24"/>
        </w:rPr>
      </w:pPr>
      <w:r>
        <w:rPr>
          <w:rFonts w:hint="eastAsia"/>
          <w:b/>
          <w:sz w:val="24"/>
        </w:rPr>
        <w:t>（3）服务效率：</w:t>
      </w:r>
    </w:p>
    <w:p w14:paraId="2F84F9C5">
      <w:pPr>
        <w:spacing w:line="360" w:lineRule="auto"/>
        <w:ind w:firstLine="480" w:firstLineChars="200"/>
        <w:contextualSpacing/>
        <w:rPr>
          <w:rFonts w:ascii="宋体" w:hAnsi="宋体"/>
          <w:sz w:val="24"/>
        </w:rPr>
      </w:pPr>
      <w:r>
        <w:rPr>
          <w:rFonts w:hint="eastAsia" w:ascii="宋体" w:hAnsi="宋体"/>
          <w:sz w:val="24"/>
        </w:rPr>
        <w:t>在投标文件中，</w:t>
      </w:r>
      <w:r>
        <w:rPr>
          <w:rFonts w:hint="eastAsia"/>
          <w:sz w:val="24"/>
        </w:rPr>
        <w:t>投标人</w:t>
      </w:r>
      <w:r>
        <w:rPr>
          <w:rFonts w:hint="eastAsia" w:ascii="宋体" w:hAnsi="宋体"/>
          <w:sz w:val="24"/>
        </w:rPr>
        <w:t>应明确售后服务方案和故障响应时间。具体服务效率要求如下：</w:t>
      </w:r>
    </w:p>
    <w:p w14:paraId="7AF7A54C">
      <w:pPr>
        <w:numPr>
          <w:ilvl w:val="0"/>
          <w:numId w:val="3"/>
        </w:numPr>
        <w:spacing w:line="360" w:lineRule="auto"/>
        <w:contextualSpacing/>
        <w:rPr>
          <w:rFonts w:ascii="宋体" w:hAnsi="宋体"/>
          <w:sz w:val="24"/>
        </w:rPr>
      </w:pPr>
      <w:r>
        <w:rPr>
          <w:rFonts w:hint="eastAsia" w:ascii="宋体" w:hAnsi="宋体"/>
          <w:sz w:val="24"/>
        </w:rPr>
        <w:t>电话技术支持：对采购人提出的技术问题，</w:t>
      </w:r>
      <w:r>
        <w:rPr>
          <w:rFonts w:hint="eastAsia"/>
          <w:sz w:val="24"/>
        </w:rPr>
        <w:t>投标人</w:t>
      </w:r>
      <w:r>
        <w:rPr>
          <w:rFonts w:hint="eastAsia" w:ascii="宋体" w:hAnsi="宋体"/>
          <w:sz w:val="24"/>
        </w:rPr>
        <w:t>提供 7*24 小时技术咨询服务，技术支持人员在接到咨询电话后，30分钟内通过电话向采购人提供问题解答和技术指导。</w:t>
      </w:r>
    </w:p>
    <w:p w14:paraId="4421F8A3">
      <w:pPr>
        <w:numPr>
          <w:ilvl w:val="0"/>
          <w:numId w:val="3"/>
        </w:numPr>
        <w:spacing w:line="360" w:lineRule="auto"/>
        <w:contextualSpacing/>
        <w:rPr>
          <w:rFonts w:ascii="宋体" w:hAnsi="宋体"/>
          <w:sz w:val="24"/>
        </w:rPr>
      </w:pPr>
      <w:r>
        <w:rPr>
          <w:rFonts w:hint="eastAsia" w:ascii="宋体" w:hAnsi="宋体"/>
          <w:sz w:val="24"/>
        </w:rPr>
        <w:t>远程技术支持：在采购人条件允许下，可直接通过互联网对系统进行维护或解决系统发生的故障。</w:t>
      </w:r>
    </w:p>
    <w:p w14:paraId="72005584">
      <w:pPr>
        <w:numPr>
          <w:ilvl w:val="0"/>
          <w:numId w:val="3"/>
        </w:numPr>
        <w:spacing w:line="360" w:lineRule="auto"/>
        <w:contextualSpacing/>
        <w:rPr>
          <w:rFonts w:ascii="宋体" w:hAnsi="宋体"/>
          <w:sz w:val="24"/>
        </w:rPr>
      </w:pPr>
      <w:r>
        <w:rPr>
          <w:rFonts w:hint="eastAsia" w:ascii="宋体" w:hAnsi="宋体"/>
          <w:sz w:val="24"/>
        </w:rPr>
        <w:t>邮件、QQ等网络技术支持：每周一至周五（法定节假休息日除外），8:30至 17:30,3小时内对采购人提出的问题进行确认答复。</w:t>
      </w:r>
    </w:p>
    <w:p w14:paraId="1F548B94">
      <w:pPr>
        <w:numPr>
          <w:ilvl w:val="0"/>
          <w:numId w:val="3"/>
        </w:numPr>
        <w:spacing w:line="360" w:lineRule="auto"/>
        <w:contextualSpacing/>
        <w:rPr>
          <w:rFonts w:ascii="宋体" w:hAnsi="宋体"/>
          <w:sz w:val="24"/>
        </w:rPr>
      </w:pPr>
      <w:r>
        <w:rPr>
          <w:rFonts w:hint="eastAsia" w:ascii="宋体" w:hAnsi="宋体"/>
          <w:sz w:val="24"/>
        </w:rPr>
        <w:t>上门技术服务：设备出现紧急情况，工作日 2 小时内、节假日 4 小时内，提供上门服务，12小时内排除故障，提供原厂工程师（及以上）的服务。</w:t>
      </w:r>
    </w:p>
    <w:p w14:paraId="62B87BFD">
      <w:pPr>
        <w:widowControl/>
        <w:spacing w:line="360" w:lineRule="auto"/>
        <w:ind w:firstLine="482" w:firstLineChars="200"/>
        <w:contextualSpacing/>
        <w:rPr>
          <w:b/>
          <w:sz w:val="24"/>
        </w:rPr>
      </w:pPr>
      <w:r>
        <w:rPr>
          <w:b/>
          <w:sz w:val="24"/>
        </w:rPr>
        <w:t>2.3为落实政府采购政策需满足的要求</w:t>
      </w:r>
    </w:p>
    <w:p w14:paraId="046D0B96">
      <w:pPr>
        <w:spacing w:line="360" w:lineRule="auto"/>
        <w:ind w:firstLine="480" w:firstLineChars="200"/>
        <w:contextualSpacing/>
        <w:rPr>
          <w:rFonts w:hint="eastAsia"/>
          <w:sz w:val="24"/>
        </w:rPr>
      </w:pPr>
      <w:r>
        <w:rPr>
          <w:rFonts w:hint="eastAsia"/>
          <w:sz w:val="24"/>
        </w:rPr>
        <w:t>扶持中小企业政策：本项目不属于专门面向中小企业采购的项目。</w:t>
      </w:r>
    </w:p>
    <w:p w14:paraId="581598D8">
      <w:pPr>
        <w:widowControl/>
        <w:spacing w:line="360" w:lineRule="auto"/>
        <w:ind w:firstLine="482" w:firstLineChars="200"/>
        <w:contextualSpacing/>
        <w:rPr>
          <w:b/>
          <w:sz w:val="24"/>
        </w:rPr>
      </w:pPr>
      <w:r>
        <w:rPr>
          <w:b/>
          <w:sz w:val="24"/>
        </w:rPr>
        <w:t>2.4采购标的的其他技术、服务等要求</w:t>
      </w:r>
    </w:p>
    <w:p w14:paraId="7BBA98AF">
      <w:pPr>
        <w:spacing w:line="360" w:lineRule="auto"/>
        <w:ind w:firstLine="480" w:firstLineChars="200"/>
        <w:contextualSpacing/>
        <w:rPr>
          <w:rFonts w:ascii="宋体" w:hAnsi="宋体"/>
          <w:sz w:val="24"/>
        </w:rPr>
      </w:pPr>
      <w:r>
        <w:rPr>
          <w:rFonts w:hint="eastAsia" w:ascii="宋体" w:hAnsi="宋体"/>
          <w:sz w:val="24"/>
        </w:rPr>
        <w:t xml:space="preserve">（1）投标人应在投标文件中明确承诺所投产品均为原装正品。 </w:t>
      </w:r>
    </w:p>
    <w:p w14:paraId="7587EDF7">
      <w:pPr>
        <w:spacing w:line="360" w:lineRule="auto"/>
        <w:ind w:firstLine="480" w:firstLineChars="200"/>
        <w:contextualSpacing/>
        <w:rPr>
          <w:rFonts w:ascii="宋体" w:hAnsi="宋体"/>
          <w:sz w:val="24"/>
        </w:rPr>
      </w:pPr>
      <w:r>
        <w:rPr>
          <w:rFonts w:hint="eastAsia" w:ascii="宋体" w:hAnsi="宋体"/>
          <w:sz w:val="24"/>
          <w:lang w:eastAsia="zh-CN"/>
        </w:rPr>
        <w:t>★</w:t>
      </w:r>
      <w:r>
        <w:rPr>
          <w:rFonts w:hint="eastAsia" w:ascii="宋体" w:hAnsi="宋体"/>
          <w:sz w:val="24"/>
        </w:rPr>
        <w:t>（2）投标人需单独书面承诺,投标人须独立承担为满足本项目建设目标和建设内容，技术规格要求所需增加相关应用支撑系统、技术支持与服务、确保与现有软件系统无缝对接等产生的全部费用,投标人需依据招标文件在投标前进行全面测算和充分预留,采购人不再追加任何费用。</w:t>
      </w:r>
    </w:p>
    <w:p w14:paraId="20249B1E">
      <w:pPr>
        <w:spacing w:line="360" w:lineRule="auto"/>
        <w:ind w:firstLine="480" w:firstLineChars="200"/>
        <w:contextualSpacing/>
        <w:rPr>
          <w:sz w:val="24"/>
        </w:rPr>
      </w:pPr>
      <w:r>
        <w:rPr>
          <w:rFonts w:hint="eastAsia" w:ascii="宋体" w:hAnsi="宋体"/>
          <w:sz w:val="24"/>
          <w:lang w:eastAsia="zh-CN"/>
        </w:rPr>
        <w:t>★</w:t>
      </w:r>
      <w:r>
        <w:rPr>
          <w:rFonts w:hint="eastAsia" w:ascii="宋体" w:hAnsi="宋体"/>
          <w:sz w:val="24"/>
        </w:rPr>
        <w:t>（</w:t>
      </w:r>
      <w:r>
        <w:rPr>
          <w:rFonts w:ascii="宋体" w:hAnsi="宋体"/>
          <w:sz w:val="24"/>
        </w:rPr>
        <w:t>3</w:t>
      </w:r>
      <w:r>
        <w:rPr>
          <w:rFonts w:hint="eastAsia" w:ascii="宋体" w:hAnsi="宋体"/>
          <w:sz w:val="24"/>
        </w:rPr>
        <w:t>）投标人需单独书面承诺：能够在规定的时间内完成初步验收和竣工验收工作，不以任何理由（不可抗力除外）作为未通</w:t>
      </w:r>
      <w:r>
        <w:rPr>
          <w:rFonts w:hint="eastAsia"/>
          <w:sz w:val="24"/>
        </w:rPr>
        <w:t>过验收或延期验收的依据。如因投标人未能在规定时间内完成验收工作，投标人须向采购人支付违约金，违约金的支付以“日”为时间单位，每日违约金以合同总金额的 1‰（千分之一）为计算标准。因为投标人交付延期等情形致使采购人不能及时支付合同款项的，均由投标人负责，采购人不承担任何责任。</w:t>
      </w:r>
    </w:p>
    <w:p w14:paraId="02B5C902">
      <w:pPr>
        <w:pStyle w:val="6"/>
        <w:adjustRightInd w:val="0"/>
        <w:spacing w:line="360" w:lineRule="auto"/>
        <w:ind w:firstLine="424" w:firstLineChars="177"/>
        <w:contextualSpacing/>
        <w:jc w:val="left"/>
        <w:rPr>
          <w:rFonts w:ascii="Times New Roman" w:hAnsi="Times New Roman"/>
          <w:sz w:val="24"/>
          <w:szCs w:val="24"/>
        </w:rPr>
      </w:pPr>
    </w:p>
    <w:p w14:paraId="3E03E8A0">
      <w:pPr>
        <w:spacing w:line="360" w:lineRule="auto"/>
        <w:contextualSpacing/>
        <w:rPr>
          <w:b/>
          <w:i/>
          <w:iCs/>
          <w:sz w:val="24"/>
        </w:rPr>
      </w:pPr>
      <w:r>
        <w:rPr>
          <w:b/>
          <w:sz w:val="24"/>
        </w:rPr>
        <w:t>3. 验收标准</w:t>
      </w:r>
    </w:p>
    <w:p w14:paraId="50C09E4E">
      <w:pPr>
        <w:widowControl/>
        <w:spacing w:line="360" w:lineRule="auto"/>
        <w:ind w:firstLine="480" w:firstLineChars="200"/>
        <w:contextualSpacing/>
        <w:rPr>
          <w:sz w:val="24"/>
        </w:rPr>
      </w:pPr>
      <w:r>
        <w:rPr>
          <w:rFonts w:hint="eastAsia"/>
          <w:sz w:val="24"/>
        </w:rPr>
        <w:t>（1）到货验收：中标人应按照投标文件承诺，提供相应的软件产品介质和正式授权，采购人组织验收。</w:t>
      </w:r>
    </w:p>
    <w:p w14:paraId="47F89145">
      <w:pPr>
        <w:widowControl/>
        <w:spacing w:line="360" w:lineRule="auto"/>
        <w:ind w:firstLine="480" w:firstLineChars="200"/>
        <w:contextualSpacing/>
        <w:rPr>
          <w:rFonts w:hint="eastAsia"/>
          <w:sz w:val="24"/>
        </w:rPr>
      </w:pPr>
      <w:r>
        <w:rPr>
          <w:rFonts w:hint="eastAsia"/>
          <w:sz w:val="24"/>
        </w:rPr>
        <w:t>（2）初步验收：投标人完成交付实施工作后，以书面形式提出初步验收申请，初步验收申请至少提前5个工作日，便于采购人组织专家组等部署验收工作。</w:t>
      </w:r>
    </w:p>
    <w:p w14:paraId="48CF68B0">
      <w:pPr>
        <w:widowControl/>
        <w:spacing w:line="360" w:lineRule="auto"/>
        <w:ind w:firstLine="480" w:firstLineChars="200"/>
        <w:contextualSpacing/>
        <w:rPr>
          <w:rFonts w:hint="eastAsia"/>
          <w:sz w:val="24"/>
        </w:rPr>
      </w:pPr>
      <w:r>
        <w:rPr>
          <w:rFonts w:hint="eastAsia"/>
          <w:sz w:val="24"/>
        </w:rPr>
        <w:t>（</w:t>
      </w:r>
      <w:r>
        <w:rPr>
          <w:sz w:val="24"/>
        </w:rPr>
        <w:t>3</w:t>
      </w:r>
      <w:r>
        <w:rPr>
          <w:rFonts w:hint="eastAsia"/>
          <w:sz w:val="24"/>
        </w:rPr>
        <w:t>）项目终验：投标人须按照总体项目建设需要，负责所提供基础软件</w:t>
      </w:r>
      <w:bookmarkStart w:id="1" w:name="_GoBack"/>
      <w:bookmarkEnd w:id="1"/>
      <w:r>
        <w:rPr>
          <w:rFonts w:hint="eastAsia"/>
          <w:sz w:val="24"/>
        </w:rPr>
        <w:t>系统的安装、配置、调试，并协助机关综合管理服务平台建设项目的主要应用系统进行部署和试运行，解决过程中涉及的基础软件问题。项目总体完成相关建设内容，提出终验申请，经采购人确认后，组织系统终验。终验合格后即为该项目完工，进入质量保证期。</w:t>
      </w:r>
    </w:p>
    <w:p w14:paraId="1F2EC086">
      <w:pPr>
        <w:spacing w:line="360" w:lineRule="auto"/>
        <w:contextualSpacing/>
        <w:rPr>
          <w:b/>
          <w:sz w:val="24"/>
        </w:rPr>
      </w:pPr>
      <w:r>
        <w:rPr>
          <w:b/>
          <w:sz w:val="24"/>
        </w:rPr>
        <w:t>4. 其他要求</w:t>
      </w:r>
    </w:p>
    <w:p w14:paraId="0EBE4030">
      <w:pPr>
        <w:widowControl/>
        <w:spacing w:line="360" w:lineRule="auto"/>
        <w:ind w:firstLine="480" w:firstLineChars="200"/>
        <w:contextualSpacing/>
        <w:rPr>
          <w:sz w:val="24"/>
        </w:rPr>
      </w:pPr>
      <w:r>
        <w:rPr>
          <w:rFonts w:hint="eastAsia"/>
          <w:sz w:val="24"/>
        </w:rPr>
        <w:t>为了保障项目的高质量交付，投标人需配置相应的项目团队，具体要求如下：</w:t>
      </w:r>
    </w:p>
    <w:p w14:paraId="2089F226">
      <w:pPr>
        <w:widowControl/>
        <w:spacing w:line="360" w:lineRule="auto"/>
        <w:ind w:firstLine="480" w:firstLineChars="200"/>
        <w:contextualSpacing/>
        <w:rPr>
          <w:rFonts w:hint="eastAsia"/>
          <w:sz w:val="24"/>
        </w:rPr>
      </w:pPr>
      <w:r>
        <w:rPr>
          <w:rFonts w:hint="eastAsia"/>
          <w:sz w:val="24"/>
        </w:rPr>
        <w:t>（1）项目经理要求</w:t>
      </w:r>
    </w:p>
    <w:p w14:paraId="7FB7E172">
      <w:pPr>
        <w:widowControl/>
        <w:spacing w:line="360" w:lineRule="auto"/>
        <w:ind w:firstLine="480" w:firstLineChars="200"/>
        <w:contextualSpacing/>
        <w:rPr>
          <w:rFonts w:hint="eastAsia"/>
          <w:sz w:val="24"/>
        </w:rPr>
      </w:pPr>
      <w:r>
        <w:rPr>
          <w:rFonts w:hint="eastAsia"/>
          <w:sz w:val="24"/>
        </w:rPr>
        <w:t xml:space="preserve">项目经理1名，应具备6年（含）以上相关项目经验，并具备信息系统项目管理师证书。 </w:t>
      </w:r>
    </w:p>
    <w:p w14:paraId="040DB080">
      <w:pPr>
        <w:widowControl/>
        <w:spacing w:line="360" w:lineRule="auto"/>
        <w:ind w:firstLine="480" w:firstLineChars="200"/>
        <w:contextualSpacing/>
        <w:rPr>
          <w:rFonts w:hint="eastAsia"/>
          <w:sz w:val="24"/>
        </w:rPr>
      </w:pPr>
      <w:r>
        <w:rPr>
          <w:rFonts w:hint="eastAsia"/>
          <w:sz w:val="24"/>
        </w:rPr>
        <w:t>（2）主要技术人员要求</w:t>
      </w:r>
    </w:p>
    <w:p w14:paraId="75656E7B">
      <w:pPr>
        <w:widowControl/>
        <w:spacing w:line="360" w:lineRule="auto"/>
        <w:ind w:firstLine="480" w:firstLineChars="200"/>
        <w:contextualSpacing/>
        <w:rPr>
          <w:rFonts w:hint="eastAsia"/>
          <w:sz w:val="24"/>
        </w:rPr>
      </w:pPr>
      <w:r>
        <w:rPr>
          <w:rFonts w:hint="eastAsia"/>
          <w:sz w:val="24"/>
        </w:rPr>
        <w:t>主要技术人员需至少2名。其中，至少</w:t>
      </w:r>
      <w:r>
        <w:rPr>
          <w:sz w:val="24"/>
        </w:rPr>
        <w:t>1</w:t>
      </w:r>
      <w:r>
        <w:rPr>
          <w:rFonts w:hint="eastAsia"/>
          <w:sz w:val="24"/>
        </w:rPr>
        <w:t>人需为高级软件工程师，至少</w:t>
      </w:r>
      <w:r>
        <w:rPr>
          <w:sz w:val="24"/>
        </w:rPr>
        <w:t>1</w:t>
      </w:r>
      <w:r>
        <w:rPr>
          <w:rFonts w:hint="eastAsia"/>
          <w:sz w:val="24"/>
        </w:rPr>
        <w:t>人需为软件设计师</w:t>
      </w:r>
      <w:r>
        <w:rPr>
          <w:rFonts w:hint="eastAsia"/>
          <w:sz w:val="24"/>
          <w:lang w:eastAsia="zh-CN"/>
        </w:rPr>
        <w:t>，均应具备3年（含）以上相关项目经验，并具有软件工程师证书（高级）或软件设计师（中级及以上）</w:t>
      </w:r>
      <w:r>
        <w:rPr>
          <w:rFonts w:hint="eastAsia"/>
          <w:sz w:val="24"/>
        </w:rPr>
        <w:t>。</w:t>
      </w:r>
    </w:p>
    <w:p w14:paraId="0E334C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6A134C"/>
    <w:multiLevelType w:val="multilevel"/>
    <w:tmpl w:val="216A134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6DAD03D3"/>
    <w:multiLevelType w:val="singleLevel"/>
    <w:tmpl w:val="6DAD03D3"/>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2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lock Text"/>
    <w:basedOn w:val="1"/>
    <w:qFormat/>
    <w:uiPriority w:val="0"/>
    <w:pPr>
      <w:widowControl/>
      <w:ind w:left="480" w:right="-341" w:firstLine="513"/>
    </w:pPr>
    <w:rPr>
      <w:kern w:val="0"/>
      <w:sz w:val="24"/>
      <w:szCs w:val="20"/>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2025-07-09T02:09:37Z</dcterms:created>
  <dc:creator>Administrator</dc:creator>
  <cp:lastModifiedBy>10674</cp:lastModifiedBy>
  <dcterms:modified xsi:type="dcterms:W3CDTF">2025-07-09T02:09:47Z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B86E35ACE24F43FFABBF5660B46B8D08_12</vt:lpwstr>
  </property>
</Properties>
</file>