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512D7">
      <w:pPr>
        <w:spacing w:line="360" w:lineRule="auto"/>
        <w:jc w:val="center"/>
        <w:outlineLvl w:val="0"/>
        <w:rPr>
          <w:b/>
          <w:sz w:val="36"/>
          <w:szCs w:val="36"/>
        </w:rPr>
      </w:pPr>
      <w:r>
        <w:rPr>
          <w:b/>
          <w:sz w:val="36"/>
          <w:szCs w:val="36"/>
        </w:rPr>
        <w:t xml:space="preserve"> 采购需求</w:t>
      </w:r>
    </w:p>
    <w:p w14:paraId="2E86B839">
      <w:pPr>
        <w:pStyle w:val="8"/>
        <w:numPr>
          <w:ilvl w:val="0"/>
          <w:numId w:val="1"/>
        </w:numPr>
        <w:spacing w:line="360" w:lineRule="auto"/>
        <w:ind w:firstLineChars="0"/>
        <w:contextualSpacing/>
        <w:rPr>
          <w:rFonts w:ascii="宋体" w:hAnsi="宋体" w:cs="宋体"/>
          <w:b/>
          <w:sz w:val="24"/>
          <w:szCs w:val="24"/>
        </w:rPr>
      </w:pPr>
      <w:r>
        <w:rPr>
          <w:rFonts w:hint="eastAsia" w:ascii="宋体" w:hAnsi="宋体" w:cs="宋体"/>
          <w:b/>
          <w:sz w:val="24"/>
          <w:szCs w:val="24"/>
        </w:rPr>
        <w:t>采购标的</w:t>
      </w:r>
    </w:p>
    <w:p w14:paraId="5BB90CCC">
      <w:pPr>
        <w:spacing w:line="360" w:lineRule="auto"/>
        <w:contextualSpacing/>
        <w:rPr>
          <w:rFonts w:ascii="宋体" w:hAnsi="宋体" w:cs="宋体"/>
          <w:bCs/>
          <w:sz w:val="24"/>
        </w:rPr>
      </w:pPr>
      <w:r>
        <w:rPr>
          <w:rFonts w:hint="eastAsia" w:ascii="宋体" w:hAnsi="宋体" w:cs="宋体"/>
          <w:bCs/>
          <w:sz w:val="24"/>
        </w:rPr>
        <w:t>1. 采购标的</w:t>
      </w:r>
    </w:p>
    <w:tbl>
      <w:tblPr>
        <w:tblStyle w:val="5"/>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2993"/>
        <w:gridCol w:w="2173"/>
        <w:gridCol w:w="1882"/>
      </w:tblGrid>
      <w:tr w14:paraId="0182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52" w:type="dxa"/>
            <w:vAlign w:val="center"/>
          </w:tcPr>
          <w:p w14:paraId="54335528">
            <w:pPr>
              <w:adjustRightInd w:val="0"/>
              <w:jc w:val="center"/>
              <w:textAlignment w:val="baseline"/>
              <w:rPr>
                <w:rFonts w:ascii="宋体" w:hAnsi="宋体" w:cs="宋体"/>
                <w:bCs/>
                <w:sz w:val="24"/>
              </w:rPr>
            </w:pPr>
            <w:r>
              <w:rPr>
                <w:rFonts w:hint="eastAsia" w:ascii="宋体" w:hAnsi="宋体" w:cs="宋体"/>
                <w:bCs/>
                <w:sz w:val="24"/>
              </w:rPr>
              <w:t>序号</w:t>
            </w:r>
          </w:p>
        </w:tc>
        <w:tc>
          <w:tcPr>
            <w:tcW w:w="2993" w:type="dxa"/>
            <w:vAlign w:val="center"/>
          </w:tcPr>
          <w:p w14:paraId="7FDCFE40">
            <w:pPr>
              <w:adjustRightInd w:val="0"/>
              <w:jc w:val="center"/>
              <w:textAlignment w:val="baseline"/>
              <w:rPr>
                <w:rFonts w:ascii="宋体" w:hAnsi="宋体" w:cs="宋体"/>
                <w:bCs/>
                <w:sz w:val="24"/>
              </w:rPr>
            </w:pPr>
            <w:r>
              <w:rPr>
                <w:rFonts w:hint="eastAsia" w:ascii="宋体" w:hAnsi="宋体" w:cs="宋体"/>
                <w:bCs/>
                <w:sz w:val="24"/>
              </w:rPr>
              <w:t>货物或服务名称</w:t>
            </w:r>
          </w:p>
        </w:tc>
        <w:tc>
          <w:tcPr>
            <w:tcW w:w="2173" w:type="dxa"/>
            <w:vAlign w:val="center"/>
          </w:tcPr>
          <w:p w14:paraId="0D0A4853">
            <w:pPr>
              <w:adjustRightInd w:val="0"/>
              <w:jc w:val="center"/>
              <w:textAlignment w:val="baseline"/>
              <w:rPr>
                <w:rFonts w:ascii="宋体" w:hAnsi="宋体" w:cs="宋体"/>
                <w:bCs/>
                <w:sz w:val="24"/>
              </w:rPr>
            </w:pPr>
            <w:r>
              <w:rPr>
                <w:rFonts w:hint="eastAsia" w:ascii="宋体" w:hAnsi="宋体" w:cs="宋体"/>
                <w:bCs/>
                <w:sz w:val="24"/>
              </w:rPr>
              <w:t>数量</w:t>
            </w:r>
          </w:p>
        </w:tc>
        <w:tc>
          <w:tcPr>
            <w:tcW w:w="1882" w:type="dxa"/>
            <w:vAlign w:val="center"/>
          </w:tcPr>
          <w:p w14:paraId="4BF11A68">
            <w:pPr>
              <w:adjustRightInd w:val="0"/>
              <w:jc w:val="center"/>
              <w:textAlignment w:val="baseline"/>
              <w:rPr>
                <w:rFonts w:ascii="宋体" w:hAnsi="宋体" w:cs="宋体"/>
                <w:bCs/>
                <w:sz w:val="24"/>
              </w:rPr>
            </w:pPr>
            <w:r>
              <w:rPr>
                <w:rFonts w:hint="eastAsia" w:ascii="宋体" w:hAnsi="宋体" w:cs="宋体"/>
                <w:bCs/>
                <w:sz w:val="24"/>
              </w:rPr>
              <w:t>单位</w:t>
            </w:r>
          </w:p>
        </w:tc>
      </w:tr>
      <w:tr w14:paraId="6203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352" w:type="dxa"/>
            <w:vAlign w:val="center"/>
          </w:tcPr>
          <w:p w14:paraId="582AEE20">
            <w:pPr>
              <w:adjustRightInd w:val="0"/>
              <w:jc w:val="center"/>
              <w:textAlignment w:val="baseline"/>
              <w:rPr>
                <w:rFonts w:ascii="宋体" w:hAnsi="宋体" w:cs="宋体"/>
                <w:bCs/>
                <w:sz w:val="24"/>
              </w:rPr>
            </w:pPr>
            <w:r>
              <w:rPr>
                <w:rFonts w:hint="eastAsia" w:ascii="宋体" w:hAnsi="宋体" w:cs="宋体"/>
                <w:bCs/>
                <w:sz w:val="24"/>
              </w:rPr>
              <w:t>1</w:t>
            </w:r>
          </w:p>
        </w:tc>
        <w:tc>
          <w:tcPr>
            <w:tcW w:w="2993" w:type="dxa"/>
            <w:vAlign w:val="center"/>
          </w:tcPr>
          <w:p w14:paraId="1BE93C5A">
            <w:pPr>
              <w:adjustRightInd w:val="0"/>
              <w:spacing w:line="400" w:lineRule="exact"/>
              <w:textAlignment w:val="baseline"/>
              <w:rPr>
                <w:rFonts w:ascii="宋体" w:hAnsi="宋体" w:cs="宋体"/>
                <w:bCs/>
                <w:sz w:val="24"/>
              </w:rPr>
            </w:pPr>
            <w:r>
              <w:rPr>
                <w:rFonts w:hint="eastAsia" w:ascii="宋体" w:hAnsi="宋体" w:cs="宋体"/>
                <w:bCs/>
                <w:sz w:val="24"/>
              </w:rPr>
              <w:t>2025年北京市城市管理委员会政务云租用项目-北京市网格化城市管理等系统</w:t>
            </w:r>
          </w:p>
        </w:tc>
        <w:tc>
          <w:tcPr>
            <w:tcW w:w="2173" w:type="dxa"/>
            <w:vAlign w:val="center"/>
          </w:tcPr>
          <w:p w14:paraId="0990C705">
            <w:pPr>
              <w:adjustRightInd w:val="0"/>
              <w:jc w:val="center"/>
              <w:textAlignment w:val="baseline"/>
              <w:rPr>
                <w:rFonts w:ascii="宋体" w:hAnsi="宋体" w:cs="宋体"/>
                <w:bCs/>
                <w:sz w:val="24"/>
              </w:rPr>
            </w:pPr>
            <w:r>
              <w:rPr>
                <w:rFonts w:hint="eastAsia" w:ascii="宋体" w:hAnsi="宋体" w:cs="宋体"/>
                <w:bCs/>
                <w:sz w:val="24"/>
              </w:rPr>
              <w:t>1</w:t>
            </w:r>
          </w:p>
        </w:tc>
        <w:tc>
          <w:tcPr>
            <w:tcW w:w="1882" w:type="dxa"/>
            <w:vAlign w:val="center"/>
          </w:tcPr>
          <w:p w14:paraId="48C1BB9B">
            <w:pPr>
              <w:adjustRightInd w:val="0"/>
              <w:jc w:val="center"/>
              <w:textAlignment w:val="baseline"/>
              <w:rPr>
                <w:rFonts w:ascii="宋体" w:hAnsi="宋体" w:cs="宋体"/>
                <w:bCs/>
                <w:sz w:val="24"/>
              </w:rPr>
            </w:pPr>
            <w:r>
              <w:rPr>
                <w:rFonts w:hint="eastAsia" w:ascii="宋体" w:hAnsi="宋体" w:cs="宋体"/>
                <w:bCs/>
                <w:sz w:val="24"/>
              </w:rPr>
              <w:t>项</w:t>
            </w:r>
          </w:p>
        </w:tc>
      </w:tr>
    </w:tbl>
    <w:p w14:paraId="3F2A9701">
      <w:pPr>
        <w:spacing w:line="360" w:lineRule="auto"/>
        <w:contextualSpacing/>
        <w:rPr>
          <w:rFonts w:ascii="宋体" w:hAnsi="宋体" w:cs="宋体"/>
          <w:bCs/>
          <w:sz w:val="24"/>
        </w:rPr>
      </w:pPr>
      <w:r>
        <w:rPr>
          <w:rFonts w:hint="eastAsia" w:ascii="宋体" w:hAnsi="宋体" w:cs="宋体"/>
          <w:bCs/>
          <w:sz w:val="24"/>
        </w:rPr>
        <w:t>2. 项目背景</w:t>
      </w:r>
    </w:p>
    <w:p w14:paraId="6BA50A3F">
      <w:pPr>
        <w:spacing w:line="400" w:lineRule="exact"/>
        <w:ind w:firstLine="420" w:firstLineChars="175"/>
        <w:rPr>
          <w:rFonts w:ascii="宋体" w:hAnsi="宋体" w:cs="宋体"/>
          <w:bCs/>
          <w:sz w:val="24"/>
        </w:rPr>
      </w:pPr>
      <w:r>
        <w:rPr>
          <w:rFonts w:hint="eastAsia" w:ascii="宋体" w:hAnsi="宋体" w:cs="宋体"/>
          <w:bCs/>
          <w:sz w:val="24"/>
        </w:rPr>
        <w:t>北京市城市管理委员会是负责北京市城市管理、城乡环境建设的综合协调和市容环境卫生管理、能源日常运行管理、相关市政公用事业管理的市政府组成部门。本次项目采购单位为北京市城市运行管理事务中心，北京市城市运行管理事务中心是北京市城市管理委员会的直属事业单位，承担本市城市管理“一网统管”相关平台建设、运行和数据信息管理等具体工作；负责城市运行智能感知体系建设、城市运行态势与数据监测、分析、预警等事务性工作，承</w:t>
      </w:r>
      <w:bookmarkStart w:id="1" w:name="_GoBack"/>
      <w:bookmarkEnd w:id="1"/>
      <w:r>
        <w:rPr>
          <w:rFonts w:hint="eastAsia" w:ascii="宋体" w:hAnsi="宋体" w:cs="宋体"/>
          <w:bCs/>
          <w:sz w:val="24"/>
        </w:rPr>
        <w:t>担能源运行、户外广告以及安全生产、应急值守、“接诉即办”等城市运行领域的事务性工作。按照城市运行一网统管的要求，实行集约化建设，以构建安全稳定高效的信息化基础环境。运用物联网、云计算、大数据等信息技术，加强信息资源共享开放，不断提高网络安全防护水平，提升应急响应、事件快速处置能力，加强安全监控，确保信息系统安全稳定运行。</w:t>
      </w:r>
    </w:p>
    <w:p w14:paraId="049DF1F0">
      <w:pPr>
        <w:spacing w:line="360" w:lineRule="auto"/>
        <w:contextualSpacing/>
        <w:rPr>
          <w:rFonts w:ascii="宋体" w:hAnsi="宋体" w:cs="宋体"/>
          <w:bCs/>
          <w:sz w:val="24"/>
        </w:rPr>
      </w:pPr>
      <w:r>
        <w:rPr>
          <w:rFonts w:hint="eastAsia" w:ascii="宋体" w:hAnsi="宋体" w:cs="宋体"/>
          <w:bCs/>
          <w:sz w:val="24"/>
        </w:rPr>
        <w:t>3. 信息系统清单</w:t>
      </w:r>
    </w:p>
    <w:tbl>
      <w:tblPr>
        <w:tblStyle w:val="5"/>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7429"/>
      </w:tblGrid>
      <w:tr w14:paraId="2192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1F535C08">
            <w:pPr>
              <w:pStyle w:val="4"/>
              <w:spacing w:beforeAutospacing="0"/>
              <w:jc w:val="center"/>
              <w:rPr>
                <w:bCs/>
              </w:rPr>
            </w:pPr>
            <w:r>
              <w:rPr>
                <w:rFonts w:hint="eastAsia"/>
                <w:bCs/>
              </w:rPr>
              <w:t>序号</w:t>
            </w:r>
          </w:p>
        </w:tc>
        <w:tc>
          <w:tcPr>
            <w:tcW w:w="7429" w:type="dxa"/>
            <w:vAlign w:val="center"/>
          </w:tcPr>
          <w:p w14:paraId="081BC607">
            <w:pPr>
              <w:pStyle w:val="4"/>
              <w:spacing w:beforeAutospacing="0"/>
              <w:jc w:val="center"/>
              <w:rPr>
                <w:bCs/>
              </w:rPr>
            </w:pPr>
            <w:r>
              <w:rPr>
                <w:rFonts w:hint="eastAsia"/>
                <w:bCs/>
              </w:rPr>
              <w:t>信息系统名称</w:t>
            </w:r>
          </w:p>
        </w:tc>
      </w:tr>
      <w:tr w14:paraId="1289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4B500F77">
            <w:pPr>
              <w:pStyle w:val="4"/>
              <w:spacing w:beforeAutospacing="0"/>
              <w:jc w:val="center"/>
              <w:rPr>
                <w:bCs/>
              </w:rPr>
            </w:pPr>
            <w:r>
              <w:rPr>
                <w:rFonts w:hint="eastAsia"/>
                <w:bCs/>
              </w:rPr>
              <w:t>1</w:t>
            </w:r>
          </w:p>
        </w:tc>
        <w:tc>
          <w:tcPr>
            <w:tcW w:w="7429" w:type="dxa"/>
            <w:vAlign w:val="center"/>
          </w:tcPr>
          <w:p w14:paraId="0D230408">
            <w:pPr>
              <w:pStyle w:val="4"/>
              <w:spacing w:beforeAutospacing="0"/>
              <w:jc w:val="center"/>
              <w:rPr>
                <w:bCs/>
              </w:rPr>
            </w:pPr>
            <w:r>
              <w:rPr>
                <w:rFonts w:hint="eastAsia"/>
                <w:bCs/>
              </w:rPr>
              <w:t>北京市建筑垃圾循环利用共享平台</w:t>
            </w:r>
          </w:p>
        </w:tc>
      </w:tr>
      <w:tr w14:paraId="7C08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88" w:type="dxa"/>
            <w:vAlign w:val="center"/>
          </w:tcPr>
          <w:p w14:paraId="1D5051D2">
            <w:pPr>
              <w:pStyle w:val="4"/>
              <w:spacing w:beforeAutospacing="0"/>
              <w:jc w:val="center"/>
              <w:rPr>
                <w:bCs/>
              </w:rPr>
            </w:pPr>
            <w:r>
              <w:rPr>
                <w:rFonts w:hint="eastAsia"/>
                <w:bCs/>
              </w:rPr>
              <w:t>2</w:t>
            </w:r>
          </w:p>
        </w:tc>
        <w:tc>
          <w:tcPr>
            <w:tcW w:w="7429" w:type="dxa"/>
            <w:vAlign w:val="center"/>
          </w:tcPr>
          <w:p w14:paraId="1B1A5008">
            <w:pPr>
              <w:pStyle w:val="4"/>
              <w:spacing w:beforeAutospacing="0"/>
              <w:jc w:val="center"/>
              <w:rPr>
                <w:bCs/>
              </w:rPr>
            </w:pPr>
            <w:r>
              <w:rPr>
                <w:rFonts w:hint="eastAsia"/>
                <w:bCs/>
              </w:rPr>
              <w:t>北京市建筑垃圾车辆运输管理系统</w:t>
            </w:r>
          </w:p>
        </w:tc>
      </w:tr>
      <w:tr w14:paraId="50A6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1D50C7C3">
            <w:pPr>
              <w:pStyle w:val="4"/>
              <w:spacing w:beforeAutospacing="0"/>
              <w:jc w:val="center"/>
              <w:rPr>
                <w:bCs/>
              </w:rPr>
            </w:pPr>
            <w:r>
              <w:rPr>
                <w:rFonts w:hint="eastAsia"/>
                <w:bCs/>
              </w:rPr>
              <w:t>3</w:t>
            </w:r>
          </w:p>
        </w:tc>
        <w:tc>
          <w:tcPr>
            <w:tcW w:w="7429" w:type="dxa"/>
            <w:vAlign w:val="center"/>
          </w:tcPr>
          <w:p w14:paraId="5F2B5308">
            <w:pPr>
              <w:pStyle w:val="4"/>
              <w:spacing w:beforeAutospacing="0"/>
              <w:jc w:val="center"/>
              <w:rPr>
                <w:bCs/>
              </w:rPr>
            </w:pPr>
            <w:r>
              <w:rPr>
                <w:rFonts w:hint="eastAsia"/>
                <w:bCs/>
              </w:rPr>
              <w:t>北京市环卫信息管理系统</w:t>
            </w:r>
          </w:p>
        </w:tc>
      </w:tr>
      <w:tr w14:paraId="688E0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0938D096">
            <w:pPr>
              <w:pStyle w:val="4"/>
              <w:spacing w:beforeAutospacing="0"/>
              <w:jc w:val="center"/>
              <w:rPr>
                <w:bCs/>
              </w:rPr>
            </w:pPr>
            <w:r>
              <w:rPr>
                <w:rFonts w:hint="eastAsia"/>
                <w:bCs/>
              </w:rPr>
              <w:t>4</w:t>
            </w:r>
          </w:p>
        </w:tc>
        <w:tc>
          <w:tcPr>
            <w:tcW w:w="7429" w:type="dxa"/>
            <w:vAlign w:val="center"/>
          </w:tcPr>
          <w:p w14:paraId="0369F17C">
            <w:pPr>
              <w:pStyle w:val="4"/>
              <w:spacing w:beforeAutospacing="0"/>
              <w:jc w:val="center"/>
              <w:rPr>
                <w:bCs/>
              </w:rPr>
            </w:pPr>
            <w:r>
              <w:rPr>
                <w:rFonts w:hint="eastAsia"/>
                <w:bCs/>
              </w:rPr>
              <w:t>北京市环境卫生管理事务中心内务信息管理系统</w:t>
            </w:r>
          </w:p>
        </w:tc>
      </w:tr>
      <w:tr w14:paraId="6699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76E0A31C">
            <w:pPr>
              <w:pStyle w:val="4"/>
              <w:spacing w:beforeAutospacing="0"/>
              <w:jc w:val="center"/>
              <w:rPr>
                <w:bCs/>
              </w:rPr>
            </w:pPr>
            <w:r>
              <w:rPr>
                <w:rFonts w:hint="eastAsia"/>
                <w:bCs/>
              </w:rPr>
              <w:t>5</w:t>
            </w:r>
          </w:p>
        </w:tc>
        <w:tc>
          <w:tcPr>
            <w:tcW w:w="7429" w:type="dxa"/>
            <w:vAlign w:val="center"/>
          </w:tcPr>
          <w:p w14:paraId="55447E18">
            <w:pPr>
              <w:pStyle w:val="4"/>
              <w:spacing w:beforeAutospacing="0"/>
              <w:jc w:val="center"/>
              <w:rPr>
                <w:bCs/>
              </w:rPr>
            </w:pPr>
            <w:r>
              <w:rPr>
                <w:rFonts w:hint="eastAsia"/>
                <w:bCs/>
              </w:rPr>
              <w:t>北京市垃圾粪便处理设施在线监控系统</w:t>
            </w:r>
          </w:p>
        </w:tc>
      </w:tr>
      <w:tr w14:paraId="4C64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628CB333">
            <w:pPr>
              <w:pStyle w:val="4"/>
              <w:spacing w:beforeAutospacing="0"/>
              <w:jc w:val="center"/>
              <w:rPr>
                <w:bCs/>
              </w:rPr>
            </w:pPr>
            <w:r>
              <w:rPr>
                <w:rFonts w:hint="eastAsia"/>
                <w:bCs/>
              </w:rPr>
              <w:t>6</w:t>
            </w:r>
          </w:p>
        </w:tc>
        <w:tc>
          <w:tcPr>
            <w:tcW w:w="7429" w:type="dxa"/>
            <w:vAlign w:val="center"/>
          </w:tcPr>
          <w:p w14:paraId="5E94ABAC">
            <w:pPr>
              <w:pStyle w:val="4"/>
              <w:spacing w:beforeAutospacing="0"/>
              <w:jc w:val="center"/>
              <w:rPr>
                <w:bCs/>
              </w:rPr>
            </w:pPr>
            <w:r>
              <w:rPr>
                <w:rFonts w:hint="eastAsia"/>
                <w:bCs/>
              </w:rPr>
              <w:t>生活垃圾全程管理信息系统（一期）-北京市生活垃圾精细化管理服务平台</w:t>
            </w:r>
          </w:p>
        </w:tc>
      </w:tr>
      <w:tr w14:paraId="2DA26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04A8FC43">
            <w:pPr>
              <w:pStyle w:val="4"/>
              <w:spacing w:beforeAutospacing="0"/>
              <w:jc w:val="center"/>
              <w:rPr>
                <w:bCs/>
              </w:rPr>
            </w:pPr>
            <w:r>
              <w:rPr>
                <w:rFonts w:hint="eastAsia"/>
                <w:bCs/>
              </w:rPr>
              <w:t>7</w:t>
            </w:r>
          </w:p>
        </w:tc>
        <w:tc>
          <w:tcPr>
            <w:tcW w:w="7429" w:type="dxa"/>
            <w:vAlign w:val="center"/>
          </w:tcPr>
          <w:p w14:paraId="30788B17">
            <w:pPr>
              <w:pStyle w:val="4"/>
              <w:spacing w:beforeAutospacing="0"/>
              <w:jc w:val="center"/>
              <w:rPr>
                <w:bCs/>
              </w:rPr>
            </w:pPr>
            <w:r>
              <w:rPr>
                <w:rFonts w:hint="eastAsia"/>
                <w:bCs/>
              </w:rPr>
              <w:t>北京市网格化城市管理平台</w:t>
            </w:r>
          </w:p>
        </w:tc>
      </w:tr>
    </w:tbl>
    <w:p w14:paraId="602003F7">
      <w:pPr>
        <w:pStyle w:val="9"/>
        <w:ind w:firstLine="0"/>
        <w:rPr>
          <w:rFonts w:ascii="宋体" w:hAnsi="宋体" w:cs="宋体"/>
          <w:bCs/>
          <w:sz w:val="24"/>
        </w:rPr>
      </w:pPr>
    </w:p>
    <w:p w14:paraId="435C6A17">
      <w:pPr>
        <w:pStyle w:val="8"/>
        <w:numPr>
          <w:ilvl w:val="0"/>
          <w:numId w:val="1"/>
        </w:numPr>
        <w:spacing w:line="360" w:lineRule="auto"/>
        <w:ind w:firstLineChars="0"/>
        <w:contextualSpacing/>
        <w:rPr>
          <w:rFonts w:ascii="宋体" w:hAnsi="宋体" w:cs="宋体"/>
          <w:b/>
          <w:sz w:val="24"/>
          <w:szCs w:val="24"/>
        </w:rPr>
      </w:pPr>
      <w:r>
        <w:rPr>
          <w:rFonts w:hint="eastAsia" w:ascii="宋体" w:hAnsi="宋体" w:cs="宋体"/>
          <w:b/>
          <w:sz w:val="24"/>
          <w:szCs w:val="24"/>
        </w:rPr>
        <w:t>商务要求</w:t>
      </w:r>
    </w:p>
    <w:p w14:paraId="76A20E5F">
      <w:pPr>
        <w:spacing w:line="360" w:lineRule="auto"/>
        <w:contextualSpacing/>
        <w:rPr>
          <w:rFonts w:ascii="宋体" w:hAnsi="宋体" w:cs="宋体"/>
          <w:i/>
          <w:sz w:val="24"/>
        </w:rPr>
      </w:pPr>
      <w:r>
        <w:rPr>
          <w:rFonts w:hint="eastAsia" w:ascii="宋体" w:hAnsi="宋体" w:cs="宋体"/>
          <w:sz w:val="24"/>
        </w:rPr>
        <w:t>1. 实施期限和地点</w:t>
      </w:r>
    </w:p>
    <w:p w14:paraId="2572787B">
      <w:pPr>
        <w:spacing w:line="400" w:lineRule="exact"/>
        <w:ind w:firstLine="420" w:firstLineChars="175"/>
        <w:rPr>
          <w:rFonts w:ascii="宋体" w:hAnsi="宋体" w:cs="宋体"/>
          <w:bCs/>
          <w:sz w:val="24"/>
        </w:rPr>
      </w:pPr>
      <w:r>
        <w:rPr>
          <w:rFonts w:hint="eastAsia" w:ascii="宋体" w:hAnsi="宋体" w:cs="宋体"/>
          <w:bCs/>
          <w:sz w:val="24"/>
        </w:rPr>
        <w:t>实施期限：一年</w:t>
      </w:r>
    </w:p>
    <w:p w14:paraId="3B87F1E3">
      <w:pPr>
        <w:spacing w:line="400" w:lineRule="exact"/>
        <w:ind w:firstLine="420" w:firstLineChars="175"/>
        <w:rPr>
          <w:rFonts w:ascii="宋体" w:hAnsi="宋体" w:cs="宋体"/>
          <w:i/>
          <w:sz w:val="24"/>
        </w:rPr>
      </w:pPr>
      <w:r>
        <w:rPr>
          <w:rFonts w:hint="eastAsia" w:ascii="宋体" w:hAnsi="宋体" w:cs="宋体"/>
          <w:bCs/>
          <w:sz w:val="24"/>
        </w:rPr>
        <w:t>实施地点：采购人指定地点</w:t>
      </w:r>
    </w:p>
    <w:p w14:paraId="6A3DB8AA">
      <w:pPr>
        <w:spacing w:line="360" w:lineRule="auto"/>
        <w:contextualSpacing/>
        <w:rPr>
          <w:rFonts w:ascii="宋体" w:hAnsi="宋体" w:cs="宋体"/>
          <w:sz w:val="24"/>
        </w:rPr>
      </w:pPr>
      <w:r>
        <w:rPr>
          <w:rFonts w:hint="eastAsia" w:ascii="宋体" w:hAnsi="宋体" w:cs="宋体"/>
          <w:sz w:val="24"/>
        </w:rPr>
        <w:t>2. 付款条件（进度和方式）</w:t>
      </w:r>
    </w:p>
    <w:p w14:paraId="296E86C3">
      <w:pPr>
        <w:pStyle w:val="9"/>
        <w:spacing w:line="400" w:lineRule="exact"/>
        <w:ind w:firstLine="482"/>
        <w:rPr>
          <w:rFonts w:ascii="宋体" w:hAnsi="宋体" w:cs="宋体"/>
          <w:bCs/>
          <w:sz w:val="24"/>
        </w:rPr>
      </w:pPr>
      <w:r>
        <w:rPr>
          <w:rFonts w:hint="eastAsia" w:ascii="宋体" w:hAnsi="宋体" w:cs="宋体"/>
          <w:bCs/>
          <w:sz w:val="24"/>
        </w:rPr>
        <w:t>本项目分2次支付项目款：</w:t>
      </w:r>
    </w:p>
    <w:p w14:paraId="70766C80">
      <w:pPr>
        <w:pStyle w:val="9"/>
        <w:spacing w:line="400" w:lineRule="exact"/>
        <w:ind w:firstLine="482"/>
        <w:rPr>
          <w:rFonts w:ascii="宋体" w:hAnsi="宋体" w:cs="宋体"/>
          <w:bCs/>
          <w:sz w:val="24"/>
        </w:rPr>
      </w:pPr>
      <w:r>
        <w:rPr>
          <w:rFonts w:hint="eastAsia" w:ascii="宋体" w:hAnsi="宋体" w:cs="宋体"/>
          <w:bCs/>
          <w:sz w:val="24"/>
        </w:rPr>
        <w:t>1、签订合同后，在执行期开始前，</w:t>
      </w:r>
      <w:r>
        <w:rPr>
          <w:rFonts w:hint="eastAsia" w:ascii="宋体" w:hAnsi="宋体" w:cs="宋体"/>
          <w:bCs/>
          <w:sz w:val="24"/>
          <w:lang w:val="en-US" w:eastAsia="zh-CN"/>
        </w:rPr>
        <w:t>采购人</w:t>
      </w:r>
      <w:r>
        <w:rPr>
          <w:rFonts w:hint="eastAsia" w:ascii="宋体" w:hAnsi="宋体" w:cs="宋体"/>
          <w:bCs/>
          <w:sz w:val="24"/>
        </w:rPr>
        <w:t>根据自身资金支出计划，向</w:t>
      </w:r>
      <w:r>
        <w:rPr>
          <w:rFonts w:hint="eastAsia" w:ascii="宋体" w:hAnsi="宋体" w:cs="宋体"/>
          <w:bCs/>
          <w:sz w:val="24"/>
          <w:lang w:val="en-US" w:eastAsia="zh-CN"/>
        </w:rPr>
        <w:t>中</w:t>
      </w:r>
      <w:r>
        <w:rPr>
          <w:rFonts w:hint="eastAsia" w:ascii="宋体" w:hAnsi="宋体" w:cs="宋体"/>
          <w:bCs/>
          <w:sz w:val="24"/>
        </w:rPr>
        <w:t>标人支付合同总金额的60%；</w:t>
      </w:r>
    </w:p>
    <w:p w14:paraId="1209BDA3">
      <w:pPr>
        <w:pStyle w:val="9"/>
        <w:spacing w:line="400" w:lineRule="exact"/>
        <w:ind w:firstLine="482"/>
        <w:rPr>
          <w:rFonts w:ascii="宋体" w:hAnsi="宋体" w:cs="宋体"/>
          <w:bCs/>
          <w:sz w:val="24"/>
        </w:rPr>
      </w:pPr>
      <w:r>
        <w:rPr>
          <w:rFonts w:hint="eastAsia" w:ascii="宋体" w:hAnsi="宋体" w:cs="宋体"/>
          <w:bCs/>
          <w:sz w:val="24"/>
        </w:rPr>
        <w:t>2、项目执行期满，</w:t>
      </w:r>
      <w:r>
        <w:rPr>
          <w:rFonts w:hint="eastAsia" w:ascii="宋体" w:hAnsi="宋体" w:cs="宋体"/>
          <w:bCs/>
          <w:sz w:val="24"/>
          <w:lang w:val="en-US" w:eastAsia="zh-CN"/>
        </w:rPr>
        <w:t>中</w:t>
      </w:r>
      <w:r>
        <w:rPr>
          <w:rFonts w:hint="eastAsia" w:ascii="宋体" w:hAnsi="宋体" w:cs="宋体"/>
          <w:bCs/>
          <w:sz w:val="24"/>
        </w:rPr>
        <w:t>标人提供本协议项下的全部服务内容并经采购人最终验收合格后二十（20）个工作日内，采购人向</w:t>
      </w:r>
      <w:r>
        <w:rPr>
          <w:rFonts w:hint="eastAsia" w:ascii="宋体" w:hAnsi="宋体" w:cs="宋体"/>
          <w:bCs/>
          <w:sz w:val="24"/>
          <w:lang w:val="en-US" w:eastAsia="zh-CN"/>
        </w:rPr>
        <w:t>中</w:t>
      </w:r>
      <w:r>
        <w:rPr>
          <w:rFonts w:hint="eastAsia" w:ascii="宋体" w:hAnsi="宋体" w:cs="宋体"/>
          <w:bCs/>
          <w:sz w:val="24"/>
        </w:rPr>
        <w:t>标人支付合同总金额的40%。</w:t>
      </w:r>
    </w:p>
    <w:p w14:paraId="17DAB39C">
      <w:pPr>
        <w:spacing w:line="360" w:lineRule="auto"/>
        <w:contextualSpacing/>
        <w:rPr>
          <w:rFonts w:ascii="宋体" w:hAnsi="宋体" w:cs="宋体"/>
          <w:sz w:val="24"/>
        </w:rPr>
      </w:pPr>
      <w:r>
        <w:rPr>
          <w:rFonts w:hint="eastAsia" w:ascii="宋体" w:hAnsi="宋体" w:cs="宋体"/>
          <w:sz w:val="24"/>
        </w:rPr>
        <w:t>3.售后服务</w:t>
      </w:r>
    </w:p>
    <w:p w14:paraId="45A83FCA">
      <w:pPr>
        <w:spacing w:line="400" w:lineRule="exact"/>
        <w:ind w:firstLine="420" w:firstLineChars="175"/>
        <w:rPr>
          <w:rFonts w:ascii="宋体" w:hAnsi="宋体" w:cs="宋体"/>
          <w:bCs/>
          <w:sz w:val="24"/>
          <w:lang w:val="zh-CN"/>
        </w:rPr>
      </w:pPr>
      <w:r>
        <w:rPr>
          <w:rFonts w:hint="eastAsia" w:ascii="宋体" w:hAnsi="宋体" w:cs="宋体"/>
          <w:bCs/>
          <w:sz w:val="24"/>
          <w:lang w:val="en-US" w:eastAsia="zh-CN"/>
        </w:rPr>
        <w:t>中</w:t>
      </w:r>
      <w:r>
        <w:rPr>
          <w:rFonts w:hint="eastAsia" w:ascii="宋体" w:hAnsi="宋体" w:cs="宋体"/>
          <w:bCs/>
          <w:sz w:val="24"/>
          <w:lang w:val="zh-CN"/>
        </w:rPr>
        <w:t>标人应成立专门的技术支持和售后服务小组，提供完善周到的本地化服务，具有7*24小时的维护支持能力以及优先服务级别。</w:t>
      </w:r>
      <w:r>
        <w:rPr>
          <w:rFonts w:hint="eastAsia" w:ascii="宋体" w:hAnsi="宋体" w:cs="宋体"/>
          <w:bCs/>
          <w:sz w:val="24"/>
          <w:lang w:val="en-US" w:eastAsia="zh-CN"/>
        </w:rPr>
        <w:t>中</w:t>
      </w:r>
      <w:r>
        <w:rPr>
          <w:rFonts w:hint="eastAsia" w:ascii="宋体" w:hAnsi="宋体" w:cs="宋体"/>
          <w:bCs/>
          <w:sz w:val="24"/>
          <w:lang w:val="zh-CN"/>
        </w:rPr>
        <w:t>标人应提供具体的技术支持和售后服务方案。</w:t>
      </w:r>
    </w:p>
    <w:p w14:paraId="03C40733">
      <w:pPr>
        <w:spacing w:line="400" w:lineRule="exact"/>
        <w:ind w:firstLine="420" w:firstLineChars="175"/>
        <w:rPr>
          <w:rFonts w:ascii="宋体" w:hAnsi="宋体" w:cs="宋体"/>
          <w:bCs/>
          <w:sz w:val="24"/>
          <w:lang w:val="zh-CN"/>
        </w:rPr>
      </w:pPr>
      <w:r>
        <w:rPr>
          <w:rFonts w:hint="eastAsia" w:ascii="宋体" w:hAnsi="宋体" w:cs="宋体"/>
          <w:bCs/>
          <w:sz w:val="24"/>
          <w:lang w:val="zh-CN"/>
        </w:rPr>
        <w:t>自租用期始至服务期止，需向采购人提供以下两方面内容。</w:t>
      </w:r>
    </w:p>
    <w:p w14:paraId="2E9874A2">
      <w:pPr>
        <w:spacing w:line="400" w:lineRule="exact"/>
        <w:ind w:firstLine="420" w:firstLineChars="175"/>
        <w:rPr>
          <w:rFonts w:ascii="宋体" w:hAnsi="宋体" w:cs="宋体"/>
          <w:bCs/>
          <w:sz w:val="24"/>
          <w:lang w:val="zh-CN"/>
        </w:rPr>
      </w:pPr>
      <w:r>
        <w:rPr>
          <w:rFonts w:hint="eastAsia" w:ascii="宋体" w:hAnsi="宋体" w:cs="宋体"/>
          <w:bCs/>
          <w:sz w:val="24"/>
          <w:lang w:val="zh-CN"/>
        </w:rPr>
        <w:t>（</w:t>
      </w:r>
      <w:r>
        <w:rPr>
          <w:rFonts w:hint="eastAsia" w:ascii="宋体" w:hAnsi="宋体" w:cs="宋体"/>
          <w:bCs/>
          <w:sz w:val="24"/>
        </w:rPr>
        <w:t>1</w:t>
      </w:r>
      <w:r>
        <w:rPr>
          <w:rFonts w:hint="eastAsia" w:ascii="宋体" w:hAnsi="宋体" w:cs="宋体"/>
          <w:bCs/>
          <w:sz w:val="24"/>
          <w:lang w:val="zh-CN"/>
        </w:rPr>
        <w:t>）定期向采购人提供月度服务报告。</w:t>
      </w:r>
    </w:p>
    <w:p w14:paraId="1578CF28">
      <w:pPr>
        <w:spacing w:line="400" w:lineRule="exact"/>
        <w:ind w:firstLine="420" w:firstLineChars="175"/>
        <w:rPr>
          <w:rFonts w:ascii="宋体" w:hAnsi="宋体" w:cs="宋体"/>
          <w:bCs/>
          <w:sz w:val="24"/>
        </w:rPr>
      </w:pPr>
      <w:r>
        <w:rPr>
          <w:rFonts w:hint="eastAsia" w:ascii="宋体" w:hAnsi="宋体" w:cs="宋体"/>
          <w:bCs/>
          <w:sz w:val="24"/>
          <w:lang w:val="zh-CN"/>
        </w:rPr>
        <w:t>（</w:t>
      </w:r>
      <w:r>
        <w:rPr>
          <w:rFonts w:hint="eastAsia" w:ascii="宋体" w:hAnsi="宋体" w:cs="宋体"/>
          <w:bCs/>
          <w:sz w:val="24"/>
        </w:rPr>
        <w:t>2</w:t>
      </w:r>
      <w:r>
        <w:rPr>
          <w:rFonts w:hint="eastAsia" w:ascii="宋体" w:hAnsi="宋体" w:cs="宋体"/>
          <w:bCs/>
          <w:sz w:val="24"/>
          <w:lang w:val="zh-CN"/>
        </w:rPr>
        <w:t>）至少提前一天通知即将进行的，与采购人系统运行相关的安全事件、项目施工、功能或者性能调整工作。</w:t>
      </w:r>
    </w:p>
    <w:p w14:paraId="23946995">
      <w:pPr>
        <w:pStyle w:val="8"/>
        <w:numPr>
          <w:ilvl w:val="0"/>
          <w:numId w:val="1"/>
        </w:numPr>
        <w:spacing w:line="360" w:lineRule="auto"/>
        <w:ind w:firstLineChars="0"/>
        <w:contextualSpacing/>
        <w:rPr>
          <w:rFonts w:ascii="宋体" w:hAnsi="宋体" w:cs="宋体"/>
          <w:b/>
          <w:sz w:val="24"/>
          <w:szCs w:val="24"/>
        </w:rPr>
      </w:pPr>
      <w:r>
        <w:rPr>
          <w:rFonts w:hint="eastAsia" w:ascii="宋体" w:hAnsi="宋体" w:cs="宋体"/>
          <w:b/>
          <w:sz w:val="24"/>
          <w:szCs w:val="24"/>
        </w:rPr>
        <w:t>技术要求</w:t>
      </w:r>
    </w:p>
    <w:p w14:paraId="003046DE">
      <w:pPr>
        <w:numPr>
          <w:ilvl w:val="0"/>
          <w:numId w:val="2"/>
        </w:numPr>
        <w:spacing w:line="360" w:lineRule="auto"/>
        <w:contextualSpacing/>
        <w:rPr>
          <w:rFonts w:ascii="宋体" w:hAnsi="宋体" w:cs="宋体"/>
          <w:sz w:val="24"/>
        </w:rPr>
      </w:pPr>
      <w:r>
        <w:rPr>
          <w:rFonts w:hint="eastAsia" w:ascii="宋体" w:hAnsi="宋体" w:cs="宋体"/>
          <w:sz w:val="24"/>
        </w:rPr>
        <w:t>基本要求</w:t>
      </w:r>
    </w:p>
    <w:p w14:paraId="40DE81D5">
      <w:pPr>
        <w:pStyle w:val="9"/>
        <w:ind w:firstLineChars="200"/>
        <w:rPr>
          <w:rFonts w:ascii="宋体" w:hAnsi="宋体" w:cs="宋体"/>
          <w:sz w:val="24"/>
        </w:rPr>
      </w:pPr>
      <w:r>
        <w:rPr>
          <w:rFonts w:hint="eastAsia" w:ascii="宋体" w:hAnsi="宋体" w:cs="宋体"/>
          <w:sz w:val="24"/>
        </w:rPr>
        <w:t>1.1项目基本信息</w:t>
      </w:r>
    </w:p>
    <w:p w14:paraId="4EAE5191">
      <w:pPr>
        <w:widowControl/>
        <w:snapToGrid w:val="0"/>
        <w:spacing w:line="400" w:lineRule="exact"/>
        <w:ind w:firstLine="444" w:firstLineChars="185"/>
        <w:rPr>
          <w:rFonts w:ascii="宋体" w:hAnsi="宋体" w:cs="宋体"/>
          <w:bCs/>
          <w:sz w:val="24"/>
          <w:u w:val="single"/>
        </w:rPr>
      </w:pPr>
      <w:r>
        <w:rPr>
          <w:rFonts w:hint="eastAsia" w:ascii="宋体" w:hAnsi="宋体" w:cs="宋体"/>
          <w:bCs/>
          <w:sz w:val="24"/>
        </w:rPr>
        <w:t>项目名称：2025年北京市城市管理委员会政务云租用项目-北京市网格化城市管理等系统</w:t>
      </w:r>
    </w:p>
    <w:p w14:paraId="275361F7">
      <w:pPr>
        <w:pStyle w:val="9"/>
        <w:spacing w:line="400" w:lineRule="exact"/>
        <w:ind w:firstLine="482" w:firstLineChars="200"/>
        <w:rPr>
          <w:rFonts w:ascii="宋体" w:hAnsi="宋体" w:cs="宋体"/>
          <w:bCs/>
          <w:sz w:val="24"/>
        </w:rPr>
      </w:pPr>
      <w:r>
        <w:rPr>
          <w:rFonts w:hint="eastAsia" w:ascii="宋体" w:hAnsi="宋体" w:cs="宋体"/>
          <w:b/>
          <w:bCs w:val="0"/>
          <w:sz w:val="24"/>
        </w:rPr>
        <w:t>预算金额：</w:t>
      </w:r>
      <w:r>
        <w:rPr>
          <w:rFonts w:ascii="宋体" w:hAnsi="宋体" w:cs="宋体"/>
          <w:b/>
          <w:bCs w:val="0"/>
          <w:sz w:val="24"/>
          <w:u w:val="single"/>
        </w:rPr>
        <w:t>883.05</w:t>
      </w:r>
      <w:r>
        <w:rPr>
          <w:rFonts w:hint="eastAsia" w:ascii="宋体" w:hAnsi="宋体" w:cs="宋体"/>
          <w:b/>
          <w:bCs w:val="0"/>
          <w:sz w:val="24"/>
        </w:rPr>
        <w:t>万元，其中包括政务云租用云计算服务预算：</w:t>
      </w:r>
      <w:r>
        <w:rPr>
          <w:rFonts w:ascii="宋体" w:hAnsi="宋体" w:cs="宋体"/>
          <w:b/>
          <w:bCs w:val="0"/>
          <w:sz w:val="24"/>
          <w:u w:val="single"/>
        </w:rPr>
        <w:t>504.84</w:t>
      </w:r>
      <w:r>
        <w:rPr>
          <w:rFonts w:hint="eastAsia" w:ascii="宋体" w:hAnsi="宋体" w:cs="宋体"/>
          <w:b/>
          <w:bCs w:val="0"/>
          <w:sz w:val="24"/>
        </w:rPr>
        <w:t>万元，政务云租用扩展服务预算</w:t>
      </w:r>
      <w:r>
        <w:rPr>
          <w:rFonts w:ascii="宋体" w:hAnsi="宋体" w:cs="宋体"/>
          <w:b/>
          <w:bCs w:val="0"/>
          <w:sz w:val="24"/>
          <w:u w:val="single"/>
        </w:rPr>
        <w:t>378.21</w:t>
      </w:r>
      <w:r>
        <w:rPr>
          <w:rFonts w:hint="eastAsia" w:ascii="宋体" w:hAnsi="宋体" w:cs="宋体"/>
          <w:b/>
          <w:bCs w:val="0"/>
          <w:sz w:val="24"/>
        </w:rPr>
        <w:t>万元</w:t>
      </w:r>
      <w:r>
        <w:rPr>
          <w:rFonts w:hint="eastAsia" w:ascii="宋体" w:hAnsi="宋体" w:cs="宋体"/>
          <w:bCs/>
          <w:sz w:val="24"/>
        </w:rPr>
        <w:t>。</w:t>
      </w:r>
    </w:p>
    <w:p w14:paraId="1BAB3043">
      <w:pPr>
        <w:pStyle w:val="9"/>
        <w:spacing w:line="400" w:lineRule="exact"/>
        <w:ind w:firstLine="482" w:firstLineChars="200"/>
        <w:rPr>
          <w:rFonts w:ascii="宋体" w:hAnsi="宋体" w:cs="宋体"/>
          <w:b/>
          <w:sz w:val="24"/>
        </w:rPr>
      </w:pPr>
      <w:r>
        <w:rPr>
          <w:rFonts w:hint="eastAsia" w:ascii="宋体" w:hAnsi="宋体" w:cs="宋体"/>
          <w:b/>
          <w:sz w:val="24"/>
        </w:rPr>
        <w:t>★注：投标报价必须按政务云租用云计算服务部分和政务云租用扩展服务部分分别进行报价，且不得超出各自预算，否则按无效投标处理。</w:t>
      </w:r>
    </w:p>
    <w:p w14:paraId="4B33C90A">
      <w:pPr>
        <w:pStyle w:val="9"/>
        <w:ind w:firstLineChars="200"/>
        <w:rPr>
          <w:rFonts w:ascii="宋体" w:hAnsi="宋体" w:cs="宋体"/>
          <w:sz w:val="24"/>
        </w:rPr>
      </w:pPr>
      <w:r>
        <w:rPr>
          <w:rFonts w:hint="eastAsia" w:ascii="宋体" w:hAnsi="宋体" w:cs="宋体"/>
          <w:sz w:val="24"/>
        </w:rPr>
        <w:t>1.2项目目标</w:t>
      </w:r>
    </w:p>
    <w:p w14:paraId="35294C23">
      <w:pPr>
        <w:widowControl/>
        <w:snapToGrid w:val="0"/>
        <w:spacing w:line="400" w:lineRule="exact"/>
        <w:ind w:firstLine="444" w:firstLineChars="185"/>
        <w:rPr>
          <w:rFonts w:ascii="宋体" w:hAnsi="宋体" w:cs="宋体"/>
          <w:bCs/>
          <w:sz w:val="24"/>
        </w:rPr>
      </w:pPr>
      <w:r>
        <w:rPr>
          <w:rFonts w:hint="eastAsia" w:ascii="宋体" w:hAnsi="宋体" w:cs="宋体"/>
          <w:sz w:val="24"/>
        </w:rPr>
        <w:t>为北京市城市管理委员会已入云的北京市网格化城市管理平台等系统提供政务云租用服务，通过配置北京市政务云的计算服务、存储服务、网络服务、云主机深度监控服务等各类服务，满足云上信息系统的基础运行环境需求。同时，通过开展基础软件支撑服务、</w:t>
      </w:r>
      <w:r>
        <w:rPr>
          <w:rFonts w:hint="eastAsia" w:ascii="宋体" w:hAnsi="宋体" w:cs="宋体"/>
          <w:bCs/>
          <w:sz w:val="24"/>
        </w:rPr>
        <w:t>安全监测及防护服务</w:t>
      </w:r>
      <w:r>
        <w:rPr>
          <w:rFonts w:hint="eastAsia" w:ascii="宋体" w:hAnsi="宋体" w:cs="宋体"/>
          <w:sz w:val="24"/>
        </w:rPr>
        <w:t>等服务，完成信息系统的日常运维和安全运维服务工作，确保系统在云上安全、稳定地运行</w:t>
      </w:r>
      <w:r>
        <w:rPr>
          <w:rFonts w:hint="eastAsia" w:ascii="宋体" w:hAnsi="宋体" w:cs="宋体"/>
          <w:bCs/>
          <w:sz w:val="24"/>
        </w:rPr>
        <w:t>。</w:t>
      </w:r>
    </w:p>
    <w:p w14:paraId="3E8E960B">
      <w:pPr>
        <w:numPr>
          <w:ilvl w:val="0"/>
          <w:numId w:val="2"/>
        </w:numPr>
        <w:spacing w:line="360" w:lineRule="auto"/>
        <w:contextualSpacing/>
        <w:rPr>
          <w:rFonts w:ascii="宋体" w:hAnsi="宋体" w:cs="宋体"/>
          <w:sz w:val="24"/>
        </w:rPr>
      </w:pPr>
      <w:r>
        <w:rPr>
          <w:rFonts w:hint="eastAsia" w:ascii="宋体" w:hAnsi="宋体" w:cs="宋体"/>
          <w:sz w:val="24"/>
        </w:rPr>
        <w:t>服务内容</w:t>
      </w:r>
    </w:p>
    <w:p w14:paraId="083F877A">
      <w:pPr>
        <w:pStyle w:val="9"/>
        <w:ind w:firstLineChars="200"/>
        <w:rPr>
          <w:rFonts w:ascii="宋体" w:hAnsi="宋体" w:cs="宋体"/>
          <w:sz w:val="24"/>
        </w:rPr>
      </w:pPr>
      <w:r>
        <w:rPr>
          <w:rFonts w:hint="eastAsia" w:ascii="宋体" w:hAnsi="宋体" w:cs="宋体"/>
          <w:sz w:val="24"/>
        </w:rPr>
        <w:t>2.1内容概述</w:t>
      </w:r>
    </w:p>
    <w:p w14:paraId="584BE48C">
      <w:pPr>
        <w:widowControl/>
        <w:snapToGrid w:val="0"/>
        <w:spacing w:line="400" w:lineRule="exact"/>
        <w:ind w:firstLine="444" w:firstLineChars="185"/>
        <w:rPr>
          <w:rFonts w:ascii="宋体" w:hAnsi="宋体" w:cs="宋体"/>
          <w:bCs/>
          <w:sz w:val="24"/>
        </w:rPr>
      </w:pPr>
      <w:r>
        <w:rPr>
          <w:rFonts w:hint="eastAsia" w:ascii="宋体" w:hAnsi="宋体" w:cs="宋体"/>
          <w:bCs/>
          <w:sz w:val="24"/>
        </w:rPr>
        <w:t>政务云租用服务包括计算服务、存储服务、网络服务、云主机深度监控服务、基础软件租用、安全监测及防护服务和数据库及其它服务等。</w:t>
      </w:r>
    </w:p>
    <w:p w14:paraId="5D0691F9">
      <w:pPr>
        <w:widowControl/>
        <w:snapToGrid w:val="0"/>
        <w:spacing w:line="400" w:lineRule="exact"/>
        <w:ind w:firstLine="444" w:firstLineChars="185"/>
        <w:rPr>
          <w:rFonts w:ascii="宋体" w:hAnsi="宋体" w:cs="宋体"/>
          <w:bCs/>
          <w:sz w:val="24"/>
        </w:rPr>
      </w:pPr>
      <w:r>
        <w:rPr>
          <w:rFonts w:hint="eastAsia" w:ascii="宋体" w:hAnsi="宋体" w:cs="宋体"/>
          <w:bCs/>
          <w:sz w:val="24"/>
        </w:rPr>
        <w:t>（1）计算服务</w:t>
      </w:r>
    </w:p>
    <w:p w14:paraId="2AAFAA2D">
      <w:pPr>
        <w:widowControl/>
        <w:snapToGrid w:val="0"/>
        <w:spacing w:line="400" w:lineRule="exact"/>
        <w:ind w:firstLine="444" w:firstLineChars="185"/>
        <w:rPr>
          <w:rFonts w:ascii="宋体" w:hAnsi="宋体" w:cs="宋体"/>
          <w:bCs/>
          <w:sz w:val="24"/>
        </w:rPr>
      </w:pPr>
      <w:r>
        <w:rPr>
          <w:rFonts w:hint="eastAsia" w:ascii="宋体" w:hAnsi="宋体" w:cs="宋体"/>
          <w:bCs/>
          <w:sz w:val="24"/>
        </w:rPr>
        <w:t>为北京市城市管理委员会部署在政务云平台中的信息系统提供x86平台云主机服务和x86物理服务器租用服务。</w:t>
      </w:r>
    </w:p>
    <w:p w14:paraId="78A22DE9">
      <w:pPr>
        <w:widowControl/>
        <w:snapToGrid w:val="0"/>
        <w:spacing w:line="400" w:lineRule="exact"/>
        <w:ind w:firstLine="444" w:firstLineChars="185"/>
        <w:rPr>
          <w:rFonts w:ascii="宋体" w:hAnsi="宋体" w:cs="宋体"/>
          <w:bCs/>
          <w:sz w:val="24"/>
        </w:rPr>
      </w:pPr>
      <w:r>
        <w:rPr>
          <w:rFonts w:hint="eastAsia" w:ascii="宋体" w:hAnsi="宋体" w:cs="宋体"/>
          <w:bCs/>
          <w:sz w:val="24"/>
        </w:rPr>
        <w:t>（2）存储服务与备份服务</w:t>
      </w:r>
    </w:p>
    <w:p w14:paraId="686588C2">
      <w:pPr>
        <w:widowControl/>
        <w:snapToGrid w:val="0"/>
        <w:spacing w:line="400" w:lineRule="exact"/>
        <w:ind w:firstLine="444" w:firstLineChars="185"/>
        <w:rPr>
          <w:rFonts w:ascii="宋体" w:hAnsi="宋体" w:cs="宋体"/>
          <w:bCs/>
          <w:sz w:val="24"/>
        </w:rPr>
      </w:pPr>
      <w:r>
        <w:rPr>
          <w:rFonts w:hint="eastAsia" w:ascii="宋体" w:hAnsi="宋体" w:cs="宋体"/>
          <w:bCs/>
          <w:sz w:val="24"/>
        </w:rPr>
        <w:t>选择普通存储存放备份数据，选择高性能存储存放业务数据。其中，高性能存储采用双活存储，解决数据中心存储单点故障导致业务停顿和数据丢失的问题；普通存储采用分布式文件系统通过数据保护技术将数据保存在不同节点中解决数据中心存储单点故障导致业务停顿和数据丢失的问题。</w:t>
      </w:r>
    </w:p>
    <w:p w14:paraId="7773A371">
      <w:pPr>
        <w:widowControl/>
        <w:snapToGrid w:val="0"/>
        <w:spacing w:line="400" w:lineRule="exact"/>
        <w:ind w:firstLine="444" w:firstLineChars="185"/>
        <w:rPr>
          <w:rFonts w:hint="eastAsia" w:ascii="宋体" w:hAnsi="宋体" w:cs="宋体"/>
          <w:bCs/>
          <w:sz w:val="24"/>
        </w:rPr>
      </w:pPr>
      <w:r>
        <w:rPr>
          <w:rFonts w:hint="eastAsia" w:ascii="宋体" w:hAnsi="宋体" w:cs="宋体"/>
          <w:bCs/>
          <w:sz w:val="24"/>
        </w:rPr>
        <w:t>本地备份服务，根据应用系统的具体需求，配合采购人制定系统级备份、应用级备份和数据备份方案。备份可实现对用户数据（文件、操作系统、数据库）的本地备份，默认提供非结构化数据保护、Windows/Linux/Unix操作系统备份保护及对应平台的数据库、文件备份保护。</w:t>
      </w:r>
    </w:p>
    <w:p w14:paraId="01447F8D">
      <w:pPr>
        <w:widowControl/>
        <w:snapToGrid w:val="0"/>
        <w:spacing w:line="400" w:lineRule="exact"/>
        <w:ind w:firstLine="444" w:firstLineChars="185"/>
        <w:rPr>
          <w:rFonts w:ascii="宋体" w:hAnsi="宋体" w:cs="宋体"/>
          <w:bCs/>
          <w:sz w:val="24"/>
        </w:rPr>
      </w:pPr>
      <w:r>
        <w:rPr>
          <w:rFonts w:hint="eastAsia" w:ascii="宋体" w:hAnsi="宋体" w:cs="宋体"/>
          <w:bCs/>
          <w:sz w:val="24"/>
        </w:rPr>
        <w:t>数据备份策略与频率：虚拟机每周备份1次，</w:t>
      </w:r>
      <w:r>
        <w:rPr>
          <w:rFonts w:hint="eastAsia" w:ascii="宋体" w:hAnsi="宋体" w:cs="宋体"/>
          <w:bCs/>
          <w:sz w:val="24"/>
          <w:lang w:val="en-US" w:eastAsia="zh-CN"/>
        </w:rPr>
        <w:t>滚动</w:t>
      </w:r>
      <w:r>
        <w:rPr>
          <w:rFonts w:hint="eastAsia" w:ascii="宋体" w:hAnsi="宋体" w:cs="宋体"/>
          <w:bCs/>
          <w:sz w:val="24"/>
        </w:rPr>
        <w:t>保留2份副本</w:t>
      </w:r>
      <w:r>
        <w:rPr>
          <w:rFonts w:hint="eastAsia" w:ascii="宋体" w:hAnsi="宋体" w:cs="宋体"/>
          <w:bCs/>
          <w:sz w:val="24"/>
          <w:lang w:eastAsia="zh-CN"/>
        </w:rPr>
        <w:t>，</w:t>
      </w:r>
      <w:r>
        <w:rPr>
          <w:rFonts w:hint="eastAsia" w:ascii="宋体" w:hAnsi="宋体" w:cs="宋体"/>
          <w:bCs/>
          <w:sz w:val="24"/>
          <w:lang w:val="en-US" w:eastAsia="zh-CN"/>
        </w:rPr>
        <w:t>即虚拟机第三次周备份完成后，覆盖第一周的备份数据，以此滚动保存，保障采购人可以恢复故障时前2周的数据。</w:t>
      </w:r>
      <w:r>
        <w:rPr>
          <w:rFonts w:hint="eastAsia" w:ascii="宋体" w:hAnsi="宋体" w:cs="宋体"/>
          <w:bCs/>
          <w:sz w:val="24"/>
        </w:rPr>
        <w:t>数据库文件每天增量备份，每周全量备份</w:t>
      </w:r>
      <w:r>
        <w:rPr>
          <w:rFonts w:hint="eastAsia" w:ascii="宋体" w:hAnsi="宋体" w:cs="宋体"/>
          <w:bCs/>
          <w:sz w:val="24"/>
          <w:lang w:eastAsia="zh-CN"/>
        </w:rPr>
        <w:t>，</w:t>
      </w:r>
      <w:r>
        <w:rPr>
          <w:rFonts w:hint="eastAsia" w:ascii="宋体" w:hAnsi="宋体" w:cs="宋体"/>
          <w:bCs/>
          <w:sz w:val="24"/>
          <w:lang w:val="en-US" w:eastAsia="zh-CN"/>
        </w:rPr>
        <w:t>滚动</w:t>
      </w:r>
      <w:r>
        <w:rPr>
          <w:rFonts w:hint="eastAsia" w:ascii="宋体" w:hAnsi="宋体" w:cs="宋体"/>
          <w:bCs/>
          <w:sz w:val="24"/>
        </w:rPr>
        <w:t>保留2份副本</w:t>
      </w:r>
      <w:r>
        <w:rPr>
          <w:rFonts w:hint="eastAsia" w:ascii="宋体" w:hAnsi="宋体" w:cs="宋体"/>
          <w:bCs/>
          <w:sz w:val="24"/>
          <w:lang w:eastAsia="zh-CN"/>
        </w:rPr>
        <w:t>，</w:t>
      </w:r>
      <w:r>
        <w:rPr>
          <w:rFonts w:hint="eastAsia" w:ascii="宋体" w:hAnsi="宋体" w:cs="宋体"/>
          <w:bCs/>
          <w:sz w:val="24"/>
          <w:lang w:val="en-US" w:eastAsia="zh-CN"/>
        </w:rPr>
        <w:t>即第三次全量备份完成后覆盖第一次全量备份的数据，以此滚动保存，保障采购人可以恢复故障时前2周的数据。</w:t>
      </w:r>
    </w:p>
    <w:p w14:paraId="078F3861">
      <w:pPr>
        <w:widowControl/>
        <w:snapToGrid w:val="0"/>
        <w:spacing w:line="400" w:lineRule="exact"/>
        <w:ind w:firstLine="444" w:firstLineChars="185"/>
        <w:rPr>
          <w:rFonts w:ascii="宋体" w:hAnsi="宋体" w:cs="宋体"/>
          <w:bCs/>
          <w:sz w:val="24"/>
        </w:rPr>
      </w:pPr>
      <w:r>
        <w:rPr>
          <w:rFonts w:hint="eastAsia" w:ascii="宋体" w:hAnsi="宋体" w:cs="宋体"/>
          <w:bCs/>
          <w:sz w:val="24"/>
        </w:rPr>
        <w:t>（3）网络服务</w:t>
      </w:r>
    </w:p>
    <w:p w14:paraId="5F12A1E8">
      <w:pPr>
        <w:widowControl/>
        <w:snapToGrid w:val="0"/>
        <w:spacing w:line="400" w:lineRule="exact"/>
        <w:ind w:firstLine="444" w:firstLineChars="185"/>
        <w:rPr>
          <w:rFonts w:ascii="宋体" w:hAnsi="宋体" w:cs="宋体"/>
          <w:bCs/>
          <w:sz w:val="24"/>
        </w:rPr>
      </w:pPr>
      <w:r>
        <w:rPr>
          <w:rFonts w:hint="eastAsia" w:ascii="宋体" w:hAnsi="宋体" w:cs="宋体"/>
          <w:bCs/>
          <w:sz w:val="24"/>
        </w:rPr>
        <w:t>云平台按照等级保护三级要求进行建设，且所有设备全部冗余，可避免一台设备宕机造成的单点故障。云平台分为互联网区和政务外网区，两区之间逻辑隔离，采用防火墙实现数据交换，并建立安全监管平台来保障政务云平台的安全，其中，互联网采用双链路，政务外网网络带宽不低于1千兆。</w:t>
      </w:r>
    </w:p>
    <w:p w14:paraId="37FEE6C2">
      <w:pPr>
        <w:widowControl/>
        <w:snapToGrid w:val="0"/>
        <w:spacing w:line="400" w:lineRule="exact"/>
        <w:ind w:firstLine="444" w:firstLineChars="185"/>
        <w:rPr>
          <w:rFonts w:ascii="宋体" w:hAnsi="宋体" w:cs="宋体"/>
          <w:bCs/>
          <w:sz w:val="24"/>
        </w:rPr>
      </w:pPr>
      <w:r>
        <w:rPr>
          <w:rFonts w:hint="eastAsia" w:ascii="宋体" w:hAnsi="宋体" w:cs="宋体"/>
          <w:bCs/>
          <w:sz w:val="24"/>
        </w:rPr>
        <w:t>网络服务内容包括：提供链路带宽服务及互联网IP地址租用服务，并提供相应的网络域名备案服务，按照管理部门要求，配合系统应用厂商提供网络策略配置服务；提供主机负载均衡服务，实现主机应用集群的负载均衡；提供远程接入服务，每个账号结合身份验证通过VPN远程接入堡垒机维护应用系统；提供SSL证书服务，由受信任的数字证书颁发机构CA，在验证服务器身份后颁发，实现服务器身份验证和数据传输加密功能；提供WAF防护服务，能够针对Web应用提供安全防护。</w:t>
      </w:r>
    </w:p>
    <w:p w14:paraId="003B41F4">
      <w:pPr>
        <w:widowControl/>
        <w:snapToGrid w:val="0"/>
        <w:spacing w:line="400" w:lineRule="exact"/>
        <w:ind w:firstLine="444" w:firstLineChars="185"/>
        <w:rPr>
          <w:rFonts w:ascii="宋体" w:hAnsi="宋体" w:cs="宋体"/>
          <w:bCs/>
          <w:sz w:val="24"/>
        </w:rPr>
      </w:pPr>
      <w:r>
        <w:rPr>
          <w:rFonts w:hint="eastAsia" w:ascii="宋体" w:hAnsi="宋体" w:cs="宋体"/>
          <w:bCs/>
          <w:sz w:val="24"/>
        </w:rPr>
        <w:t>（4）云主机深度监控服务</w:t>
      </w:r>
    </w:p>
    <w:p w14:paraId="1BE6F00C">
      <w:pPr>
        <w:widowControl/>
        <w:snapToGrid w:val="0"/>
        <w:spacing w:line="400" w:lineRule="exact"/>
        <w:ind w:firstLine="444" w:firstLineChars="185"/>
        <w:rPr>
          <w:rFonts w:ascii="宋体" w:hAnsi="宋体" w:cs="宋体"/>
          <w:bCs/>
          <w:sz w:val="24"/>
        </w:rPr>
      </w:pPr>
      <w:r>
        <w:rPr>
          <w:rFonts w:hint="eastAsia" w:ascii="宋体" w:hAnsi="宋体" w:cs="宋体"/>
          <w:bCs/>
          <w:sz w:val="24"/>
        </w:rPr>
        <w:t>根据信息安全等级保护计算环境中“计算环境安全”的要求，需要对计算机设备进行云主机深度监控。深度监控内容包括但不限于：系统情况监控、计算资源监控、网络状态监控、虚拟化平台安全状态监控、集中告警监控、Top性能监控、安全事件服务、应急处置服务。对资产进行梳理采集，以及资产的变更统计分析。</w:t>
      </w:r>
    </w:p>
    <w:p w14:paraId="0BE30DB7">
      <w:pPr>
        <w:snapToGrid w:val="0"/>
        <w:spacing w:line="400" w:lineRule="exact"/>
        <w:ind w:firstLine="444" w:firstLineChars="185"/>
        <w:rPr>
          <w:rFonts w:ascii="宋体" w:hAnsi="宋体" w:cs="宋体"/>
          <w:bCs/>
          <w:sz w:val="24"/>
        </w:rPr>
      </w:pPr>
      <w:r>
        <w:rPr>
          <w:rFonts w:hint="eastAsia" w:ascii="宋体" w:hAnsi="宋体" w:cs="宋体"/>
          <w:bCs/>
          <w:sz w:val="24"/>
        </w:rPr>
        <w:t>（5）基础软件支撑服务</w:t>
      </w:r>
    </w:p>
    <w:p w14:paraId="501F1D8A">
      <w:pPr>
        <w:snapToGrid w:val="0"/>
        <w:spacing w:line="400" w:lineRule="exact"/>
        <w:ind w:firstLine="444" w:firstLineChars="185"/>
        <w:rPr>
          <w:rFonts w:ascii="宋体" w:hAnsi="宋体" w:cs="宋体"/>
          <w:bCs/>
          <w:sz w:val="24"/>
        </w:rPr>
      </w:pPr>
      <w:r>
        <w:rPr>
          <w:rFonts w:hint="eastAsia" w:ascii="宋体" w:hAnsi="宋体" w:cs="宋体"/>
          <w:bCs/>
          <w:sz w:val="24"/>
        </w:rPr>
        <w:t>提供主机的商用操作系统、</w:t>
      </w:r>
      <w:r>
        <w:rPr>
          <w:rFonts w:hint="eastAsia" w:ascii="宋体" w:hAnsi="宋体" w:cs="宋体"/>
          <w:sz w:val="24"/>
        </w:rPr>
        <w:t>开源操作系统、</w:t>
      </w:r>
      <w:r>
        <w:rPr>
          <w:rFonts w:hint="eastAsia" w:ascii="宋体" w:hAnsi="宋体" w:cs="宋体"/>
          <w:sz w:val="24"/>
          <w:lang w:val="en-US" w:eastAsia="zh-CN"/>
        </w:rPr>
        <w:t>国产操作系统</w:t>
      </w:r>
      <w:r>
        <w:rPr>
          <w:rFonts w:hint="eastAsia" w:ascii="宋体" w:hAnsi="宋体" w:cs="宋体"/>
          <w:bCs/>
          <w:sz w:val="24"/>
        </w:rPr>
        <w:t>安装及维护服务。</w:t>
      </w:r>
    </w:p>
    <w:p w14:paraId="5D311ECF">
      <w:pPr>
        <w:snapToGrid w:val="0"/>
        <w:spacing w:line="400" w:lineRule="exact"/>
        <w:ind w:firstLine="444" w:firstLineChars="185"/>
        <w:rPr>
          <w:rFonts w:ascii="宋体" w:hAnsi="宋体" w:cs="宋体"/>
          <w:bCs/>
          <w:sz w:val="24"/>
        </w:rPr>
      </w:pPr>
      <w:r>
        <w:rPr>
          <w:rFonts w:hint="eastAsia" w:ascii="宋体" w:hAnsi="宋体" w:cs="宋体"/>
          <w:bCs/>
          <w:sz w:val="24"/>
        </w:rPr>
        <w:t>（6）主机杀毒服务</w:t>
      </w:r>
    </w:p>
    <w:p w14:paraId="066DEFDA">
      <w:pPr>
        <w:snapToGrid w:val="0"/>
        <w:spacing w:line="400" w:lineRule="exact"/>
        <w:ind w:firstLine="444" w:firstLineChars="185"/>
        <w:rPr>
          <w:rFonts w:ascii="宋体" w:hAnsi="宋体" w:cs="宋体"/>
          <w:bCs/>
          <w:sz w:val="24"/>
        </w:rPr>
      </w:pPr>
      <w:r>
        <w:rPr>
          <w:rFonts w:hint="eastAsia" w:ascii="宋体" w:hAnsi="宋体" w:cs="宋体"/>
          <w:bCs/>
          <w:sz w:val="24"/>
        </w:rPr>
        <w:t>按照采购人的有关管理规定及应用系统需求，对主机进行定期的病毒查杀，针对主机提供恶意代码检测和拦截服务，及时发现、拦截、阻断各种恶意代码、病毒木马等。提供集中控制版杀毒软件，对主机性能无影响。</w:t>
      </w:r>
    </w:p>
    <w:p w14:paraId="0B149CF2">
      <w:pPr>
        <w:snapToGrid w:val="0"/>
        <w:spacing w:line="400" w:lineRule="exact"/>
        <w:ind w:firstLine="444" w:firstLineChars="185"/>
        <w:rPr>
          <w:rFonts w:ascii="宋体" w:hAnsi="宋体" w:cs="宋体"/>
          <w:bCs/>
          <w:sz w:val="24"/>
        </w:rPr>
      </w:pPr>
      <w:r>
        <w:rPr>
          <w:rFonts w:hint="eastAsia" w:ascii="宋体" w:hAnsi="宋体" w:cs="宋体"/>
          <w:bCs/>
          <w:sz w:val="24"/>
        </w:rPr>
        <w:t>（7）主机防护</w:t>
      </w:r>
    </w:p>
    <w:p w14:paraId="58C49FAE">
      <w:pPr>
        <w:snapToGrid w:val="0"/>
        <w:spacing w:line="400" w:lineRule="exact"/>
        <w:ind w:firstLine="444" w:firstLineChars="185"/>
        <w:rPr>
          <w:rFonts w:ascii="宋体" w:hAnsi="宋体" w:cs="宋体"/>
          <w:bCs/>
          <w:sz w:val="24"/>
        </w:rPr>
      </w:pPr>
      <w:r>
        <w:rPr>
          <w:rFonts w:hint="eastAsia" w:ascii="宋体" w:hAnsi="宋体" w:cs="宋体"/>
          <w:bCs/>
          <w:sz w:val="24"/>
        </w:rPr>
        <w:t>按照采购人的有关管理规定及应用系统需求，对主机进行多方面的安全防护，对入侵行为进行检测及防护，包含网页后门、反弹 shell、异常账号、日志删除、异常登录、异常进程、命令篡改行为。提供安全策略进行安全防护，包括暴力破解防护、扫描防护、病毒防护、 IP 黑白名单、端口安全、访问控制、进行行为控制、进程白名单。</w:t>
      </w:r>
    </w:p>
    <w:p w14:paraId="4DD24EBE">
      <w:pPr>
        <w:snapToGrid w:val="0"/>
        <w:spacing w:line="400" w:lineRule="exact"/>
        <w:ind w:firstLine="444" w:firstLineChars="185"/>
        <w:rPr>
          <w:rFonts w:ascii="宋体" w:hAnsi="宋体" w:cs="宋体"/>
          <w:bCs/>
          <w:sz w:val="24"/>
        </w:rPr>
      </w:pPr>
      <w:r>
        <w:rPr>
          <w:rFonts w:hint="eastAsia" w:ascii="宋体" w:hAnsi="宋体" w:cs="宋体"/>
          <w:bCs/>
          <w:sz w:val="24"/>
        </w:rPr>
        <w:t>（8）主机漏洞扫描和加固服务</w:t>
      </w:r>
    </w:p>
    <w:p w14:paraId="1A6F3041">
      <w:pPr>
        <w:snapToGrid w:val="0"/>
        <w:spacing w:line="400" w:lineRule="exact"/>
        <w:ind w:firstLine="444" w:firstLineChars="185"/>
        <w:rPr>
          <w:rFonts w:ascii="宋体" w:hAnsi="宋体" w:cs="宋体"/>
          <w:bCs/>
          <w:sz w:val="24"/>
        </w:rPr>
      </w:pPr>
      <w:r>
        <w:rPr>
          <w:rFonts w:hint="eastAsia" w:ascii="宋体" w:hAnsi="宋体" w:cs="宋体"/>
          <w:bCs/>
          <w:sz w:val="24"/>
        </w:rPr>
        <w:t>按照采购人的有关管理规定及应用系统需求，提供全部在用主机漏洞扫描和加固服务，以发现主机高危端口、操作系统、数据库、中间件等层面存在的安全漏洞，并完成操作系统层（含）以下的安全加固，同时配合应用系统主责部门进行系统安全加固。</w:t>
      </w:r>
    </w:p>
    <w:p w14:paraId="1C40C2F3">
      <w:pPr>
        <w:snapToGrid w:val="0"/>
        <w:spacing w:line="400" w:lineRule="exact"/>
        <w:ind w:firstLine="444" w:firstLineChars="185"/>
        <w:rPr>
          <w:rFonts w:ascii="宋体" w:hAnsi="宋体" w:cs="宋体"/>
          <w:bCs/>
          <w:sz w:val="24"/>
          <w:lang w:val="zh-CN"/>
        </w:rPr>
      </w:pPr>
      <w:r>
        <w:rPr>
          <w:rFonts w:hint="eastAsia" w:ascii="宋体" w:hAnsi="宋体" w:cs="宋体"/>
          <w:bCs/>
          <w:sz w:val="24"/>
        </w:rPr>
        <w:t>（9）</w:t>
      </w:r>
      <w:r>
        <w:rPr>
          <w:rFonts w:hint="eastAsia" w:ascii="宋体" w:hAnsi="宋体" w:cs="宋体"/>
          <w:bCs/>
          <w:sz w:val="24"/>
          <w:lang w:val="zh-CN"/>
        </w:rPr>
        <w:t>网页防篡改服务</w:t>
      </w:r>
    </w:p>
    <w:p w14:paraId="5149499F">
      <w:pPr>
        <w:snapToGrid w:val="0"/>
        <w:spacing w:line="400" w:lineRule="exact"/>
        <w:ind w:firstLine="444" w:firstLineChars="185"/>
        <w:rPr>
          <w:rFonts w:ascii="宋体" w:hAnsi="宋体" w:cs="宋体"/>
          <w:bCs/>
          <w:sz w:val="24"/>
        </w:rPr>
      </w:pPr>
      <w:r>
        <w:rPr>
          <w:rFonts w:hint="eastAsia" w:ascii="宋体" w:hAnsi="宋体" w:cs="宋体"/>
          <w:bCs/>
          <w:sz w:val="24"/>
          <w:lang w:val="zh-CN"/>
        </w:rPr>
        <w:t>投标人需根据采购人的需求，提供网页防篡改服务，对互联网应用的动态页面和静态页面的篡改行为进行检测和防护，防止对目录中的网页、电子文档、图片等类型的文件进行非法篡改和破坏。</w:t>
      </w:r>
    </w:p>
    <w:p w14:paraId="7489B2D0">
      <w:pPr>
        <w:snapToGrid w:val="0"/>
        <w:spacing w:line="400" w:lineRule="exact"/>
        <w:ind w:firstLine="444" w:firstLineChars="185"/>
        <w:rPr>
          <w:rFonts w:ascii="宋体" w:hAnsi="宋体" w:cs="宋体"/>
          <w:bCs/>
          <w:sz w:val="24"/>
          <w:lang w:val="zh-CN"/>
        </w:rPr>
      </w:pPr>
      <w:r>
        <w:rPr>
          <w:rFonts w:hint="eastAsia" w:ascii="宋体" w:hAnsi="宋体" w:cs="宋体"/>
          <w:bCs/>
          <w:sz w:val="24"/>
        </w:rPr>
        <w:t>（10</w:t>
      </w:r>
      <w:r>
        <w:rPr>
          <w:rFonts w:hint="eastAsia" w:ascii="宋体" w:hAnsi="宋体" w:cs="宋体"/>
          <w:bCs/>
          <w:sz w:val="24"/>
          <w:lang w:val="zh-CN"/>
        </w:rPr>
        <w:t>）主机日志分析</w:t>
      </w:r>
    </w:p>
    <w:p w14:paraId="334951BA">
      <w:pPr>
        <w:snapToGrid w:val="0"/>
        <w:spacing w:line="400" w:lineRule="exact"/>
        <w:ind w:firstLine="444" w:firstLineChars="185"/>
        <w:rPr>
          <w:rFonts w:ascii="宋体" w:hAnsi="宋体" w:cs="宋体"/>
          <w:bCs/>
          <w:sz w:val="24"/>
        </w:rPr>
      </w:pPr>
      <w:r>
        <w:rPr>
          <w:rFonts w:hint="eastAsia" w:ascii="宋体" w:hAnsi="宋体" w:cs="宋体"/>
          <w:bCs/>
          <w:sz w:val="24"/>
          <w:lang w:val="zh-CN"/>
        </w:rPr>
        <w:t>针对操作系统进行日志收集，并且进行分析，反馈相关结果，用于了解主机安全情况及资源使用情况，日志需保存</w:t>
      </w:r>
      <w:r>
        <w:rPr>
          <w:rFonts w:hint="eastAsia" w:ascii="宋体" w:hAnsi="宋体" w:cs="宋体"/>
          <w:bCs/>
          <w:sz w:val="24"/>
        </w:rPr>
        <w:t>6个月。</w:t>
      </w:r>
    </w:p>
    <w:p w14:paraId="737884D0">
      <w:pPr>
        <w:snapToGrid w:val="0"/>
        <w:spacing w:line="400" w:lineRule="exact"/>
        <w:ind w:firstLine="444" w:firstLineChars="185"/>
        <w:rPr>
          <w:rFonts w:ascii="宋体" w:hAnsi="宋体" w:cs="宋体"/>
          <w:bCs/>
          <w:sz w:val="24"/>
          <w:lang w:val="zh-CN"/>
        </w:rPr>
      </w:pPr>
      <w:r>
        <w:rPr>
          <w:rFonts w:hint="eastAsia" w:ascii="宋体" w:hAnsi="宋体" w:cs="宋体"/>
          <w:bCs/>
          <w:sz w:val="24"/>
        </w:rPr>
        <w:t>（11</w:t>
      </w:r>
      <w:r>
        <w:rPr>
          <w:rFonts w:hint="eastAsia" w:ascii="宋体" w:hAnsi="宋体" w:cs="宋体"/>
          <w:bCs/>
          <w:sz w:val="24"/>
          <w:lang w:val="zh-CN"/>
        </w:rPr>
        <w:t>）数据库审计</w:t>
      </w:r>
    </w:p>
    <w:p w14:paraId="6A42BC81">
      <w:pPr>
        <w:snapToGrid w:val="0"/>
        <w:spacing w:line="400" w:lineRule="exact"/>
        <w:ind w:firstLine="444" w:firstLineChars="185"/>
        <w:rPr>
          <w:rFonts w:ascii="宋体" w:hAnsi="宋体" w:cs="宋体"/>
          <w:bCs/>
          <w:sz w:val="24"/>
          <w:lang w:val="zh-CN"/>
        </w:rPr>
      </w:pPr>
      <w:bookmarkStart w:id="0" w:name="_Toc22657864"/>
      <w:r>
        <w:rPr>
          <w:rFonts w:hint="eastAsia" w:ascii="宋体" w:hAnsi="宋体" w:cs="宋体"/>
          <w:bCs/>
          <w:sz w:val="24"/>
          <w:lang w:val="zh-CN"/>
        </w:rPr>
        <w:t>投标人需根据采购人的需求，为数据库实例提供数据库审计服务，以网络旁路的方式工作于数据库主机所在的网络，对访问数据库服务器的行为进行全方位审计。数据库审计在不影响数据库系统自身性能的前提下，对数据库的操作实现跟踪记录、定位，实现对数据库的监控和保护，及时地发现网络上针对数据库的违规操作行为并进行记录、报警为数据库系统的安全运行提供有力保障。</w:t>
      </w:r>
    </w:p>
    <w:bookmarkEnd w:id="0"/>
    <w:p w14:paraId="3ED607BD">
      <w:pPr>
        <w:spacing w:line="400" w:lineRule="exact"/>
        <w:ind w:firstLine="480" w:firstLineChars="200"/>
        <w:rPr>
          <w:rFonts w:ascii="宋体" w:hAnsi="宋体" w:cs="宋体"/>
          <w:bCs/>
          <w:sz w:val="24"/>
        </w:rPr>
      </w:pPr>
      <w:r>
        <w:rPr>
          <w:rFonts w:hint="eastAsia" w:ascii="宋体" w:hAnsi="宋体" w:cs="宋体"/>
          <w:bCs/>
          <w:sz w:val="24"/>
        </w:rPr>
        <w:t>（12</w:t>
      </w:r>
      <w:r>
        <w:rPr>
          <w:rFonts w:hint="eastAsia" w:ascii="宋体" w:hAnsi="宋体" w:cs="宋体"/>
          <w:bCs/>
          <w:sz w:val="24"/>
          <w:lang w:val="zh-CN"/>
        </w:rPr>
        <w:t>）</w:t>
      </w:r>
      <w:r>
        <w:rPr>
          <w:rFonts w:hint="eastAsia" w:ascii="宋体" w:hAnsi="宋体" w:cs="宋体"/>
          <w:bCs/>
          <w:sz w:val="24"/>
        </w:rPr>
        <w:t>云端APT防护服务</w:t>
      </w:r>
    </w:p>
    <w:p w14:paraId="4F6F278B">
      <w:pPr>
        <w:snapToGrid w:val="0"/>
        <w:spacing w:line="400" w:lineRule="exact"/>
        <w:ind w:firstLine="444" w:firstLineChars="185"/>
        <w:rPr>
          <w:rFonts w:ascii="宋体" w:hAnsi="宋体" w:cs="宋体"/>
          <w:bCs/>
          <w:sz w:val="24"/>
          <w:lang w:val="zh-CN"/>
        </w:rPr>
      </w:pPr>
      <w:r>
        <w:rPr>
          <w:rFonts w:hint="eastAsia" w:ascii="宋体" w:hAnsi="宋体" w:cs="宋体"/>
          <w:bCs/>
          <w:sz w:val="24"/>
          <w:lang w:val="zh-CN"/>
        </w:rPr>
        <w:t>投标人通过对流量进行深度解析，发现流量中的恶意攻击，提供全面检测和预警的能力，可分析网络威胁状况，对安全事件进行分析、研判和回溯。</w:t>
      </w:r>
    </w:p>
    <w:p w14:paraId="10B1DF4C">
      <w:pPr>
        <w:spacing w:line="400" w:lineRule="exact"/>
        <w:ind w:firstLine="480" w:firstLineChars="200"/>
        <w:rPr>
          <w:rFonts w:ascii="宋体" w:hAnsi="宋体" w:cs="宋体"/>
          <w:bCs/>
          <w:sz w:val="24"/>
        </w:rPr>
      </w:pPr>
      <w:r>
        <w:rPr>
          <w:rFonts w:hint="eastAsia" w:ascii="宋体" w:hAnsi="宋体" w:cs="宋体"/>
          <w:bCs/>
          <w:sz w:val="24"/>
        </w:rPr>
        <w:t>（13</w:t>
      </w:r>
      <w:r>
        <w:rPr>
          <w:rFonts w:hint="eastAsia" w:ascii="宋体" w:hAnsi="宋体" w:cs="宋体"/>
          <w:bCs/>
          <w:sz w:val="24"/>
          <w:lang w:val="zh-CN"/>
        </w:rPr>
        <w:t>）</w:t>
      </w:r>
      <w:r>
        <w:rPr>
          <w:rFonts w:hint="eastAsia" w:ascii="宋体" w:hAnsi="宋体" w:cs="宋体"/>
          <w:bCs/>
          <w:sz w:val="24"/>
        </w:rPr>
        <w:t>云端抗DDOS服务</w:t>
      </w:r>
    </w:p>
    <w:p w14:paraId="6F70072F">
      <w:pPr>
        <w:snapToGrid w:val="0"/>
        <w:spacing w:line="400" w:lineRule="exact"/>
        <w:ind w:firstLine="444" w:firstLineChars="185"/>
        <w:rPr>
          <w:rFonts w:ascii="宋体" w:hAnsi="宋体" w:cs="宋体"/>
          <w:bCs/>
          <w:sz w:val="24"/>
        </w:rPr>
      </w:pPr>
      <w:r>
        <w:rPr>
          <w:rFonts w:hint="eastAsia" w:ascii="宋体" w:hAnsi="宋体" w:cs="宋体"/>
          <w:bCs/>
          <w:sz w:val="24"/>
        </w:rPr>
        <w:t>投标人需提供10G流量的云端抗DDOS服务，避免业务遭受拒绝服务攻击。</w:t>
      </w:r>
    </w:p>
    <w:p w14:paraId="0632A89F">
      <w:pPr>
        <w:spacing w:line="400" w:lineRule="exact"/>
        <w:ind w:firstLine="480" w:firstLineChars="200"/>
        <w:rPr>
          <w:rFonts w:ascii="宋体" w:hAnsi="宋体" w:cs="宋体"/>
          <w:bCs/>
          <w:sz w:val="24"/>
        </w:rPr>
      </w:pPr>
      <w:r>
        <w:rPr>
          <w:rFonts w:hint="eastAsia" w:ascii="宋体" w:hAnsi="宋体" w:cs="宋体"/>
          <w:bCs/>
          <w:sz w:val="24"/>
        </w:rPr>
        <w:t>（14）对象存储服务</w:t>
      </w:r>
    </w:p>
    <w:p w14:paraId="3752E5CF">
      <w:pPr>
        <w:widowControl/>
        <w:snapToGrid w:val="0"/>
        <w:spacing w:line="400" w:lineRule="exact"/>
        <w:ind w:firstLine="444" w:firstLineChars="185"/>
        <w:rPr>
          <w:rFonts w:ascii="宋体" w:hAnsi="宋体" w:cs="宋体"/>
          <w:bCs/>
          <w:sz w:val="24"/>
          <w:lang w:val="zh-CN"/>
        </w:rPr>
      </w:pPr>
      <w:r>
        <w:rPr>
          <w:rFonts w:hint="eastAsia" w:ascii="宋体" w:hAnsi="宋体" w:cs="宋体"/>
          <w:bCs/>
          <w:sz w:val="24"/>
          <w:lang w:val="zh-CN"/>
        </w:rPr>
        <w:t>提供面向海量非结构化数据的通用数据存储平台，提供安全可靠、低成本的云端存储服务。可存储任意类型、任意数量、任意大小的文件；通过存储分层及对象生命周期管理，可覆盖用户的各种业务场景下的存储需求。可通过浏览器、API、SDK 和 FTP 等方式高效存取和管理文件，支撑丰富的上层业务和数据分析系统使用。</w:t>
      </w:r>
    </w:p>
    <w:p w14:paraId="5C35F85A">
      <w:pPr>
        <w:spacing w:line="400" w:lineRule="exact"/>
        <w:ind w:firstLine="480" w:firstLineChars="200"/>
        <w:rPr>
          <w:rFonts w:ascii="宋体" w:hAnsi="宋体" w:cs="宋体"/>
          <w:bCs/>
          <w:sz w:val="24"/>
        </w:rPr>
      </w:pPr>
      <w:r>
        <w:rPr>
          <w:rFonts w:hint="eastAsia" w:ascii="宋体" w:hAnsi="宋体" w:cs="宋体"/>
          <w:bCs/>
          <w:sz w:val="24"/>
        </w:rPr>
        <w:t>（15）数据</w:t>
      </w:r>
      <w:r>
        <w:rPr>
          <w:rFonts w:hint="eastAsia" w:ascii="宋体" w:hAnsi="宋体" w:cs="宋体"/>
          <w:bCs/>
          <w:sz w:val="24"/>
          <w:lang w:val="en-US" w:eastAsia="zh-CN"/>
        </w:rPr>
        <w:t>传输</w:t>
      </w:r>
      <w:r>
        <w:rPr>
          <w:rFonts w:hint="eastAsia" w:ascii="宋体" w:hAnsi="宋体" w:cs="宋体"/>
          <w:bCs/>
          <w:sz w:val="24"/>
        </w:rPr>
        <w:t>服务</w:t>
      </w:r>
    </w:p>
    <w:p w14:paraId="1653F023">
      <w:pPr>
        <w:widowControl/>
        <w:snapToGrid w:val="0"/>
        <w:spacing w:line="400" w:lineRule="exact"/>
        <w:ind w:firstLine="444" w:firstLineChars="185"/>
        <w:rPr>
          <w:rFonts w:ascii="宋体" w:hAnsi="宋体" w:cs="宋体"/>
          <w:sz w:val="24"/>
        </w:rPr>
      </w:pPr>
      <w:r>
        <w:rPr>
          <w:rFonts w:hint="eastAsia" w:ascii="宋体" w:hAnsi="宋体" w:cs="宋体"/>
          <w:bCs/>
          <w:sz w:val="24"/>
          <w:lang w:val="zh-CN"/>
        </w:rPr>
        <w:t>在安全隔离的基础上，实现精细控制数据流向，提供不同级别网络间安全可控的</w:t>
      </w:r>
      <w:r>
        <w:rPr>
          <w:rFonts w:hint="eastAsia" w:ascii="宋体" w:hAnsi="宋体" w:cs="宋体"/>
          <w:bCs/>
          <w:sz w:val="24"/>
        </w:rPr>
        <w:t>请求转发或数据摆渡</w:t>
      </w:r>
      <w:r>
        <w:rPr>
          <w:rFonts w:hint="eastAsia" w:ascii="宋体" w:hAnsi="宋体" w:cs="宋体"/>
          <w:bCs/>
          <w:sz w:val="24"/>
          <w:lang w:val="zh-CN"/>
        </w:rPr>
        <w:t>，确保数据的机密性、完整性和</w:t>
      </w:r>
      <w:r>
        <w:rPr>
          <w:rFonts w:hint="eastAsia" w:ascii="宋体" w:hAnsi="宋体" w:cs="宋体"/>
          <w:bCs/>
          <w:sz w:val="24"/>
          <w:lang w:val="en-US" w:eastAsia="zh-CN"/>
        </w:rPr>
        <w:t>可行</w:t>
      </w:r>
      <w:r>
        <w:rPr>
          <w:rFonts w:hint="eastAsia" w:ascii="宋体" w:hAnsi="宋体" w:cs="宋体"/>
          <w:bCs/>
          <w:sz w:val="24"/>
          <w:lang w:val="zh-CN"/>
        </w:rPr>
        <w:t>性。</w:t>
      </w:r>
    </w:p>
    <w:p w14:paraId="0FACC65C">
      <w:pPr>
        <w:pStyle w:val="9"/>
        <w:rPr>
          <w:rFonts w:ascii="宋体" w:hAnsi="宋体" w:cs="宋体"/>
          <w:sz w:val="24"/>
          <w:lang w:val="zh-CN"/>
        </w:rPr>
      </w:pPr>
    </w:p>
    <w:p w14:paraId="71797B44">
      <w:pPr>
        <w:pStyle w:val="9"/>
        <w:ind w:firstLineChars="200"/>
        <w:rPr>
          <w:rFonts w:ascii="宋体" w:hAnsi="宋体" w:cs="宋体"/>
          <w:sz w:val="24"/>
          <w:lang w:val="zh-CN"/>
        </w:rPr>
      </w:pPr>
      <w:r>
        <w:rPr>
          <w:rFonts w:hint="eastAsia" w:ascii="宋体" w:hAnsi="宋体" w:cs="宋体"/>
          <w:sz w:val="24"/>
        </w:rPr>
        <w:t>2.2</w:t>
      </w:r>
      <w:r>
        <w:rPr>
          <w:rFonts w:hint="eastAsia" w:ascii="宋体" w:hAnsi="宋体" w:cs="宋体"/>
          <w:sz w:val="24"/>
          <w:lang w:val="zh-CN"/>
        </w:rPr>
        <w:t>云资源租用清单</w:t>
      </w:r>
    </w:p>
    <w:p w14:paraId="7A2A64A2">
      <w:pPr>
        <w:pStyle w:val="9"/>
        <w:ind w:firstLineChars="200"/>
        <w:rPr>
          <w:rFonts w:ascii="宋体" w:hAnsi="宋体" w:cs="宋体"/>
          <w:sz w:val="24"/>
          <w:lang w:val="zh-CN"/>
        </w:rPr>
      </w:pPr>
    </w:p>
    <w:tbl>
      <w:tblPr>
        <w:tblStyle w:val="5"/>
        <w:tblW w:w="8944" w:type="dxa"/>
        <w:jc w:val="center"/>
        <w:tblLayout w:type="fixed"/>
        <w:tblCellMar>
          <w:top w:w="0" w:type="dxa"/>
          <w:left w:w="108" w:type="dxa"/>
          <w:bottom w:w="0" w:type="dxa"/>
          <w:right w:w="108" w:type="dxa"/>
        </w:tblCellMar>
      </w:tblPr>
      <w:tblGrid>
        <w:gridCol w:w="871"/>
        <w:gridCol w:w="1676"/>
        <w:gridCol w:w="3953"/>
        <w:gridCol w:w="1472"/>
        <w:gridCol w:w="972"/>
      </w:tblGrid>
      <w:tr w14:paraId="7E396250">
        <w:tblPrEx>
          <w:tblCellMar>
            <w:top w:w="0" w:type="dxa"/>
            <w:left w:w="108" w:type="dxa"/>
            <w:bottom w:w="0" w:type="dxa"/>
            <w:right w:w="108" w:type="dxa"/>
          </w:tblCellMar>
        </w:tblPrEx>
        <w:trPr>
          <w:trHeight w:val="510" w:hRule="atLeast"/>
          <w:jc w:val="center"/>
        </w:trPr>
        <w:tc>
          <w:tcPr>
            <w:tcW w:w="8944" w:type="dxa"/>
            <w:gridSpan w:val="5"/>
            <w:tcBorders>
              <w:top w:val="single" w:color="000000" w:sz="4" w:space="0"/>
              <w:left w:val="single" w:color="000000" w:sz="4" w:space="0"/>
              <w:bottom w:val="single" w:color="000000" w:sz="4" w:space="0"/>
              <w:right w:val="single" w:color="000000" w:sz="4" w:space="0"/>
            </w:tcBorders>
            <w:shd w:val="clear" w:color="auto" w:fill="D7D7D7"/>
            <w:vAlign w:val="center"/>
          </w:tcPr>
          <w:p w14:paraId="39FCC731">
            <w:pPr>
              <w:widowControl/>
              <w:adjustRightInd w:val="0"/>
              <w:jc w:val="center"/>
              <w:textAlignment w:val="center"/>
              <w:rPr>
                <w:rFonts w:ascii="宋体" w:hAnsi="宋体" w:cs="宋体"/>
                <w:b/>
                <w:bCs/>
                <w:sz w:val="24"/>
              </w:rPr>
            </w:pPr>
            <w:r>
              <w:rPr>
                <w:rFonts w:hint="eastAsia" w:ascii="宋体" w:hAnsi="宋体" w:cs="宋体"/>
                <w:sz w:val="24"/>
              </w:rPr>
              <w:t>政务云资源-云计算服务清单</w:t>
            </w:r>
          </w:p>
        </w:tc>
      </w:tr>
      <w:tr w14:paraId="779888D7">
        <w:tblPrEx>
          <w:tblCellMar>
            <w:top w:w="0" w:type="dxa"/>
            <w:left w:w="108" w:type="dxa"/>
            <w:bottom w:w="0" w:type="dxa"/>
            <w:right w:w="108" w:type="dxa"/>
          </w:tblCellMar>
        </w:tblPrEx>
        <w:trPr>
          <w:trHeight w:val="510"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63B52D35">
            <w:pPr>
              <w:widowControl/>
              <w:adjustRightInd w:val="0"/>
              <w:jc w:val="center"/>
              <w:textAlignment w:val="center"/>
              <w:rPr>
                <w:rFonts w:ascii="宋体" w:hAnsi="宋体" w:cs="宋体"/>
                <w:sz w:val="24"/>
              </w:rPr>
            </w:pPr>
            <w:r>
              <w:rPr>
                <w:rFonts w:hint="eastAsia" w:ascii="宋体" w:hAnsi="宋体" w:cs="宋体"/>
                <w:sz w:val="24"/>
              </w:rPr>
              <w:t>服务类别</w:t>
            </w:r>
          </w:p>
        </w:tc>
        <w:tc>
          <w:tcPr>
            <w:tcW w:w="1676" w:type="dxa"/>
            <w:tcBorders>
              <w:top w:val="single" w:color="000000" w:sz="4" w:space="0"/>
              <w:left w:val="nil"/>
              <w:bottom w:val="single" w:color="000000" w:sz="4" w:space="0"/>
              <w:right w:val="single" w:color="000000" w:sz="4" w:space="0"/>
            </w:tcBorders>
            <w:shd w:val="clear" w:color="auto" w:fill="D7D7D7"/>
            <w:vAlign w:val="center"/>
          </w:tcPr>
          <w:p w14:paraId="2F6E2EF9">
            <w:pPr>
              <w:widowControl/>
              <w:adjustRightInd w:val="0"/>
              <w:jc w:val="center"/>
              <w:textAlignment w:val="center"/>
              <w:rPr>
                <w:rFonts w:ascii="宋体" w:hAnsi="宋体" w:cs="宋体"/>
                <w:sz w:val="24"/>
              </w:rPr>
            </w:pPr>
            <w:r>
              <w:rPr>
                <w:rFonts w:hint="eastAsia" w:ascii="宋体" w:hAnsi="宋体" w:cs="宋体"/>
                <w:sz w:val="24"/>
              </w:rPr>
              <w:t>服务子类</w:t>
            </w:r>
          </w:p>
        </w:tc>
        <w:tc>
          <w:tcPr>
            <w:tcW w:w="3953" w:type="dxa"/>
            <w:tcBorders>
              <w:top w:val="single" w:color="000000" w:sz="4" w:space="0"/>
              <w:left w:val="nil"/>
              <w:bottom w:val="single" w:color="000000" w:sz="4" w:space="0"/>
              <w:right w:val="single" w:color="000000" w:sz="4" w:space="0"/>
            </w:tcBorders>
            <w:shd w:val="clear" w:color="auto" w:fill="D7D7D7"/>
            <w:vAlign w:val="center"/>
          </w:tcPr>
          <w:p w14:paraId="36A1756F">
            <w:pPr>
              <w:widowControl/>
              <w:adjustRightInd w:val="0"/>
              <w:jc w:val="center"/>
              <w:textAlignment w:val="center"/>
              <w:rPr>
                <w:rFonts w:ascii="宋体" w:hAnsi="宋体" w:cs="宋体"/>
                <w:sz w:val="24"/>
              </w:rPr>
            </w:pPr>
            <w:r>
              <w:rPr>
                <w:rFonts w:hint="eastAsia" w:ascii="宋体" w:hAnsi="宋体" w:cs="宋体"/>
                <w:sz w:val="24"/>
              </w:rPr>
              <w:t>服务项</w:t>
            </w:r>
          </w:p>
        </w:tc>
        <w:tc>
          <w:tcPr>
            <w:tcW w:w="1472" w:type="dxa"/>
            <w:tcBorders>
              <w:top w:val="single" w:color="000000" w:sz="4" w:space="0"/>
              <w:left w:val="nil"/>
              <w:bottom w:val="single" w:color="000000" w:sz="4" w:space="0"/>
              <w:right w:val="single" w:color="000000" w:sz="4" w:space="0"/>
            </w:tcBorders>
            <w:shd w:val="clear" w:color="auto" w:fill="D7D7D7"/>
            <w:vAlign w:val="center"/>
          </w:tcPr>
          <w:p w14:paraId="1D79E20C">
            <w:pPr>
              <w:widowControl/>
              <w:adjustRightInd w:val="0"/>
              <w:jc w:val="center"/>
              <w:textAlignment w:val="center"/>
              <w:rPr>
                <w:rFonts w:ascii="宋体" w:hAnsi="宋体" w:cs="宋体"/>
                <w:sz w:val="24"/>
              </w:rPr>
            </w:pPr>
            <w:r>
              <w:rPr>
                <w:rFonts w:hint="eastAsia" w:ascii="宋体" w:hAnsi="宋体" w:cs="宋体"/>
                <w:sz w:val="24"/>
              </w:rPr>
              <w:t>单位</w:t>
            </w:r>
          </w:p>
        </w:tc>
        <w:tc>
          <w:tcPr>
            <w:tcW w:w="972" w:type="dxa"/>
            <w:tcBorders>
              <w:top w:val="single" w:color="000000" w:sz="4" w:space="0"/>
              <w:left w:val="nil"/>
              <w:bottom w:val="single" w:color="000000" w:sz="4" w:space="0"/>
              <w:right w:val="single" w:color="000000" w:sz="4" w:space="0"/>
            </w:tcBorders>
            <w:shd w:val="clear" w:color="auto" w:fill="D7D7D7"/>
            <w:vAlign w:val="center"/>
          </w:tcPr>
          <w:p w14:paraId="1039EB16">
            <w:pPr>
              <w:widowControl/>
              <w:adjustRightInd w:val="0"/>
              <w:jc w:val="center"/>
              <w:textAlignment w:val="center"/>
              <w:rPr>
                <w:rFonts w:ascii="宋体" w:hAnsi="宋体" w:cs="宋体"/>
                <w:sz w:val="24"/>
              </w:rPr>
            </w:pPr>
            <w:r>
              <w:rPr>
                <w:rFonts w:hint="eastAsia" w:ascii="宋体" w:hAnsi="宋体" w:cs="宋体"/>
                <w:sz w:val="24"/>
              </w:rPr>
              <w:t>数量</w:t>
            </w:r>
          </w:p>
        </w:tc>
      </w:tr>
      <w:tr w14:paraId="5521A74A">
        <w:tblPrEx>
          <w:tblCellMar>
            <w:top w:w="0" w:type="dxa"/>
            <w:left w:w="108" w:type="dxa"/>
            <w:bottom w:w="0" w:type="dxa"/>
            <w:right w:w="108" w:type="dxa"/>
          </w:tblCellMar>
        </w:tblPrEx>
        <w:trPr>
          <w:trHeight w:val="330" w:hRule="atLeast"/>
          <w:jc w:val="center"/>
        </w:trPr>
        <w:tc>
          <w:tcPr>
            <w:tcW w:w="871" w:type="dxa"/>
            <w:vMerge w:val="restart"/>
            <w:tcBorders>
              <w:top w:val="nil"/>
              <w:left w:val="single" w:color="000000" w:sz="4" w:space="0"/>
              <w:right w:val="single" w:color="000000" w:sz="4" w:space="0"/>
            </w:tcBorders>
            <w:shd w:val="clear" w:color="auto" w:fill="auto"/>
            <w:vAlign w:val="center"/>
          </w:tcPr>
          <w:p w14:paraId="064C90EB">
            <w:pPr>
              <w:widowControl/>
              <w:adjustRightInd w:val="0"/>
              <w:jc w:val="center"/>
              <w:textAlignment w:val="center"/>
              <w:rPr>
                <w:rFonts w:ascii="宋体" w:hAnsi="宋体" w:cs="宋体"/>
                <w:sz w:val="24"/>
              </w:rPr>
            </w:pPr>
            <w:r>
              <w:rPr>
                <w:rFonts w:hint="eastAsia" w:ascii="宋体" w:hAnsi="宋体" w:cs="宋体"/>
                <w:sz w:val="24"/>
              </w:rPr>
              <w:t>计算服务</w:t>
            </w:r>
          </w:p>
        </w:tc>
        <w:tc>
          <w:tcPr>
            <w:tcW w:w="1676" w:type="dxa"/>
            <w:vMerge w:val="restart"/>
            <w:tcBorders>
              <w:top w:val="nil"/>
              <w:left w:val="nil"/>
              <w:bottom w:val="single" w:color="000000" w:sz="4" w:space="0"/>
              <w:right w:val="single" w:color="000000" w:sz="4" w:space="0"/>
            </w:tcBorders>
            <w:shd w:val="clear" w:color="auto" w:fill="FFFFFF"/>
            <w:vAlign w:val="center"/>
          </w:tcPr>
          <w:p w14:paraId="163AE5F7">
            <w:pPr>
              <w:widowControl/>
              <w:adjustRightInd w:val="0"/>
              <w:jc w:val="center"/>
              <w:textAlignment w:val="center"/>
              <w:rPr>
                <w:rFonts w:ascii="宋体" w:hAnsi="宋体" w:cs="宋体"/>
                <w:sz w:val="24"/>
              </w:rPr>
            </w:pPr>
            <w:r>
              <w:rPr>
                <w:rFonts w:hint="eastAsia" w:ascii="宋体" w:hAnsi="宋体" w:cs="宋体"/>
                <w:sz w:val="24"/>
              </w:rPr>
              <w:t>x86平台云主机服务</w:t>
            </w:r>
          </w:p>
        </w:tc>
        <w:tc>
          <w:tcPr>
            <w:tcW w:w="3953" w:type="dxa"/>
            <w:tcBorders>
              <w:top w:val="single" w:color="000000" w:sz="4" w:space="0"/>
              <w:left w:val="nil"/>
              <w:bottom w:val="single" w:color="000000" w:sz="4" w:space="0"/>
              <w:right w:val="single" w:color="000000" w:sz="4" w:space="0"/>
            </w:tcBorders>
            <w:shd w:val="clear" w:color="auto" w:fill="FFFFFF"/>
            <w:vAlign w:val="center"/>
          </w:tcPr>
          <w:p w14:paraId="5E8E84F1">
            <w:pPr>
              <w:widowControl/>
              <w:adjustRightInd w:val="0"/>
              <w:textAlignment w:val="center"/>
              <w:rPr>
                <w:rFonts w:ascii="宋体" w:hAnsi="宋体" w:cs="宋体"/>
                <w:sz w:val="24"/>
              </w:rPr>
            </w:pPr>
            <w:r>
              <w:rPr>
                <w:rFonts w:hint="eastAsia" w:ascii="宋体" w:hAnsi="宋体" w:cs="宋体"/>
                <w:sz w:val="24"/>
              </w:rPr>
              <w:t>vCPU（主频不低于2.4GHz）</w:t>
            </w:r>
          </w:p>
        </w:tc>
        <w:tc>
          <w:tcPr>
            <w:tcW w:w="1472" w:type="dxa"/>
            <w:tcBorders>
              <w:top w:val="single" w:color="000000" w:sz="4" w:space="0"/>
              <w:left w:val="nil"/>
              <w:bottom w:val="single" w:color="000000" w:sz="4" w:space="0"/>
              <w:right w:val="single" w:color="000000" w:sz="4" w:space="0"/>
            </w:tcBorders>
            <w:shd w:val="clear" w:color="auto" w:fill="FFFFFF"/>
            <w:vAlign w:val="center"/>
          </w:tcPr>
          <w:p w14:paraId="0F05D02A">
            <w:pPr>
              <w:widowControl/>
              <w:adjustRightInd w:val="0"/>
              <w:jc w:val="center"/>
              <w:textAlignment w:val="center"/>
              <w:rPr>
                <w:rFonts w:ascii="宋体" w:hAnsi="宋体" w:cs="宋体"/>
                <w:sz w:val="24"/>
              </w:rPr>
            </w:pPr>
            <w:r>
              <w:rPr>
                <w:rFonts w:hint="eastAsia" w:ascii="宋体" w:hAnsi="宋体" w:cs="宋体"/>
                <w:sz w:val="24"/>
              </w:rPr>
              <w:t>1 CPU</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7C58423E">
            <w:pPr>
              <w:widowControl/>
              <w:adjustRightInd w:val="0"/>
              <w:jc w:val="center"/>
              <w:textAlignment w:val="center"/>
              <w:rPr>
                <w:rFonts w:ascii="宋体" w:hAnsi="宋体" w:cs="宋体"/>
                <w:sz w:val="24"/>
              </w:rPr>
            </w:pPr>
            <w:r>
              <w:rPr>
                <w:rFonts w:hint="eastAsia" w:ascii="宋体" w:hAnsi="宋体" w:cs="宋体"/>
                <w:sz w:val="24"/>
              </w:rPr>
              <w:t>1206</w:t>
            </w:r>
          </w:p>
        </w:tc>
      </w:tr>
      <w:tr w14:paraId="109B247E">
        <w:tblPrEx>
          <w:tblCellMar>
            <w:top w:w="0" w:type="dxa"/>
            <w:left w:w="108" w:type="dxa"/>
            <w:bottom w:w="0" w:type="dxa"/>
            <w:right w:w="108" w:type="dxa"/>
          </w:tblCellMar>
        </w:tblPrEx>
        <w:trPr>
          <w:trHeight w:val="330" w:hRule="atLeast"/>
          <w:jc w:val="center"/>
        </w:trPr>
        <w:tc>
          <w:tcPr>
            <w:tcW w:w="871" w:type="dxa"/>
            <w:vMerge w:val="continue"/>
            <w:tcBorders>
              <w:left w:val="single" w:color="000000" w:sz="4" w:space="0"/>
              <w:right w:val="single" w:color="000000" w:sz="4" w:space="0"/>
            </w:tcBorders>
            <w:shd w:val="clear" w:color="auto" w:fill="auto"/>
            <w:vAlign w:val="center"/>
          </w:tcPr>
          <w:p w14:paraId="5FCCCF54">
            <w:pPr>
              <w:widowControl/>
              <w:adjustRightInd w:val="0"/>
              <w:rPr>
                <w:rFonts w:ascii="宋体" w:hAnsi="宋体" w:cs="宋体"/>
                <w:sz w:val="24"/>
              </w:rPr>
            </w:pPr>
          </w:p>
        </w:tc>
        <w:tc>
          <w:tcPr>
            <w:tcW w:w="1676" w:type="dxa"/>
            <w:vMerge w:val="continue"/>
            <w:tcBorders>
              <w:top w:val="nil"/>
              <w:left w:val="nil"/>
              <w:bottom w:val="single" w:color="000000" w:sz="4" w:space="0"/>
              <w:right w:val="single" w:color="000000" w:sz="4" w:space="0"/>
            </w:tcBorders>
            <w:shd w:val="clear" w:color="auto" w:fill="auto"/>
            <w:vAlign w:val="center"/>
          </w:tcPr>
          <w:p w14:paraId="67A2E6F2">
            <w:pPr>
              <w:widowControl/>
              <w:adjustRightInd w:val="0"/>
              <w:rPr>
                <w:rFonts w:ascii="宋体" w:hAnsi="宋体" w:cs="宋体"/>
                <w:sz w:val="24"/>
              </w:rPr>
            </w:pPr>
          </w:p>
        </w:tc>
        <w:tc>
          <w:tcPr>
            <w:tcW w:w="3953" w:type="dxa"/>
            <w:tcBorders>
              <w:top w:val="single" w:color="000000" w:sz="4" w:space="0"/>
              <w:left w:val="nil"/>
              <w:bottom w:val="single" w:color="000000" w:sz="4" w:space="0"/>
              <w:right w:val="single" w:color="000000" w:sz="4" w:space="0"/>
            </w:tcBorders>
            <w:shd w:val="clear" w:color="auto" w:fill="FFFFFF"/>
            <w:vAlign w:val="center"/>
          </w:tcPr>
          <w:p w14:paraId="22ED9A47">
            <w:pPr>
              <w:widowControl/>
              <w:adjustRightInd w:val="0"/>
              <w:textAlignment w:val="center"/>
              <w:rPr>
                <w:rFonts w:ascii="宋体" w:hAnsi="宋体" w:cs="宋体"/>
                <w:sz w:val="24"/>
              </w:rPr>
            </w:pPr>
            <w:r>
              <w:rPr>
                <w:rFonts w:hint="eastAsia" w:ascii="宋体" w:hAnsi="宋体" w:cs="宋体"/>
                <w:sz w:val="24"/>
              </w:rPr>
              <w:t>内存</w:t>
            </w:r>
          </w:p>
        </w:tc>
        <w:tc>
          <w:tcPr>
            <w:tcW w:w="1472" w:type="dxa"/>
            <w:tcBorders>
              <w:top w:val="single" w:color="000000" w:sz="4" w:space="0"/>
              <w:left w:val="nil"/>
              <w:bottom w:val="single" w:color="000000" w:sz="4" w:space="0"/>
              <w:right w:val="single" w:color="000000" w:sz="4" w:space="0"/>
            </w:tcBorders>
            <w:shd w:val="clear" w:color="auto" w:fill="FFFFFF"/>
            <w:vAlign w:val="center"/>
          </w:tcPr>
          <w:p w14:paraId="4B3D61B4">
            <w:pPr>
              <w:widowControl/>
              <w:adjustRightInd w:val="0"/>
              <w:jc w:val="center"/>
              <w:textAlignment w:val="center"/>
              <w:rPr>
                <w:rFonts w:ascii="宋体" w:hAnsi="宋体" w:cs="宋体"/>
                <w:sz w:val="24"/>
              </w:rPr>
            </w:pPr>
            <w:r>
              <w:rPr>
                <w:rFonts w:hint="eastAsia" w:ascii="宋体" w:hAnsi="宋体" w:cs="宋体"/>
                <w:sz w:val="24"/>
              </w:rPr>
              <w:t>1 GB</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60521E95">
            <w:pPr>
              <w:widowControl/>
              <w:adjustRightInd w:val="0"/>
              <w:jc w:val="center"/>
              <w:textAlignment w:val="center"/>
              <w:rPr>
                <w:rFonts w:ascii="宋体" w:hAnsi="宋体" w:cs="宋体"/>
                <w:sz w:val="24"/>
              </w:rPr>
            </w:pPr>
            <w:r>
              <w:rPr>
                <w:rFonts w:hint="eastAsia" w:ascii="宋体" w:hAnsi="宋体" w:cs="宋体"/>
                <w:sz w:val="24"/>
              </w:rPr>
              <w:t>3984</w:t>
            </w:r>
          </w:p>
        </w:tc>
      </w:tr>
      <w:tr w14:paraId="2B66946B">
        <w:tblPrEx>
          <w:tblCellMar>
            <w:top w:w="0" w:type="dxa"/>
            <w:left w:w="108" w:type="dxa"/>
            <w:bottom w:w="0" w:type="dxa"/>
            <w:right w:w="108" w:type="dxa"/>
          </w:tblCellMar>
        </w:tblPrEx>
        <w:trPr>
          <w:trHeight w:val="855" w:hRule="atLeast"/>
          <w:jc w:val="center"/>
        </w:trPr>
        <w:tc>
          <w:tcPr>
            <w:tcW w:w="871" w:type="dxa"/>
            <w:vMerge w:val="continue"/>
            <w:tcBorders>
              <w:left w:val="single" w:color="000000" w:sz="4" w:space="0"/>
              <w:right w:val="single" w:color="000000" w:sz="4" w:space="0"/>
            </w:tcBorders>
            <w:shd w:val="clear" w:color="auto" w:fill="auto"/>
            <w:vAlign w:val="center"/>
          </w:tcPr>
          <w:p w14:paraId="196899E0">
            <w:pPr>
              <w:widowControl/>
              <w:adjustRightInd w:val="0"/>
              <w:rPr>
                <w:rFonts w:ascii="宋体" w:hAnsi="宋体" w:cs="宋体"/>
                <w:sz w:val="24"/>
              </w:rPr>
            </w:pPr>
          </w:p>
        </w:tc>
        <w:tc>
          <w:tcPr>
            <w:tcW w:w="1676" w:type="dxa"/>
            <w:tcBorders>
              <w:top w:val="single" w:color="000000" w:sz="4" w:space="0"/>
              <w:left w:val="nil"/>
              <w:right w:val="single" w:color="000000" w:sz="4" w:space="0"/>
            </w:tcBorders>
            <w:shd w:val="clear" w:color="auto" w:fill="FFFFFF"/>
            <w:vAlign w:val="center"/>
          </w:tcPr>
          <w:p w14:paraId="214A4442">
            <w:pPr>
              <w:widowControl/>
              <w:adjustRightInd w:val="0"/>
              <w:jc w:val="center"/>
              <w:textAlignment w:val="center"/>
              <w:rPr>
                <w:rFonts w:ascii="宋体" w:hAnsi="宋体" w:cs="宋体"/>
                <w:sz w:val="24"/>
              </w:rPr>
            </w:pPr>
            <w:r>
              <w:rPr>
                <w:rFonts w:hint="eastAsia" w:ascii="宋体" w:hAnsi="宋体" w:cs="宋体"/>
                <w:sz w:val="24"/>
              </w:rPr>
              <w:t>x86物理服务器租用</w:t>
            </w:r>
          </w:p>
        </w:tc>
        <w:tc>
          <w:tcPr>
            <w:tcW w:w="3953" w:type="dxa"/>
            <w:tcBorders>
              <w:top w:val="single" w:color="000000" w:sz="4" w:space="0"/>
              <w:left w:val="nil"/>
              <w:bottom w:val="single" w:color="000000" w:sz="4" w:space="0"/>
              <w:right w:val="single" w:color="000000" w:sz="4" w:space="0"/>
            </w:tcBorders>
            <w:shd w:val="clear" w:color="auto" w:fill="FFFFFF"/>
            <w:vAlign w:val="center"/>
          </w:tcPr>
          <w:p w14:paraId="733F999A">
            <w:pPr>
              <w:widowControl/>
              <w:adjustRightInd w:val="0"/>
              <w:textAlignment w:val="center"/>
              <w:rPr>
                <w:rFonts w:ascii="宋体" w:hAnsi="宋体" w:cs="宋体"/>
                <w:sz w:val="24"/>
              </w:rPr>
            </w:pPr>
            <w:r>
              <w:rPr>
                <w:rFonts w:hint="eastAsia" w:ascii="宋体" w:hAnsi="宋体" w:cs="宋体"/>
                <w:sz w:val="24"/>
              </w:rPr>
              <w:t>x86物理服务器配置1：2路10核2.0GHz，64G内存，2块600G SAS硬盘，2个HBA卡，2个万兆端口</w:t>
            </w:r>
          </w:p>
        </w:tc>
        <w:tc>
          <w:tcPr>
            <w:tcW w:w="1472" w:type="dxa"/>
            <w:tcBorders>
              <w:top w:val="single" w:color="000000" w:sz="4" w:space="0"/>
              <w:left w:val="nil"/>
              <w:bottom w:val="single" w:color="000000" w:sz="4" w:space="0"/>
              <w:right w:val="single" w:color="000000" w:sz="4" w:space="0"/>
            </w:tcBorders>
            <w:shd w:val="clear" w:color="auto" w:fill="FFFFFF"/>
            <w:vAlign w:val="center"/>
          </w:tcPr>
          <w:p w14:paraId="0C53E0D2">
            <w:pPr>
              <w:widowControl/>
              <w:adjustRightInd w:val="0"/>
              <w:jc w:val="center"/>
              <w:textAlignment w:val="center"/>
              <w:rPr>
                <w:rFonts w:ascii="宋体" w:hAnsi="宋体" w:cs="宋体"/>
                <w:sz w:val="24"/>
              </w:rPr>
            </w:pPr>
            <w:r>
              <w:rPr>
                <w:rFonts w:hint="eastAsia" w:ascii="宋体" w:hAnsi="宋体" w:cs="宋体"/>
                <w:sz w:val="24"/>
              </w:rPr>
              <w:t>1台</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068733A6">
            <w:pPr>
              <w:widowControl/>
              <w:adjustRightInd w:val="0"/>
              <w:jc w:val="center"/>
              <w:textAlignment w:val="center"/>
              <w:rPr>
                <w:rFonts w:ascii="宋体" w:hAnsi="宋体" w:cs="宋体"/>
                <w:sz w:val="24"/>
              </w:rPr>
            </w:pPr>
            <w:r>
              <w:rPr>
                <w:rFonts w:hint="eastAsia" w:ascii="宋体" w:hAnsi="宋体" w:cs="宋体"/>
                <w:sz w:val="24"/>
              </w:rPr>
              <w:t>7</w:t>
            </w:r>
          </w:p>
        </w:tc>
      </w:tr>
      <w:tr w14:paraId="26DE2D3A">
        <w:tblPrEx>
          <w:tblCellMar>
            <w:top w:w="0" w:type="dxa"/>
            <w:left w:w="108" w:type="dxa"/>
            <w:bottom w:w="0" w:type="dxa"/>
            <w:right w:w="108" w:type="dxa"/>
          </w:tblCellMar>
        </w:tblPrEx>
        <w:trPr>
          <w:trHeight w:val="510" w:hRule="atLeast"/>
          <w:jc w:val="center"/>
        </w:trPr>
        <w:tc>
          <w:tcPr>
            <w:tcW w:w="871" w:type="dxa"/>
            <w:vMerge w:val="restart"/>
            <w:tcBorders>
              <w:top w:val="single" w:color="000000" w:sz="4" w:space="0"/>
              <w:left w:val="single" w:color="000000" w:sz="4" w:space="0"/>
              <w:right w:val="single" w:color="000000" w:sz="4" w:space="0"/>
            </w:tcBorders>
            <w:shd w:val="clear" w:color="auto" w:fill="auto"/>
            <w:vAlign w:val="center"/>
          </w:tcPr>
          <w:p w14:paraId="1212ED48">
            <w:pPr>
              <w:widowControl/>
              <w:adjustRightInd w:val="0"/>
              <w:jc w:val="center"/>
              <w:textAlignment w:val="center"/>
              <w:rPr>
                <w:rFonts w:ascii="宋体" w:hAnsi="宋体" w:cs="宋体"/>
                <w:sz w:val="24"/>
              </w:rPr>
            </w:pPr>
            <w:r>
              <w:rPr>
                <w:rFonts w:hint="eastAsia" w:ascii="宋体" w:hAnsi="宋体" w:cs="宋体"/>
                <w:sz w:val="24"/>
              </w:rPr>
              <w:t>存储服务</w:t>
            </w:r>
          </w:p>
        </w:tc>
        <w:tc>
          <w:tcPr>
            <w:tcW w:w="1676" w:type="dxa"/>
            <w:tcBorders>
              <w:top w:val="single" w:color="000000" w:sz="4" w:space="0"/>
              <w:left w:val="nil"/>
              <w:bottom w:val="single" w:color="000000" w:sz="4" w:space="0"/>
              <w:right w:val="single" w:color="000000" w:sz="4" w:space="0"/>
            </w:tcBorders>
            <w:shd w:val="clear" w:color="auto" w:fill="FFFFFF"/>
            <w:vAlign w:val="center"/>
          </w:tcPr>
          <w:p w14:paraId="14E4706F">
            <w:pPr>
              <w:widowControl/>
              <w:adjustRightInd w:val="0"/>
              <w:jc w:val="center"/>
              <w:textAlignment w:val="center"/>
              <w:rPr>
                <w:rFonts w:ascii="宋体" w:hAnsi="宋体" w:cs="宋体"/>
                <w:sz w:val="24"/>
              </w:rPr>
            </w:pPr>
            <w:r>
              <w:rPr>
                <w:rFonts w:hint="eastAsia" w:ascii="宋体" w:hAnsi="宋体" w:cs="宋体"/>
                <w:sz w:val="24"/>
              </w:rPr>
              <w:t>高性能存储</w:t>
            </w:r>
          </w:p>
        </w:tc>
        <w:tc>
          <w:tcPr>
            <w:tcW w:w="3953" w:type="dxa"/>
            <w:tcBorders>
              <w:top w:val="single" w:color="000000" w:sz="4" w:space="0"/>
              <w:left w:val="nil"/>
              <w:bottom w:val="single" w:color="000000" w:sz="4" w:space="0"/>
              <w:right w:val="single" w:color="000000" w:sz="4" w:space="0"/>
            </w:tcBorders>
            <w:shd w:val="clear" w:color="auto" w:fill="FFFFFF"/>
            <w:vAlign w:val="center"/>
          </w:tcPr>
          <w:p w14:paraId="0AB77707">
            <w:pPr>
              <w:widowControl/>
              <w:adjustRightInd w:val="0"/>
              <w:textAlignment w:val="center"/>
              <w:rPr>
                <w:rFonts w:ascii="宋体" w:hAnsi="宋体" w:cs="宋体"/>
                <w:sz w:val="24"/>
              </w:rPr>
            </w:pPr>
            <w:r>
              <w:rPr>
                <w:rFonts w:hint="eastAsia" w:ascii="宋体" w:hAnsi="宋体" w:cs="宋体"/>
                <w:sz w:val="24"/>
              </w:rPr>
              <w:t>高性能存储（单盘技术指标：单盘IOPS 3000-20000 ）</w:t>
            </w:r>
          </w:p>
        </w:tc>
        <w:tc>
          <w:tcPr>
            <w:tcW w:w="1472" w:type="dxa"/>
            <w:tcBorders>
              <w:top w:val="single" w:color="000000" w:sz="4" w:space="0"/>
              <w:left w:val="nil"/>
              <w:bottom w:val="single" w:color="000000" w:sz="4" w:space="0"/>
              <w:right w:val="single" w:color="000000" w:sz="4" w:space="0"/>
            </w:tcBorders>
            <w:shd w:val="clear" w:color="auto" w:fill="FFFFFF"/>
            <w:vAlign w:val="center"/>
          </w:tcPr>
          <w:p w14:paraId="36C26A19">
            <w:pPr>
              <w:widowControl/>
              <w:adjustRightInd w:val="0"/>
              <w:jc w:val="center"/>
              <w:textAlignment w:val="center"/>
              <w:rPr>
                <w:rFonts w:ascii="宋体" w:hAnsi="宋体" w:cs="宋体"/>
                <w:sz w:val="24"/>
              </w:rPr>
            </w:pPr>
            <w:r>
              <w:rPr>
                <w:rFonts w:hint="eastAsia" w:ascii="宋体" w:hAnsi="宋体" w:cs="宋体"/>
                <w:sz w:val="24"/>
              </w:rPr>
              <w:t>1 GB</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10F5D87A">
            <w:pPr>
              <w:widowControl/>
              <w:adjustRightInd w:val="0"/>
              <w:jc w:val="center"/>
              <w:textAlignment w:val="center"/>
              <w:rPr>
                <w:rFonts w:ascii="宋体" w:hAnsi="宋体" w:cs="宋体"/>
                <w:sz w:val="24"/>
              </w:rPr>
            </w:pPr>
            <w:r>
              <w:rPr>
                <w:rFonts w:hint="eastAsia" w:ascii="宋体" w:hAnsi="宋体" w:cs="宋体"/>
                <w:sz w:val="24"/>
              </w:rPr>
              <w:t>144690</w:t>
            </w:r>
          </w:p>
        </w:tc>
      </w:tr>
      <w:tr w14:paraId="184652E8">
        <w:tblPrEx>
          <w:tblCellMar>
            <w:top w:w="0" w:type="dxa"/>
            <w:left w:w="108" w:type="dxa"/>
            <w:bottom w:w="0" w:type="dxa"/>
            <w:right w:w="108" w:type="dxa"/>
          </w:tblCellMar>
        </w:tblPrEx>
        <w:trPr>
          <w:trHeight w:val="510" w:hRule="atLeast"/>
          <w:jc w:val="center"/>
        </w:trPr>
        <w:tc>
          <w:tcPr>
            <w:tcW w:w="871" w:type="dxa"/>
            <w:vMerge w:val="continue"/>
            <w:tcBorders>
              <w:left w:val="single" w:color="000000" w:sz="4" w:space="0"/>
              <w:right w:val="single" w:color="000000" w:sz="4" w:space="0"/>
            </w:tcBorders>
            <w:shd w:val="clear" w:color="auto" w:fill="auto"/>
            <w:vAlign w:val="center"/>
          </w:tcPr>
          <w:p w14:paraId="0310E93D">
            <w:pPr>
              <w:widowControl/>
              <w:adjustRightInd w:val="0"/>
              <w:jc w:val="center"/>
              <w:textAlignment w:val="center"/>
              <w:rPr>
                <w:rFonts w:ascii="宋体" w:hAnsi="宋体" w:cs="宋体"/>
                <w:b/>
                <w:bCs/>
                <w:sz w:val="24"/>
              </w:rPr>
            </w:pPr>
          </w:p>
        </w:tc>
        <w:tc>
          <w:tcPr>
            <w:tcW w:w="1676" w:type="dxa"/>
            <w:tcBorders>
              <w:top w:val="single" w:color="000000" w:sz="4" w:space="0"/>
              <w:left w:val="nil"/>
              <w:bottom w:val="single" w:color="000000" w:sz="4" w:space="0"/>
              <w:right w:val="single" w:color="000000" w:sz="4" w:space="0"/>
            </w:tcBorders>
            <w:shd w:val="clear" w:color="auto" w:fill="FFFFFF"/>
            <w:vAlign w:val="center"/>
          </w:tcPr>
          <w:p w14:paraId="3A676CC5">
            <w:pPr>
              <w:widowControl/>
              <w:adjustRightInd w:val="0"/>
              <w:textAlignment w:val="center"/>
              <w:rPr>
                <w:rFonts w:ascii="宋体" w:hAnsi="宋体" w:cs="宋体"/>
                <w:sz w:val="24"/>
              </w:rPr>
            </w:pPr>
            <w:r>
              <w:rPr>
                <w:rFonts w:hint="eastAsia" w:ascii="宋体" w:hAnsi="宋体" w:cs="宋体"/>
                <w:sz w:val="24"/>
              </w:rPr>
              <w:t>普通性能存储</w:t>
            </w:r>
          </w:p>
        </w:tc>
        <w:tc>
          <w:tcPr>
            <w:tcW w:w="3953" w:type="dxa"/>
            <w:tcBorders>
              <w:top w:val="single" w:color="000000" w:sz="4" w:space="0"/>
              <w:left w:val="nil"/>
              <w:bottom w:val="single" w:color="000000" w:sz="4" w:space="0"/>
              <w:right w:val="single" w:color="000000" w:sz="4" w:space="0"/>
            </w:tcBorders>
            <w:shd w:val="clear" w:color="auto" w:fill="FFFFFF"/>
            <w:vAlign w:val="center"/>
          </w:tcPr>
          <w:p w14:paraId="3AA14B60">
            <w:pPr>
              <w:widowControl/>
              <w:adjustRightInd w:val="0"/>
              <w:textAlignment w:val="center"/>
              <w:rPr>
                <w:rFonts w:ascii="宋体" w:hAnsi="宋体" w:cs="宋体"/>
                <w:sz w:val="24"/>
              </w:rPr>
            </w:pPr>
            <w:r>
              <w:rPr>
                <w:rFonts w:hint="eastAsia" w:ascii="宋体" w:hAnsi="宋体" w:cs="宋体"/>
                <w:sz w:val="24"/>
              </w:rPr>
              <w:t>普通存储（单盘技术指标：单盘IOPS 1000-3000）</w:t>
            </w:r>
          </w:p>
        </w:tc>
        <w:tc>
          <w:tcPr>
            <w:tcW w:w="1472" w:type="dxa"/>
            <w:tcBorders>
              <w:top w:val="single" w:color="000000" w:sz="4" w:space="0"/>
              <w:left w:val="nil"/>
              <w:bottom w:val="single" w:color="000000" w:sz="4" w:space="0"/>
              <w:right w:val="single" w:color="000000" w:sz="4" w:space="0"/>
            </w:tcBorders>
            <w:shd w:val="clear" w:color="auto" w:fill="FFFFFF"/>
            <w:vAlign w:val="center"/>
          </w:tcPr>
          <w:p w14:paraId="7C975174">
            <w:pPr>
              <w:widowControl/>
              <w:adjustRightInd w:val="0"/>
              <w:jc w:val="center"/>
              <w:textAlignment w:val="center"/>
              <w:rPr>
                <w:rFonts w:ascii="宋体" w:hAnsi="宋体" w:cs="宋体"/>
                <w:sz w:val="24"/>
              </w:rPr>
            </w:pPr>
            <w:r>
              <w:rPr>
                <w:rFonts w:hint="eastAsia" w:ascii="宋体" w:hAnsi="宋体" w:cs="宋体"/>
                <w:sz w:val="24"/>
              </w:rPr>
              <w:t>1 GB</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5E3A30C9">
            <w:pPr>
              <w:widowControl/>
              <w:adjustRightInd w:val="0"/>
              <w:jc w:val="center"/>
              <w:textAlignment w:val="center"/>
              <w:rPr>
                <w:rFonts w:ascii="宋体" w:hAnsi="宋体" w:cs="宋体"/>
                <w:sz w:val="24"/>
              </w:rPr>
            </w:pPr>
            <w:r>
              <w:rPr>
                <w:rFonts w:hint="eastAsia" w:ascii="宋体" w:hAnsi="宋体" w:cs="宋体"/>
                <w:sz w:val="24"/>
              </w:rPr>
              <w:t>40000</w:t>
            </w:r>
          </w:p>
        </w:tc>
      </w:tr>
      <w:tr w14:paraId="2FDF02CD">
        <w:tblPrEx>
          <w:tblCellMar>
            <w:top w:w="0" w:type="dxa"/>
            <w:left w:w="108" w:type="dxa"/>
            <w:bottom w:w="0" w:type="dxa"/>
            <w:right w:w="108" w:type="dxa"/>
          </w:tblCellMar>
        </w:tblPrEx>
        <w:trPr>
          <w:trHeight w:val="510" w:hRule="atLeast"/>
          <w:jc w:val="center"/>
        </w:trPr>
        <w:tc>
          <w:tcPr>
            <w:tcW w:w="871" w:type="dxa"/>
            <w:vMerge w:val="continue"/>
            <w:tcBorders>
              <w:left w:val="single" w:color="000000" w:sz="4" w:space="0"/>
              <w:bottom w:val="single" w:color="000000" w:sz="4" w:space="0"/>
              <w:right w:val="single" w:color="000000" w:sz="4" w:space="0"/>
            </w:tcBorders>
            <w:shd w:val="clear" w:color="auto" w:fill="auto"/>
            <w:vAlign w:val="center"/>
          </w:tcPr>
          <w:p w14:paraId="338BFD19">
            <w:pPr>
              <w:widowControl/>
              <w:adjustRightInd w:val="0"/>
              <w:jc w:val="center"/>
              <w:textAlignment w:val="center"/>
              <w:rPr>
                <w:rFonts w:ascii="宋体" w:hAnsi="宋体" w:cs="宋体"/>
                <w:b/>
                <w:bCs/>
                <w:sz w:val="24"/>
              </w:rPr>
            </w:pPr>
          </w:p>
        </w:tc>
        <w:tc>
          <w:tcPr>
            <w:tcW w:w="1676" w:type="dxa"/>
            <w:tcBorders>
              <w:top w:val="single" w:color="000000" w:sz="4" w:space="0"/>
              <w:left w:val="nil"/>
              <w:bottom w:val="single" w:color="000000" w:sz="4" w:space="0"/>
              <w:right w:val="single" w:color="000000" w:sz="4" w:space="0"/>
            </w:tcBorders>
            <w:shd w:val="clear" w:color="auto" w:fill="FFFFFF"/>
            <w:vAlign w:val="center"/>
          </w:tcPr>
          <w:p w14:paraId="05C3C094">
            <w:pPr>
              <w:widowControl/>
              <w:adjustRightInd w:val="0"/>
              <w:jc w:val="center"/>
              <w:textAlignment w:val="center"/>
              <w:rPr>
                <w:rFonts w:ascii="宋体" w:hAnsi="宋体" w:cs="宋体"/>
                <w:sz w:val="24"/>
              </w:rPr>
            </w:pPr>
            <w:r>
              <w:rPr>
                <w:rFonts w:hint="eastAsia" w:ascii="宋体" w:hAnsi="宋体" w:cs="宋体"/>
                <w:sz w:val="24"/>
              </w:rPr>
              <w:t>本地备份服务</w:t>
            </w:r>
          </w:p>
        </w:tc>
        <w:tc>
          <w:tcPr>
            <w:tcW w:w="3953" w:type="dxa"/>
            <w:tcBorders>
              <w:top w:val="single" w:color="000000" w:sz="4" w:space="0"/>
              <w:left w:val="nil"/>
              <w:bottom w:val="single" w:color="000000" w:sz="4" w:space="0"/>
              <w:right w:val="single" w:color="000000" w:sz="4" w:space="0"/>
            </w:tcBorders>
            <w:shd w:val="clear" w:color="auto" w:fill="FFFFFF"/>
            <w:vAlign w:val="center"/>
          </w:tcPr>
          <w:p w14:paraId="3B381012">
            <w:pPr>
              <w:widowControl/>
              <w:adjustRightInd w:val="0"/>
              <w:textAlignment w:val="center"/>
              <w:rPr>
                <w:rFonts w:ascii="宋体" w:hAnsi="宋体" w:cs="宋体"/>
                <w:sz w:val="24"/>
              </w:rPr>
            </w:pPr>
            <w:r>
              <w:rPr>
                <w:rFonts w:hint="eastAsia" w:ascii="宋体" w:hAnsi="宋体" w:cs="宋体"/>
                <w:sz w:val="24"/>
              </w:rPr>
              <w:t>通过备份策略实现文件、操作系统、数据库的本地备份</w:t>
            </w:r>
          </w:p>
        </w:tc>
        <w:tc>
          <w:tcPr>
            <w:tcW w:w="1472" w:type="dxa"/>
            <w:tcBorders>
              <w:top w:val="single" w:color="000000" w:sz="4" w:space="0"/>
              <w:left w:val="nil"/>
              <w:bottom w:val="single" w:color="000000" w:sz="4" w:space="0"/>
              <w:right w:val="single" w:color="000000" w:sz="4" w:space="0"/>
            </w:tcBorders>
            <w:shd w:val="clear" w:color="auto" w:fill="FFFFFF"/>
            <w:vAlign w:val="center"/>
          </w:tcPr>
          <w:p w14:paraId="55DB517D">
            <w:pPr>
              <w:widowControl/>
              <w:adjustRightInd w:val="0"/>
              <w:jc w:val="center"/>
              <w:textAlignment w:val="center"/>
              <w:rPr>
                <w:rFonts w:ascii="宋体" w:hAnsi="宋体" w:cs="宋体"/>
                <w:sz w:val="24"/>
              </w:rPr>
            </w:pPr>
            <w:r>
              <w:rPr>
                <w:rFonts w:hint="eastAsia" w:ascii="宋体" w:hAnsi="宋体" w:cs="宋体"/>
                <w:sz w:val="24"/>
              </w:rPr>
              <w:t>1GB</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177BDAEB">
            <w:pPr>
              <w:widowControl/>
              <w:adjustRightInd w:val="0"/>
              <w:jc w:val="center"/>
              <w:textAlignment w:val="center"/>
              <w:rPr>
                <w:rFonts w:ascii="宋体" w:hAnsi="宋体" w:cs="宋体"/>
                <w:color w:val="FF0000"/>
                <w:sz w:val="24"/>
              </w:rPr>
            </w:pPr>
            <w:r>
              <w:rPr>
                <w:rFonts w:hint="eastAsia" w:ascii="宋体" w:hAnsi="宋体" w:cs="宋体"/>
                <w:sz w:val="24"/>
              </w:rPr>
              <w:t>25800</w:t>
            </w:r>
          </w:p>
        </w:tc>
      </w:tr>
      <w:tr w14:paraId="095118F0">
        <w:tblPrEx>
          <w:tblCellMar>
            <w:top w:w="0" w:type="dxa"/>
            <w:left w:w="108" w:type="dxa"/>
            <w:bottom w:w="0" w:type="dxa"/>
            <w:right w:w="108" w:type="dxa"/>
          </w:tblCellMar>
        </w:tblPrEx>
        <w:trPr>
          <w:trHeight w:val="330" w:hRule="atLeast"/>
          <w:jc w:val="center"/>
        </w:trPr>
        <w:tc>
          <w:tcPr>
            <w:tcW w:w="871" w:type="dxa"/>
            <w:vMerge w:val="restart"/>
            <w:tcBorders>
              <w:top w:val="single" w:color="000000" w:sz="4" w:space="0"/>
              <w:left w:val="single" w:color="000000" w:sz="4" w:space="0"/>
              <w:right w:val="single" w:color="000000" w:sz="4" w:space="0"/>
            </w:tcBorders>
            <w:shd w:val="clear" w:color="auto" w:fill="auto"/>
            <w:vAlign w:val="center"/>
          </w:tcPr>
          <w:p w14:paraId="7489957C">
            <w:pPr>
              <w:widowControl/>
              <w:adjustRightInd w:val="0"/>
              <w:jc w:val="center"/>
              <w:textAlignment w:val="center"/>
              <w:rPr>
                <w:rFonts w:ascii="宋体" w:hAnsi="宋体" w:cs="宋体"/>
                <w:sz w:val="24"/>
              </w:rPr>
            </w:pPr>
            <w:r>
              <w:rPr>
                <w:rFonts w:hint="eastAsia" w:ascii="宋体" w:hAnsi="宋体" w:cs="宋体"/>
                <w:sz w:val="24"/>
              </w:rPr>
              <w:t>网络服务</w:t>
            </w:r>
          </w:p>
        </w:tc>
        <w:tc>
          <w:tcPr>
            <w:tcW w:w="1676" w:type="dxa"/>
            <w:vMerge w:val="restart"/>
            <w:tcBorders>
              <w:top w:val="nil"/>
              <w:left w:val="nil"/>
              <w:bottom w:val="single" w:color="000000" w:sz="4" w:space="0"/>
              <w:right w:val="single" w:color="000000" w:sz="4" w:space="0"/>
            </w:tcBorders>
            <w:shd w:val="clear" w:color="auto" w:fill="FFFFFF"/>
            <w:vAlign w:val="center"/>
          </w:tcPr>
          <w:p w14:paraId="1811E7AD">
            <w:pPr>
              <w:widowControl/>
              <w:adjustRightInd w:val="0"/>
              <w:jc w:val="center"/>
              <w:textAlignment w:val="center"/>
              <w:rPr>
                <w:rFonts w:ascii="宋体" w:hAnsi="宋体" w:cs="宋体"/>
                <w:sz w:val="24"/>
              </w:rPr>
            </w:pPr>
            <w:r>
              <w:rPr>
                <w:rFonts w:hint="eastAsia" w:ascii="宋体" w:hAnsi="宋体" w:cs="宋体"/>
                <w:sz w:val="24"/>
              </w:rPr>
              <w:t>互联网链路服务</w:t>
            </w:r>
          </w:p>
        </w:tc>
        <w:tc>
          <w:tcPr>
            <w:tcW w:w="3953" w:type="dxa"/>
            <w:tcBorders>
              <w:top w:val="single" w:color="000000" w:sz="4" w:space="0"/>
              <w:left w:val="nil"/>
              <w:bottom w:val="single" w:color="000000" w:sz="4" w:space="0"/>
              <w:right w:val="single" w:color="000000" w:sz="4" w:space="0"/>
            </w:tcBorders>
            <w:shd w:val="clear" w:color="auto" w:fill="FFFFFF"/>
            <w:vAlign w:val="center"/>
          </w:tcPr>
          <w:p w14:paraId="0021E29D">
            <w:pPr>
              <w:widowControl/>
              <w:adjustRightInd w:val="0"/>
              <w:textAlignment w:val="center"/>
              <w:rPr>
                <w:rFonts w:ascii="宋体" w:hAnsi="宋体" w:cs="宋体"/>
                <w:sz w:val="24"/>
              </w:rPr>
            </w:pPr>
            <w:r>
              <w:rPr>
                <w:rFonts w:hint="eastAsia" w:ascii="宋体" w:hAnsi="宋体" w:cs="宋体"/>
                <w:sz w:val="24"/>
              </w:rPr>
              <w:t>互联网链路带宽</w:t>
            </w:r>
          </w:p>
        </w:tc>
        <w:tc>
          <w:tcPr>
            <w:tcW w:w="1472" w:type="dxa"/>
            <w:tcBorders>
              <w:top w:val="single" w:color="000000" w:sz="4" w:space="0"/>
              <w:left w:val="nil"/>
              <w:bottom w:val="single" w:color="000000" w:sz="4" w:space="0"/>
              <w:right w:val="single" w:color="000000" w:sz="4" w:space="0"/>
            </w:tcBorders>
            <w:shd w:val="clear" w:color="auto" w:fill="FFFFFF"/>
            <w:vAlign w:val="center"/>
          </w:tcPr>
          <w:p w14:paraId="5D2384CE">
            <w:pPr>
              <w:widowControl/>
              <w:adjustRightInd w:val="0"/>
              <w:jc w:val="center"/>
              <w:textAlignment w:val="center"/>
              <w:rPr>
                <w:rFonts w:ascii="宋体" w:hAnsi="宋体" w:cs="宋体"/>
                <w:sz w:val="24"/>
              </w:rPr>
            </w:pPr>
            <w:r>
              <w:rPr>
                <w:rFonts w:hint="eastAsia" w:ascii="宋体" w:hAnsi="宋体" w:cs="宋体"/>
                <w:sz w:val="24"/>
              </w:rPr>
              <w:t>1 Mb</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486F4EBC">
            <w:pPr>
              <w:widowControl/>
              <w:adjustRightInd w:val="0"/>
              <w:jc w:val="center"/>
              <w:textAlignment w:val="center"/>
              <w:rPr>
                <w:rFonts w:ascii="宋体" w:hAnsi="宋体" w:cs="宋体"/>
                <w:sz w:val="24"/>
              </w:rPr>
            </w:pPr>
            <w:r>
              <w:rPr>
                <w:rFonts w:hint="eastAsia" w:ascii="宋体" w:hAnsi="宋体" w:cs="宋体"/>
                <w:sz w:val="24"/>
              </w:rPr>
              <w:t>400</w:t>
            </w:r>
          </w:p>
        </w:tc>
      </w:tr>
      <w:tr w14:paraId="0140BF95">
        <w:tblPrEx>
          <w:tblCellMar>
            <w:top w:w="0" w:type="dxa"/>
            <w:left w:w="108" w:type="dxa"/>
            <w:bottom w:w="0" w:type="dxa"/>
            <w:right w:w="108" w:type="dxa"/>
          </w:tblCellMar>
        </w:tblPrEx>
        <w:trPr>
          <w:trHeight w:val="510" w:hRule="atLeast"/>
          <w:jc w:val="center"/>
        </w:trPr>
        <w:tc>
          <w:tcPr>
            <w:tcW w:w="871" w:type="dxa"/>
            <w:vMerge w:val="continue"/>
            <w:tcBorders>
              <w:left w:val="single" w:color="000000" w:sz="4" w:space="0"/>
              <w:right w:val="single" w:color="000000" w:sz="4" w:space="0"/>
            </w:tcBorders>
            <w:shd w:val="clear" w:color="auto" w:fill="auto"/>
            <w:vAlign w:val="center"/>
          </w:tcPr>
          <w:p w14:paraId="7DF00564">
            <w:pPr>
              <w:widowControl/>
              <w:adjustRightInd w:val="0"/>
              <w:rPr>
                <w:rFonts w:ascii="宋体" w:hAnsi="宋体" w:cs="宋体"/>
                <w:sz w:val="24"/>
              </w:rPr>
            </w:pPr>
          </w:p>
        </w:tc>
        <w:tc>
          <w:tcPr>
            <w:tcW w:w="1676" w:type="dxa"/>
            <w:vMerge w:val="continue"/>
            <w:tcBorders>
              <w:top w:val="nil"/>
              <w:left w:val="nil"/>
              <w:bottom w:val="single" w:color="000000" w:sz="4" w:space="0"/>
              <w:right w:val="single" w:color="000000" w:sz="4" w:space="0"/>
            </w:tcBorders>
            <w:shd w:val="clear" w:color="auto" w:fill="auto"/>
            <w:vAlign w:val="center"/>
          </w:tcPr>
          <w:p w14:paraId="54A24110">
            <w:pPr>
              <w:widowControl/>
              <w:adjustRightInd w:val="0"/>
              <w:rPr>
                <w:rFonts w:ascii="宋体" w:hAnsi="宋体" w:cs="宋体"/>
                <w:sz w:val="24"/>
              </w:rPr>
            </w:pPr>
          </w:p>
        </w:tc>
        <w:tc>
          <w:tcPr>
            <w:tcW w:w="3953" w:type="dxa"/>
            <w:tcBorders>
              <w:top w:val="single" w:color="000000" w:sz="4" w:space="0"/>
              <w:left w:val="nil"/>
              <w:bottom w:val="single" w:color="000000" w:sz="4" w:space="0"/>
              <w:right w:val="single" w:color="000000" w:sz="4" w:space="0"/>
            </w:tcBorders>
            <w:shd w:val="clear" w:color="auto" w:fill="FFFFFF"/>
            <w:vAlign w:val="center"/>
          </w:tcPr>
          <w:p w14:paraId="1C4E3162">
            <w:pPr>
              <w:widowControl/>
              <w:adjustRightInd w:val="0"/>
              <w:textAlignment w:val="center"/>
              <w:rPr>
                <w:rFonts w:ascii="宋体" w:hAnsi="宋体" w:cs="宋体"/>
                <w:sz w:val="24"/>
              </w:rPr>
            </w:pPr>
            <w:r>
              <w:rPr>
                <w:rFonts w:hint="eastAsia" w:ascii="宋体" w:hAnsi="宋体" w:cs="宋体"/>
                <w:sz w:val="24"/>
              </w:rPr>
              <w:t>互联网IP地址租用服务、并提供备案服务</w:t>
            </w:r>
          </w:p>
        </w:tc>
        <w:tc>
          <w:tcPr>
            <w:tcW w:w="1472" w:type="dxa"/>
            <w:tcBorders>
              <w:top w:val="single" w:color="000000" w:sz="4" w:space="0"/>
              <w:left w:val="nil"/>
              <w:bottom w:val="single" w:color="000000" w:sz="4" w:space="0"/>
              <w:right w:val="single" w:color="000000" w:sz="4" w:space="0"/>
            </w:tcBorders>
            <w:shd w:val="clear" w:color="auto" w:fill="FFFFFF"/>
            <w:vAlign w:val="center"/>
          </w:tcPr>
          <w:p w14:paraId="69BEB616">
            <w:pPr>
              <w:widowControl/>
              <w:adjustRightInd w:val="0"/>
              <w:jc w:val="center"/>
              <w:textAlignment w:val="center"/>
              <w:rPr>
                <w:rFonts w:ascii="宋体" w:hAnsi="宋体" w:cs="宋体"/>
                <w:sz w:val="24"/>
              </w:rPr>
            </w:pPr>
            <w:r>
              <w:rPr>
                <w:rFonts w:hint="eastAsia" w:ascii="宋体" w:hAnsi="宋体" w:cs="宋体"/>
                <w:sz w:val="24"/>
              </w:rPr>
              <w:t>1 IP</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5555543D">
            <w:pPr>
              <w:widowControl/>
              <w:adjustRightInd w:val="0"/>
              <w:jc w:val="center"/>
              <w:textAlignment w:val="center"/>
              <w:rPr>
                <w:rFonts w:ascii="宋体" w:hAnsi="宋体" w:cs="宋体"/>
                <w:sz w:val="24"/>
              </w:rPr>
            </w:pPr>
            <w:r>
              <w:rPr>
                <w:rFonts w:hint="eastAsia" w:ascii="宋体" w:hAnsi="宋体" w:cs="宋体"/>
                <w:sz w:val="24"/>
              </w:rPr>
              <w:t>1</w:t>
            </w:r>
          </w:p>
        </w:tc>
      </w:tr>
      <w:tr w14:paraId="3B550856">
        <w:tblPrEx>
          <w:tblCellMar>
            <w:top w:w="0" w:type="dxa"/>
            <w:left w:w="108" w:type="dxa"/>
            <w:bottom w:w="0" w:type="dxa"/>
            <w:right w:w="108" w:type="dxa"/>
          </w:tblCellMar>
        </w:tblPrEx>
        <w:trPr>
          <w:trHeight w:val="510" w:hRule="atLeast"/>
          <w:jc w:val="center"/>
        </w:trPr>
        <w:tc>
          <w:tcPr>
            <w:tcW w:w="871" w:type="dxa"/>
            <w:vMerge w:val="continue"/>
            <w:tcBorders>
              <w:left w:val="single" w:color="000000" w:sz="4" w:space="0"/>
              <w:right w:val="single" w:color="000000" w:sz="4" w:space="0"/>
            </w:tcBorders>
            <w:shd w:val="clear" w:color="auto" w:fill="auto"/>
            <w:vAlign w:val="center"/>
          </w:tcPr>
          <w:p w14:paraId="493CCD67">
            <w:pPr>
              <w:widowControl/>
              <w:adjustRightInd w:val="0"/>
              <w:rPr>
                <w:rFonts w:ascii="宋体" w:hAnsi="宋体" w:cs="宋体"/>
                <w:sz w:val="24"/>
              </w:rPr>
            </w:pPr>
          </w:p>
        </w:tc>
        <w:tc>
          <w:tcPr>
            <w:tcW w:w="1676" w:type="dxa"/>
            <w:tcBorders>
              <w:top w:val="single" w:color="000000" w:sz="4" w:space="0"/>
              <w:left w:val="nil"/>
              <w:bottom w:val="single" w:color="000000" w:sz="4" w:space="0"/>
              <w:right w:val="single" w:color="000000" w:sz="4" w:space="0"/>
            </w:tcBorders>
            <w:shd w:val="clear" w:color="auto" w:fill="FFFFFF"/>
            <w:vAlign w:val="center"/>
          </w:tcPr>
          <w:p w14:paraId="36582EDF">
            <w:pPr>
              <w:widowControl/>
              <w:adjustRightInd w:val="0"/>
              <w:jc w:val="center"/>
              <w:textAlignment w:val="center"/>
              <w:rPr>
                <w:rFonts w:ascii="宋体" w:hAnsi="宋体" w:cs="宋体"/>
                <w:sz w:val="24"/>
              </w:rPr>
            </w:pPr>
            <w:r>
              <w:rPr>
                <w:rFonts w:hint="eastAsia" w:ascii="宋体" w:hAnsi="宋体" w:cs="宋体"/>
                <w:sz w:val="24"/>
              </w:rPr>
              <w:t>主机负载均衡服务</w:t>
            </w:r>
          </w:p>
        </w:tc>
        <w:tc>
          <w:tcPr>
            <w:tcW w:w="3953" w:type="dxa"/>
            <w:tcBorders>
              <w:top w:val="single" w:color="000000" w:sz="4" w:space="0"/>
              <w:left w:val="nil"/>
              <w:bottom w:val="single" w:color="000000" w:sz="4" w:space="0"/>
              <w:right w:val="single" w:color="000000" w:sz="4" w:space="0"/>
            </w:tcBorders>
            <w:shd w:val="clear" w:color="auto" w:fill="FFFFFF"/>
            <w:vAlign w:val="center"/>
          </w:tcPr>
          <w:p w14:paraId="54DC905B">
            <w:pPr>
              <w:widowControl/>
              <w:adjustRightInd w:val="0"/>
              <w:textAlignment w:val="center"/>
              <w:rPr>
                <w:rFonts w:ascii="宋体" w:hAnsi="宋体" w:cs="宋体"/>
                <w:sz w:val="24"/>
              </w:rPr>
            </w:pPr>
            <w:r>
              <w:rPr>
                <w:rFonts w:hint="eastAsia" w:ascii="宋体" w:hAnsi="宋体" w:cs="宋体"/>
                <w:sz w:val="24"/>
              </w:rPr>
              <w:t>主机负载均衡服务</w:t>
            </w:r>
          </w:p>
        </w:tc>
        <w:tc>
          <w:tcPr>
            <w:tcW w:w="1472" w:type="dxa"/>
            <w:tcBorders>
              <w:top w:val="single" w:color="000000" w:sz="4" w:space="0"/>
              <w:left w:val="nil"/>
              <w:bottom w:val="single" w:color="000000" w:sz="4" w:space="0"/>
              <w:right w:val="single" w:color="000000" w:sz="4" w:space="0"/>
            </w:tcBorders>
            <w:shd w:val="clear" w:color="auto" w:fill="FFFFFF"/>
            <w:vAlign w:val="center"/>
          </w:tcPr>
          <w:p w14:paraId="382E6455">
            <w:pPr>
              <w:widowControl/>
              <w:adjustRightInd w:val="0"/>
              <w:jc w:val="center"/>
              <w:textAlignment w:val="center"/>
              <w:rPr>
                <w:rFonts w:ascii="宋体" w:hAnsi="宋体" w:cs="宋体"/>
                <w:sz w:val="24"/>
              </w:rPr>
            </w:pPr>
            <w:r>
              <w:rPr>
                <w:rFonts w:hint="eastAsia" w:ascii="宋体" w:hAnsi="宋体" w:cs="宋体"/>
                <w:sz w:val="24"/>
              </w:rPr>
              <w:t>1 IP（内网）</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61495C1E">
            <w:pPr>
              <w:widowControl/>
              <w:adjustRightInd w:val="0"/>
              <w:jc w:val="center"/>
              <w:textAlignment w:val="center"/>
              <w:rPr>
                <w:rFonts w:ascii="宋体" w:hAnsi="宋体" w:cs="宋体"/>
                <w:sz w:val="24"/>
              </w:rPr>
            </w:pPr>
            <w:r>
              <w:rPr>
                <w:rFonts w:hint="eastAsia" w:ascii="宋体" w:hAnsi="宋体" w:cs="宋体"/>
                <w:sz w:val="24"/>
              </w:rPr>
              <w:t>6</w:t>
            </w:r>
          </w:p>
        </w:tc>
      </w:tr>
      <w:tr w14:paraId="393EA805">
        <w:tblPrEx>
          <w:tblCellMar>
            <w:top w:w="0" w:type="dxa"/>
            <w:left w:w="108" w:type="dxa"/>
            <w:bottom w:w="0" w:type="dxa"/>
            <w:right w:w="108" w:type="dxa"/>
          </w:tblCellMar>
        </w:tblPrEx>
        <w:trPr>
          <w:trHeight w:val="510" w:hRule="atLeast"/>
          <w:jc w:val="center"/>
        </w:trPr>
        <w:tc>
          <w:tcPr>
            <w:tcW w:w="871" w:type="dxa"/>
            <w:vMerge w:val="continue"/>
            <w:tcBorders>
              <w:left w:val="single" w:color="000000" w:sz="4" w:space="0"/>
              <w:right w:val="single" w:color="000000" w:sz="4" w:space="0"/>
            </w:tcBorders>
            <w:shd w:val="clear" w:color="auto" w:fill="auto"/>
            <w:vAlign w:val="center"/>
          </w:tcPr>
          <w:p w14:paraId="6D09AB11">
            <w:pPr>
              <w:widowControl/>
              <w:adjustRightInd w:val="0"/>
              <w:rPr>
                <w:rFonts w:ascii="宋体" w:hAnsi="宋体" w:cs="宋体"/>
                <w:sz w:val="24"/>
              </w:rPr>
            </w:pPr>
          </w:p>
        </w:tc>
        <w:tc>
          <w:tcPr>
            <w:tcW w:w="1676" w:type="dxa"/>
            <w:tcBorders>
              <w:top w:val="single" w:color="000000" w:sz="4" w:space="0"/>
              <w:left w:val="nil"/>
              <w:bottom w:val="single" w:color="000000" w:sz="4" w:space="0"/>
              <w:right w:val="single" w:color="000000" w:sz="4" w:space="0"/>
            </w:tcBorders>
            <w:shd w:val="clear" w:color="auto" w:fill="FFFFFF"/>
            <w:vAlign w:val="center"/>
          </w:tcPr>
          <w:p w14:paraId="24B9BF55">
            <w:pPr>
              <w:widowControl/>
              <w:adjustRightInd w:val="0"/>
              <w:jc w:val="center"/>
              <w:textAlignment w:val="center"/>
              <w:rPr>
                <w:rFonts w:ascii="宋体" w:hAnsi="宋体" w:cs="宋体"/>
                <w:sz w:val="24"/>
              </w:rPr>
            </w:pPr>
            <w:r>
              <w:rPr>
                <w:rFonts w:hint="eastAsia" w:ascii="宋体" w:hAnsi="宋体" w:cs="宋体"/>
                <w:sz w:val="24"/>
              </w:rPr>
              <w:t>远程接入服务</w:t>
            </w:r>
          </w:p>
        </w:tc>
        <w:tc>
          <w:tcPr>
            <w:tcW w:w="3953" w:type="dxa"/>
            <w:tcBorders>
              <w:top w:val="single" w:color="000000" w:sz="4" w:space="0"/>
              <w:left w:val="nil"/>
              <w:bottom w:val="single" w:color="000000" w:sz="4" w:space="0"/>
              <w:right w:val="single" w:color="000000" w:sz="4" w:space="0"/>
            </w:tcBorders>
            <w:shd w:val="clear" w:color="auto" w:fill="FFFFFF"/>
            <w:vAlign w:val="center"/>
          </w:tcPr>
          <w:p w14:paraId="1F64F815">
            <w:pPr>
              <w:widowControl/>
              <w:adjustRightInd w:val="0"/>
              <w:textAlignment w:val="center"/>
              <w:rPr>
                <w:rFonts w:ascii="宋体" w:hAnsi="宋体" w:cs="宋体"/>
                <w:sz w:val="24"/>
              </w:rPr>
            </w:pPr>
            <w:r>
              <w:rPr>
                <w:rFonts w:hint="eastAsia" w:ascii="宋体" w:hAnsi="宋体" w:cs="宋体"/>
                <w:sz w:val="24"/>
              </w:rPr>
              <w:t>每个账号结合身份验通过VPN远程接入堡垒机进行维护</w:t>
            </w:r>
          </w:p>
        </w:tc>
        <w:tc>
          <w:tcPr>
            <w:tcW w:w="1472" w:type="dxa"/>
            <w:tcBorders>
              <w:top w:val="single" w:color="000000" w:sz="4" w:space="0"/>
              <w:left w:val="nil"/>
              <w:bottom w:val="single" w:color="000000" w:sz="4" w:space="0"/>
              <w:right w:val="single" w:color="000000" w:sz="4" w:space="0"/>
            </w:tcBorders>
            <w:shd w:val="clear" w:color="auto" w:fill="FFFFFF"/>
            <w:vAlign w:val="center"/>
          </w:tcPr>
          <w:p w14:paraId="059AF7FE">
            <w:pPr>
              <w:widowControl/>
              <w:adjustRightInd w:val="0"/>
              <w:jc w:val="center"/>
              <w:textAlignment w:val="center"/>
              <w:rPr>
                <w:rFonts w:ascii="宋体" w:hAnsi="宋体" w:cs="宋体"/>
                <w:sz w:val="24"/>
              </w:rPr>
            </w:pPr>
            <w:r>
              <w:rPr>
                <w:rFonts w:hint="eastAsia" w:ascii="宋体" w:hAnsi="宋体" w:cs="宋体"/>
                <w:sz w:val="24"/>
              </w:rPr>
              <w:t>1账号</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224F70D1">
            <w:pPr>
              <w:widowControl/>
              <w:adjustRightInd w:val="0"/>
              <w:jc w:val="center"/>
              <w:textAlignment w:val="center"/>
              <w:rPr>
                <w:rFonts w:ascii="宋体" w:hAnsi="宋体" w:cs="宋体"/>
                <w:sz w:val="24"/>
              </w:rPr>
            </w:pPr>
            <w:r>
              <w:rPr>
                <w:rFonts w:hint="eastAsia" w:ascii="宋体" w:hAnsi="宋体" w:cs="宋体"/>
                <w:sz w:val="24"/>
              </w:rPr>
              <w:t>24</w:t>
            </w:r>
          </w:p>
        </w:tc>
      </w:tr>
      <w:tr w14:paraId="29332C3B">
        <w:tblPrEx>
          <w:tblCellMar>
            <w:top w:w="0" w:type="dxa"/>
            <w:left w:w="108" w:type="dxa"/>
            <w:bottom w:w="0" w:type="dxa"/>
            <w:right w:w="108" w:type="dxa"/>
          </w:tblCellMar>
        </w:tblPrEx>
        <w:trPr>
          <w:trHeight w:val="1020" w:hRule="atLeast"/>
          <w:jc w:val="center"/>
        </w:trPr>
        <w:tc>
          <w:tcPr>
            <w:tcW w:w="871" w:type="dxa"/>
            <w:vMerge w:val="continue"/>
            <w:tcBorders>
              <w:left w:val="single" w:color="000000" w:sz="4" w:space="0"/>
              <w:right w:val="single" w:color="000000" w:sz="4" w:space="0"/>
            </w:tcBorders>
            <w:shd w:val="clear" w:color="auto" w:fill="auto"/>
            <w:vAlign w:val="center"/>
          </w:tcPr>
          <w:p w14:paraId="36E2ED5D">
            <w:pPr>
              <w:widowControl/>
              <w:adjustRightInd w:val="0"/>
              <w:rPr>
                <w:rFonts w:ascii="宋体" w:hAnsi="宋体" w:cs="宋体"/>
                <w:sz w:val="24"/>
              </w:rPr>
            </w:pPr>
          </w:p>
        </w:tc>
        <w:tc>
          <w:tcPr>
            <w:tcW w:w="1676" w:type="dxa"/>
            <w:tcBorders>
              <w:top w:val="single" w:color="000000" w:sz="4" w:space="0"/>
              <w:left w:val="nil"/>
              <w:bottom w:val="single" w:color="000000" w:sz="4" w:space="0"/>
              <w:right w:val="single" w:color="000000" w:sz="4" w:space="0"/>
            </w:tcBorders>
            <w:shd w:val="clear" w:color="auto" w:fill="FFFFFF"/>
            <w:vAlign w:val="center"/>
          </w:tcPr>
          <w:p w14:paraId="6C9DD563">
            <w:pPr>
              <w:widowControl/>
              <w:adjustRightInd w:val="0"/>
              <w:jc w:val="center"/>
              <w:textAlignment w:val="center"/>
              <w:rPr>
                <w:rFonts w:ascii="宋体" w:hAnsi="宋体" w:cs="宋体"/>
                <w:sz w:val="24"/>
              </w:rPr>
            </w:pPr>
            <w:r>
              <w:rPr>
                <w:rFonts w:hint="eastAsia" w:ascii="宋体" w:hAnsi="宋体" w:cs="宋体"/>
                <w:sz w:val="24"/>
              </w:rPr>
              <w:t>VPN服务</w:t>
            </w:r>
          </w:p>
        </w:tc>
        <w:tc>
          <w:tcPr>
            <w:tcW w:w="3953" w:type="dxa"/>
            <w:tcBorders>
              <w:top w:val="single" w:color="000000" w:sz="4" w:space="0"/>
              <w:left w:val="nil"/>
              <w:bottom w:val="single" w:color="000000" w:sz="4" w:space="0"/>
              <w:right w:val="single" w:color="000000" w:sz="4" w:space="0"/>
            </w:tcBorders>
            <w:shd w:val="clear" w:color="auto" w:fill="FFFFFF"/>
            <w:vAlign w:val="center"/>
          </w:tcPr>
          <w:p w14:paraId="51726A2B">
            <w:pPr>
              <w:widowControl/>
              <w:adjustRightInd w:val="0"/>
              <w:textAlignment w:val="center"/>
              <w:rPr>
                <w:rFonts w:ascii="宋体" w:hAnsi="宋体" w:cs="宋体"/>
                <w:sz w:val="24"/>
              </w:rPr>
            </w:pPr>
            <w:r>
              <w:rPr>
                <w:rFonts w:hint="eastAsia" w:ascii="宋体" w:hAnsi="宋体" w:cs="宋体"/>
                <w:sz w:val="24"/>
              </w:rPr>
              <w:t>SSL VPN接入，IPSec VPN接入，提供IPSec隧道接入服务，隧道带宽按需灵活调整，用户可利用VPN隧道进行大量数据传输</w:t>
            </w:r>
          </w:p>
        </w:tc>
        <w:tc>
          <w:tcPr>
            <w:tcW w:w="1472" w:type="dxa"/>
            <w:tcBorders>
              <w:top w:val="single" w:color="000000" w:sz="4" w:space="0"/>
              <w:left w:val="nil"/>
              <w:bottom w:val="single" w:color="000000" w:sz="4" w:space="0"/>
              <w:right w:val="single" w:color="000000" w:sz="4" w:space="0"/>
            </w:tcBorders>
            <w:shd w:val="clear" w:color="auto" w:fill="FFFFFF"/>
            <w:vAlign w:val="center"/>
          </w:tcPr>
          <w:p w14:paraId="21EB2A94">
            <w:pPr>
              <w:widowControl/>
              <w:adjustRightInd w:val="0"/>
              <w:jc w:val="center"/>
              <w:textAlignment w:val="center"/>
              <w:rPr>
                <w:rFonts w:ascii="宋体" w:hAnsi="宋体" w:cs="宋体"/>
                <w:sz w:val="24"/>
              </w:rPr>
            </w:pPr>
            <w:r>
              <w:rPr>
                <w:rFonts w:hint="eastAsia" w:ascii="宋体" w:hAnsi="宋体" w:cs="宋体"/>
                <w:sz w:val="24"/>
              </w:rPr>
              <w:t>1套</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4B73C0B4">
            <w:pPr>
              <w:widowControl/>
              <w:adjustRightInd w:val="0"/>
              <w:jc w:val="center"/>
              <w:textAlignment w:val="center"/>
              <w:rPr>
                <w:rFonts w:ascii="宋体" w:hAnsi="宋体" w:cs="宋体"/>
                <w:sz w:val="24"/>
              </w:rPr>
            </w:pPr>
            <w:r>
              <w:rPr>
                <w:rFonts w:hint="eastAsia" w:ascii="宋体" w:hAnsi="宋体" w:cs="宋体"/>
                <w:sz w:val="24"/>
              </w:rPr>
              <w:t>24</w:t>
            </w:r>
          </w:p>
        </w:tc>
      </w:tr>
      <w:tr w14:paraId="1BB241F4">
        <w:tblPrEx>
          <w:tblCellMar>
            <w:top w:w="0" w:type="dxa"/>
            <w:left w:w="108" w:type="dxa"/>
            <w:bottom w:w="0" w:type="dxa"/>
            <w:right w:w="108" w:type="dxa"/>
          </w:tblCellMar>
        </w:tblPrEx>
        <w:trPr>
          <w:trHeight w:val="1275" w:hRule="atLeast"/>
          <w:jc w:val="center"/>
        </w:trPr>
        <w:tc>
          <w:tcPr>
            <w:tcW w:w="871" w:type="dxa"/>
            <w:vMerge w:val="continue"/>
            <w:tcBorders>
              <w:left w:val="single" w:color="000000" w:sz="4" w:space="0"/>
              <w:right w:val="single" w:color="000000" w:sz="4" w:space="0"/>
            </w:tcBorders>
            <w:shd w:val="clear" w:color="auto" w:fill="auto"/>
            <w:vAlign w:val="center"/>
          </w:tcPr>
          <w:p w14:paraId="1DA46B4C">
            <w:pPr>
              <w:widowControl/>
              <w:adjustRightInd w:val="0"/>
              <w:rPr>
                <w:rFonts w:ascii="宋体" w:hAnsi="宋体" w:cs="宋体"/>
                <w:sz w:val="24"/>
              </w:rPr>
            </w:pPr>
          </w:p>
        </w:tc>
        <w:tc>
          <w:tcPr>
            <w:tcW w:w="1676" w:type="dxa"/>
            <w:tcBorders>
              <w:top w:val="single" w:color="000000" w:sz="4" w:space="0"/>
              <w:left w:val="nil"/>
              <w:bottom w:val="single" w:color="000000" w:sz="4" w:space="0"/>
              <w:right w:val="single" w:color="000000" w:sz="4" w:space="0"/>
            </w:tcBorders>
            <w:shd w:val="clear" w:color="auto" w:fill="FFFFFF"/>
            <w:vAlign w:val="center"/>
          </w:tcPr>
          <w:p w14:paraId="7D700E0D">
            <w:pPr>
              <w:widowControl/>
              <w:adjustRightInd w:val="0"/>
              <w:jc w:val="center"/>
              <w:textAlignment w:val="center"/>
              <w:rPr>
                <w:rFonts w:ascii="宋体" w:hAnsi="宋体" w:cs="宋体"/>
                <w:sz w:val="24"/>
              </w:rPr>
            </w:pPr>
            <w:r>
              <w:rPr>
                <w:rFonts w:hint="eastAsia" w:ascii="宋体" w:hAnsi="宋体" w:cs="宋体"/>
                <w:sz w:val="24"/>
              </w:rPr>
              <w:t>WAF防护</w:t>
            </w:r>
          </w:p>
        </w:tc>
        <w:tc>
          <w:tcPr>
            <w:tcW w:w="3953" w:type="dxa"/>
            <w:tcBorders>
              <w:top w:val="single" w:color="000000" w:sz="4" w:space="0"/>
              <w:left w:val="nil"/>
              <w:bottom w:val="single" w:color="000000" w:sz="4" w:space="0"/>
              <w:right w:val="single" w:color="000000" w:sz="4" w:space="0"/>
            </w:tcBorders>
            <w:shd w:val="clear" w:color="auto" w:fill="FFFFFF"/>
            <w:vAlign w:val="center"/>
          </w:tcPr>
          <w:p w14:paraId="12E00800">
            <w:pPr>
              <w:widowControl/>
              <w:adjustRightInd w:val="0"/>
              <w:textAlignment w:val="center"/>
              <w:rPr>
                <w:rFonts w:ascii="宋体" w:hAnsi="宋体" w:cs="宋体"/>
                <w:sz w:val="24"/>
              </w:rPr>
            </w:pPr>
            <w:r>
              <w:rPr>
                <w:rFonts w:hint="eastAsia" w:ascii="宋体" w:hAnsi="宋体" w:cs="宋体"/>
                <w:sz w:val="24"/>
              </w:rPr>
              <w:t>在网站前端架设WAF防护服务，保证用户网站对已知安全隐患进行防护，实时升级漏洞补丁，配置防护策略，可起到前端防护作用。</w:t>
            </w:r>
          </w:p>
        </w:tc>
        <w:tc>
          <w:tcPr>
            <w:tcW w:w="1472" w:type="dxa"/>
            <w:tcBorders>
              <w:top w:val="single" w:color="000000" w:sz="4" w:space="0"/>
              <w:left w:val="nil"/>
              <w:bottom w:val="single" w:color="000000" w:sz="4" w:space="0"/>
              <w:right w:val="single" w:color="000000" w:sz="4" w:space="0"/>
            </w:tcBorders>
            <w:shd w:val="clear" w:color="auto" w:fill="FFFFFF"/>
            <w:vAlign w:val="center"/>
          </w:tcPr>
          <w:p w14:paraId="46ECB934">
            <w:pPr>
              <w:widowControl/>
              <w:adjustRightInd w:val="0"/>
              <w:jc w:val="center"/>
              <w:textAlignment w:val="center"/>
              <w:rPr>
                <w:rFonts w:ascii="宋体" w:hAnsi="宋体" w:cs="宋体"/>
                <w:sz w:val="24"/>
              </w:rPr>
            </w:pPr>
            <w:r>
              <w:rPr>
                <w:rFonts w:hint="eastAsia" w:ascii="宋体" w:hAnsi="宋体" w:cs="宋体"/>
                <w:sz w:val="24"/>
              </w:rPr>
              <w:t>1 IP（互联网）</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5CDC76EE">
            <w:pPr>
              <w:widowControl/>
              <w:adjustRightInd w:val="0"/>
              <w:jc w:val="center"/>
              <w:textAlignment w:val="center"/>
              <w:rPr>
                <w:rFonts w:ascii="宋体" w:hAnsi="宋体" w:cs="宋体"/>
                <w:sz w:val="24"/>
              </w:rPr>
            </w:pPr>
            <w:r>
              <w:rPr>
                <w:rFonts w:hint="eastAsia" w:ascii="宋体" w:hAnsi="宋体" w:cs="宋体"/>
                <w:sz w:val="24"/>
              </w:rPr>
              <w:t>1</w:t>
            </w:r>
          </w:p>
        </w:tc>
      </w:tr>
      <w:tr w14:paraId="3B271BFF">
        <w:tblPrEx>
          <w:tblCellMar>
            <w:top w:w="0" w:type="dxa"/>
            <w:left w:w="108" w:type="dxa"/>
            <w:bottom w:w="0" w:type="dxa"/>
            <w:right w:w="108" w:type="dxa"/>
          </w:tblCellMar>
        </w:tblPrEx>
        <w:trPr>
          <w:trHeight w:val="1275" w:hRule="atLeast"/>
          <w:jc w:val="center"/>
        </w:trPr>
        <w:tc>
          <w:tcPr>
            <w:tcW w:w="871" w:type="dxa"/>
            <w:vMerge w:val="continue"/>
            <w:tcBorders>
              <w:left w:val="single" w:color="000000" w:sz="4" w:space="0"/>
              <w:bottom w:val="single" w:color="000000" w:sz="4" w:space="0"/>
              <w:right w:val="single" w:color="000000" w:sz="4" w:space="0"/>
            </w:tcBorders>
            <w:shd w:val="clear" w:color="auto" w:fill="auto"/>
            <w:vAlign w:val="center"/>
          </w:tcPr>
          <w:p w14:paraId="56B01D54">
            <w:pPr>
              <w:widowControl/>
              <w:adjustRightInd w:val="0"/>
              <w:rPr>
                <w:rFonts w:ascii="宋体" w:hAnsi="宋体" w:cs="宋体"/>
                <w:sz w:val="24"/>
              </w:rPr>
            </w:pPr>
          </w:p>
        </w:tc>
        <w:tc>
          <w:tcPr>
            <w:tcW w:w="1676" w:type="dxa"/>
            <w:tcBorders>
              <w:top w:val="single" w:color="000000" w:sz="4" w:space="0"/>
              <w:left w:val="nil"/>
              <w:bottom w:val="single" w:color="000000" w:sz="4" w:space="0"/>
              <w:right w:val="single" w:color="000000" w:sz="4" w:space="0"/>
            </w:tcBorders>
            <w:shd w:val="clear" w:color="auto" w:fill="FFFFFF"/>
            <w:vAlign w:val="center"/>
          </w:tcPr>
          <w:p w14:paraId="664EFB77">
            <w:pPr>
              <w:widowControl/>
              <w:adjustRightInd w:val="0"/>
              <w:jc w:val="center"/>
              <w:textAlignment w:val="center"/>
              <w:rPr>
                <w:rFonts w:ascii="宋体" w:hAnsi="宋体" w:cs="宋体"/>
                <w:sz w:val="24"/>
              </w:rPr>
            </w:pPr>
            <w:r>
              <w:rPr>
                <w:rFonts w:hint="eastAsia" w:ascii="宋体" w:hAnsi="宋体" w:cs="宋体"/>
                <w:sz w:val="24"/>
              </w:rPr>
              <w:t>SSL证书</w:t>
            </w:r>
          </w:p>
        </w:tc>
        <w:tc>
          <w:tcPr>
            <w:tcW w:w="3953" w:type="dxa"/>
            <w:tcBorders>
              <w:top w:val="single" w:color="000000" w:sz="4" w:space="0"/>
              <w:left w:val="nil"/>
              <w:bottom w:val="single" w:color="000000" w:sz="4" w:space="0"/>
              <w:right w:val="single" w:color="000000" w:sz="4" w:space="0"/>
            </w:tcBorders>
            <w:shd w:val="clear" w:color="auto" w:fill="FFFFFF"/>
            <w:vAlign w:val="center"/>
          </w:tcPr>
          <w:p w14:paraId="7249B492">
            <w:pPr>
              <w:widowControl/>
              <w:adjustRightInd w:val="0"/>
              <w:textAlignment w:val="center"/>
              <w:rPr>
                <w:rFonts w:ascii="宋体" w:hAnsi="宋体" w:cs="宋体"/>
                <w:sz w:val="24"/>
              </w:rPr>
            </w:pPr>
            <w:r>
              <w:rPr>
                <w:rFonts w:hint="eastAsia" w:ascii="宋体" w:hAnsi="宋体" w:cs="宋体"/>
                <w:sz w:val="24"/>
              </w:rPr>
              <w:t>由受信任的数字证书颁发机构CA，在验证服务器身份后颁发，实现服务器身份验证和数据传输加密功能</w:t>
            </w:r>
          </w:p>
        </w:tc>
        <w:tc>
          <w:tcPr>
            <w:tcW w:w="1472" w:type="dxa"/>
            <w:tcBorders>
              <w:top w:val="single" w:color="000000" w:sz="4" w:space="0"/>
              <w:left w:val="nil"/>
              <w:bottom w:val="single" w:color="000000" w:sz="4" w:space="0"/>
              <w:right w:val="single" w:color="000000" w:sz="4" w:space="0"/>
            </w:tcBorders>
            <w:shd w:val="clear" w:color="auto" w:fill="FFFFFF"/>
            <w:vAlign w:val="center"/>
          </w:tcPr>
          <w:p w14:paraId="1FB1A1B0">
            <w:pPr>
              <w:widowControl/>
              <w:adjustRightInd w:val="0"/>
              <w:jc w:val="center"/>
              <w:textAlignment w:val="center"/>
              <w:rPr>
                <w:rFonts w:ascii="宋体" w:hAnsi="宋体" w:cs="宋体"/>
                <w:sz w:val="24"/>
              </w:rPr>
            </w:pPr>
            <w:r>
              <w:rPr>
                <w:rFonts w:hint="eastAsia" w:ascii="宋体" w:hAnsi="宋体" w:cs="宋体"/>
                <w:sz w:val="24"/>
              </w:rPr>
              <w:t>1域名</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55E1F72F">
            <w:pPr>
              <w:widowControl/>
              <w:adjustRightInd w:val="0"/>
              <w:jc w:val="center"/>
              <w:textAlignment w:val="center"/>
              <w:rPr>
                <w:rFonts w:ascii="宋体" w:hAnsi="宋体" w:cs="宋体"/>
                <w:sz w:val="24"/>
              </w:rPr>
            </w:pPr>
            <w:r>
              <w:rPr>
                <w:rFonts w:hint="eastAsia" w:ascii="宋体" w:hAnsi="宋体" w:cs="宋体"/>
                <w:sz w:val="24"/>
              </w:rPr>
              <w:t>1</w:t>
            </w:r>
          </w:p>
        </w:tc>
      </w:tr>
      <w:tr w14:paraId="32876C34">
        <w:tblPrEx>
          <w:tblCellMar>
            <w:top w:w="0" w:type="dxa"/>
            <w:left w:w="108" w:type="dxa"/>
            <w:bottom w:w="0" w:type="dxa"/>
            <w:right w:w="108" w:type="dxa"/>
          </w:tblCellMar>
        </w:tblPrEx>
        <w:trPr>
          <w:trHeight w:val="1530"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CFED">
            <w:pPr>
              <w:widowControl/>
              <w:adjustRightInd w:val="0"/>
              <w:jc w:val="center"/>
              <w:textAlignment w:val="center"/>
              <w:rPr>
                <w:rFonts w:ascii="宋体" w:hAnsi="宋体" w:cs="宋体"/>
                <w:sz w:val="24"/>
              </w:rPr>
            </w:pPr>
            <w:r>
              <w:rPr>
                <w:rFonts w:hint="eastAsia" w:ascii="宋体" w:hAnsi="宋体" w:cs="宋体"/>
                <w:sz w:val="24"/>
              </w:rPr>
              <w:t>云主机深度监控服务</w:t>
            </w:r>
          </w:p>
        </w:tc>
        <w:tc>
          <w:tcPr>
            <w:tcW w:w="1676" w:type="dxa"/>
            <w:tcBorders>
              <w:top w:val="single" w:color="000000" w:sz="4" w:space="0"/>
              <w:left w:val="nil"/>
              <w:bottom w:val="single" w:color="000000" w:sz="4" w:space="0"/>
              <w:right w:val="single" w:color="000000" w:sz="4" w:space="0"/>
            </w:tcBorders>
            <w:shd w:val="clear" w:color="auto" w:fill="FFFFFF"/>
            <w:vAlign w:val="center"/>
          </w:tcPr>
          <w:p w14:paraId="7A14FC59">
            <w:pPr>
              <w:widowControl/>
              <w:adjustRightInd w:val="0"/>
              <w:jc w:val="center"/>
              <w:textAlignment w:val="center"/>
              <w:rPr>
                <w:rFonts w:ascii="宋体" w:hAnsi="宋体" w:cs="宋体"/>
                <w:sz w:val="24"/>
              </w:rPr>
            </w:pPr>
            <w:r>
              <w:rPr>
                <w:rFonts w:hint="eastAsia" w:ascii="宋体" w:hAnsi="宋体" w:cs="宋体"/>
                <w:sz w:val="24"/>
              </w:rPr>
              <w:t>特定云主机深度监控及运维保障服务（7*24小时值守）</w:t>
            </w:r>
          </w:p>
        </w:tc>
        <w:tc>
          <w:tcPr>
            <w:tcW w:w="3953" w:type="dxa"/>
            <w:tcBorders>
              <w:top w:val="single" w:color="000000" w:sz="4" w:space="0"/>
              <w:left w:val="nil"/>
              <w:bottom w:val="single" w:color="000000" w:sz="4" w:space="0"/>
              <w:right w:val="single" w:color="000000" w:sz="4" w:space="0"/>
            </w:tcBorders>
            <w:shd w:val="clear" w:color="auto" w:fill="FFFFFF"/>
            <w:vAlign w:val="center"/>
          </w:tcPr>
          <w:p w14:paraId="003FAD38">
            <w:pPr>
              <w:widowControl/>
              <w:adjustRightInd w:val="0"/>
              <w:textAlignment w:val="center"/>
              <w:rPr>
                <w:rFonts w:ascii="宋体" w:hAnsi="宋体" w:cs="宋体"/>
                <w:sz w:val="24"/>
              </w:rPr>
            </w:pPr>
            <w:r>
              <w:rPr>
                <w:rFonts w:hint="eastAsia" w:ascii="宋体" w:hAnsi="宋体" w:cs="宋体"/>
                <w:sz w:val="24"/>
              </w:rPr>
              <w:t>7*24小时深度监测云主机资源、硬件设备监控、云平台层应急处置等内容</w:t>
            </w:r>
          </w:p>
        </w:tc>
        <w:tc>
          <w:tcPr>
            <w:tcW w:w="1472" w:type="dxa"/>
            <w:tcBorders>
              <w:top w:val="single" w:color="000000" w:sz="4" w:space="0"/>
              <w:left w:val="nil"/>
              <w:bottom w:val="single" w:color="000000" w:sz="4" w:space="0"/>
              <w:right w:val="single" w:color="000000" w:sz="4" w:space="0"/>
            </w:tcBorders>
            <w:shd w:val="clear" w:color="auto" w:fill="FFFFFF"/>
            <w:vAlign w:val="center"/>
          </w:tcPr>
          <w:p w14:paraId="57672024">
            <w:pPr>
              <w:widowControl/>
              <w:adjustRightInd w:val="0"/>
              <w:jc w:val="center"/>
              <w:textAlignment w:val="center"/>
              <w:rPr>
                <w:rFonts w:ascii="宋体" w:hAnsi="宋体" w:cs="宋体"/>
                <w:sz w:val="24"/>
              </w:rPr>
            </w:pPr>
            <w:r>
              <w:rPr>
                <w:rFonts w:hint="eastAsia" w:ascii="宋体" w:hAnsi="宋体" w:cs="宋体"/>
                <w:sz w:val="24"/>
              </w:rPr>
              <w:t>1主机</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62EA53D4">
            <w:pPr>
              <w:widowControl/>
              <w:adjustRightInd w:val="0"/>
              <w:jc w:val="center"/>
              <w:textAlignment w:val="center"/>
              <w:rPr>
                <w:rFonts w:ascii="宋体" w:hAnsi="宋体" w:cs="宋体"/>
                <w:sz w:val="24"/>
              </w:rPr>
            </w:pPr>
            <w:r>
              <w:rPr>
                <w:rFonts w:hint="eastAsia" w:ascii="宋体" w:hAnsi="宋体" w:cs="宋体"/>
                <w:sz w:val="24"/>
              </w:rPr>
              <w:t>130</w:t>
            </w:r>
          </w:p>
        </w:tc>
      </w:tr>
      <w:tr w14:paraId="7F32A9DB">
        <w:tblPrEx>
          <w:tblCellMar>
            <w:top w:w="0" w:type="dxa"/>
            <w:left w:w="108" w:type="dxa"/>
            <w:bottom w:w="0" w:type="dxa"/>
            <w:right w:w="108" w:type="dxa"/>
          </w:tblCellMar>
        </w:tblPrEx>
        <w:trPr>
          <w:trHeight w:val="570" w:hRule="atLeast"/>
          <w:jc w:val="center"/>
        </w:trPr>
        <w:tc>
          <w:tcPr>
            <w:tcW w:w="8944" w:type="dxa"/>
            <w:gridSpan w:val="5"/>
            <w:tcBorders>
              <w:top w:val="nil"/>
              <w:left w:val="single" w:color="000000" w:sz="4" w:space="0"/>
              <w:bottom w:val="single" w:color="000000" w:sz="4" w:space="0"/>
              <w:right w:val="single" w:color="000000" w:sz="4" w:space="0"/>
            </w:tcBorders>
            <w:shd w:val="clear" w:color="auto" w:fill="D7D7D7"/>
            <w:vAlign w:val="center"/>
          </w:tcPr>
          <w:p w14:paraId="79BC277C">
            <w:pPr>
              <w:widowControl/>
              <w:adjustRightInd w:val="0"/>
              <w:jc w:val="center"/>
              <w:textAlignment w:val="center"/>
              <w:rPr>
                <w:rFonts w:ascii="宋体" w:hAnsi="宋体" w:cs="宋体"/>
                <w:sz w:val="24"/>
              </w:rPr>
            </w:pPr>
            <w:r>
              <w:rPr>
                <w:rFonts w:hint="eastAsia" w:ascii="宋体" w:hAnsi="宋体" w:cs="宋体"/>
                <w:sz w:val="24"/>
              </w:rPr>
              <w:t>政务云资源-扩展服务清单</w:t>
            </w:r>
          </w:p>
        </w:tc>
      </w:tr>
      <w:tr w14:paraId="660BD2D9">
        <w:tblPrEx>
          <w:tblCellMar>
            <w:top w:w="0" w:type="dxa"/>
            <w:left w:w="108" w:type="dxa"/>
            <w:bottom w:w="0" w:type="dxa"/>
            <w:right w:w="108" w:type="dxa"/>
          </w:tblCellMar>
        </w:tblPrEx>
        <w:trPr>
          <w:trHeight w:val="570" w:hRule="atLeast"/>
          <w:jc w:val="center"/>
        </w:trPr>
        <w:tc>
          <w:tcPr>
            <w:tcW w:w="871" w:type="dxa"/>
            <w:tcBorders>
              <w:top w:val="nil"/>
              <w:left w:val="single" w:color="000000" w:sz="4" w:space="0"/>
              <w:bottom w:val="single" w:color="000000" w:sz="4" w:space="0"/>
              <w:right w:val="single" w:color="000000" w:sz="4" w:space="0"/>
            </w:tcBorders>
            <w:shd w:val="clear" w:color="auto" w:fill="D7D7D7"/>
            <w:vAlign w:val="center"/>
          </w:tcPr>
          <w:p w14:paraId="4F288E31">
            <w:pPr>
              <w:widowControl/>
              <w:adjustRightInd w:val="0"/>
              <w:jc w:val="center"/>
              <w:textAlignment w:val="center"/>
              <w:rPr>
                <w:rFonts w:ascii="宋体" w:hAnsi="宋体" w:cs="宋体"/>
                <w:sz w:val="24"/>
              </w:rPr>
            </w:pPr>
            <w:r>
              <w:rPr>
                <w:rFonts w:hint="eastAsia" w:ascii="宋体" w:hAnsi="宋体" w:cs="宋体"/>
                <w:sz w:val="24"/>
              </w:rPr>
              <w:t>服务类别</w:t>
            </w:r>
          </w:p>
        </w:tc>
        <w:tc>
          <w:tcPr>
            <w:tcW w:w="1676" w:type="dxa"/>
            <w:tcBorders>
              <w:top w:val="single" w:color="000000" w:sz="4" w:space="0"/>
              <w:left w:val="nil"/>
              <w:right w:val="single" w:color="000000" w:sz="4" w:space="0"/>
            </w:tcBorders>
            <w:shd w:val="clear" w:color="auto" w:fill="D7D7D7"/>
            <w:vAlign w:val="center"/>
          </w:tcPr>
          <w:p w14:paraId="7E90DD66">
            <w:pPr>
              <w:widowControl/>
              <w:adjustRightInd w:val="0"/>
              <w:jc w:val="center"/>
              <w:textAlignment w:val="center"/>
              <w:rPr>
                <w:rFonts w:ascii="宋体" w:hAnsi="宋体" w:cs="宋体"/>
                <w:sz w:val="24"/>
              </w:rPr>
            </w:pPr>
            <w:r>
              <w:rPr>
                <w:rFonts w:hint="eastAsia" w:ascii="宋体" w:hAnsi="宋体" w:cs="宋体"/>
                <w:sz w:val="24"/>
              </w:rPr>
              <w:t>服务子类</w:t>
            </w:r>
          </w:p>
        </w:tc>
        <w:tc>
          <w:tcPr>
            <w:tcW w:w="3953" w:type="dxa"/>
            <w:tcBorders>
              <w:top w:val="single" w:color="000000" w:sz="4" w:space="0"/>
              <w:left w:val="nil"/>
              <w:bottom w:val="single" w:color="000000" w:sz="4" w:space="0"/>
              <w:right w:val="single" w:color="000000" w:sz="4" w:space="0"/>
            </w:tcBorders>
            <w:shd w:val="clear" w:color="auto" w:fill="D7D7D7"/>
            <w:vAlign w:val="center"/>
          </w:tcPr>
          <w:p w14:paraId="7794036B">
            <w:pPr>
              <w:widowControl/>
              <w:adjustRightInd w:val="0"/>
              <w:jc w:val="center"/>
              <w:textAlignment w:val="center"/>
              <w:rPr>
                <w:rFonts w:ascii="宋体" w:hAnsi="宋体" w:cs="宋体"/>
                <w:sz w:val="24"/>
              </w:rPr>
            </w:pPr>
            <w:r>
              <w:rPr>
                <w:rFonts w:hint="eastAsia" w:ascii="宋体" w:hAnsi="宋体" w:cs="宋体"/>
                <w:sz w:val="24"/>
              </w:rPr>
              <w:t>服务项</w:t>
            </w:r>
          </w:p>
        </w:tc>
        <w:tc>
          <w:tcPr>
            <w:tcW w:w="1472" w:type="dxa"/>
            <w:tcBorders>
              <w:top w:val="single" w:color="000000" w:sz="4" w:space="0"/>
              <w:left w:val="nil"/>
              <w:bottom w:val="single" w:color="000000" w:sz="4" w:space="0"/>
              <w:right w:val="single" w:color="000000" w:sz="4" w:space="0"/>
            </w:tcBorders>
            <w:shd w:val="clear" w:color="auto" w:fill="D7D7D7"/>
            <w:vAlign w:val="center"/>
          </w:tcPr>
          <w:p w14:paraId="35080B3B">
            <w:pPr>
              <w:widowControl/>
              <w:adjustRightInd w:val="0"/>
              <w:jc w:val="center"/>
              <w:textAlignment w:val="center"/>
              <w:rPr>
                <w:rFonts w:ascii="宋体" w:hAnsi="宋体" w:cs="宋体"/>
                <w:sz w:val="24"/>
              </w:rPr>
            </w:pPr>
            <w:r>
              <w:rPr>
                <w:rFonts w:hint="eastAsia" w:ascii="宋体" w:hAnsi="宋体" w:cs="宋体"/>
                <w:sz w:val="24"/>
              </w:rPr>
              <w:t>单位</w:t>
            </w:r>
          </w:p>
        </w:tc>
        <w:tc>
          <w:tcPr>
            <w:tcW w:w="972" w:type="dxa"/>
            <w:tcBorders>
              <w:top w:val="single" w:color="000000" w:sz="4" w:space="0"/>
              <w:left w:val="nil"/>
              <w:bottom w:val="single" w:color="000000" w:sz="4" w:space="0"/>
              <w:right w:val="single" w:color="000000" w:sz="4" w:space="0"/>
            </w:tcBorders>
            <w:shd w:val="clear" w:color="auto" w:fill="D7D7D7"/>
            <w:vAlign w:val="center"/>
          </w:tcPr>
          <w:p w14:paraId="20813FB5">
            <w:pPr>
              <w:widowControl/>
              <w:adjustRightInd w:val="0"/>
              <w:jc w:val="center"/>
              <w:textAlignment w:val="center"/>
              <w:rPr>
                <w:rFonts w:ascii="宋体" w:hAnsi="宋体" w:cs="宋体"/>
                <w:sz w:val="24"/>
              </w:rPr>
            </w:pPr>
            <w:r>
              <w:rPr>
                <w:rFonts w:hint="eastAsia" w:ascii="宋体" w:hAnsi="宋体" w:cs="宋体"/>
                <w:sz w:val="24"/>
              </w:rPr>
              <w:t>数量</w:t>
            </w:r>
          </w:p>
        </w:tc>
      </w:tr>
      <w:tr w14:paraId="50BFD332">
        <w:tblPrEx>
          <w:tblCellMar>
            <w:top w:w="0" w:type="dxa"/>
            <w:left w:w="108" w:type="dxa"/>
            <w:bottom w:w="0" w:type="dxa"/>
            <w:right w:w="108" w:type="dxa"/>
          </w:tblCellMar>
        </w:tblPrEx>
        <w:trPr>
          <w:trHeight w:val="570" w:hRule="atLeast"/>
          <w:jc w:val="center"/>
        </w:trPr>
        <w:tc>
          <w:tcPr>
            <w:tcW w:w="871" w:type="dxa"/>
            <w:vMerge w:val="restart"/>
            <w:tcBorders>
              <w:top w:val="nil"/>
              <w:left w:val="single" w:color="000000" w:sz="4" w:space="0"/>
              <w:bottom w:val="single" w:color="000000" w:sz="4" w:space="0"/>
              <w:right w:val="single" w:color="000000" w:sz="4" w:space="0"/>
            </w:tcBorders>
            <w:shd w:val="clear" w:color="auto" w:fill="auto"/>
            <w:vAlign w:val="center"/>
          </w:tcPr>
          <w:p w14:paraId="127C2873">
            <w:pPr>
              <w:widowControl/>
              <w:adjustRightInd w:val="0"/>
              <w:jc w:val="center"/>
              <w:textAlignment w:val="center"/>
              <w:rPr>
                <w:rFonts w:ascii="宋体" w:hAnsi="宋体" w:cs="宋体"/>
                <w:sz w:val="24"/>
              </w:rPr>
            </w:pPr>
            <w:r>
              <w:rPr>
                <w:rFonts w:hint="eastAsia" w:ascii="宋体" w:hAnsi="宋体" w:cs="宋体"/>
                <w:sz w:val="24"/>
              </w:rPr>
              <w:t>基础软件支撑服务</w:t>
            </w:r>
          </w:p>
        </w:tc>
        <w:tc>
          <w:tcPr>
            <w:tcW w:w="1676" w:type="dxa"/>
            <w:tcBorders>
              <w:top w:val="single" w:color="000000" w:sz="4" w:space="0"/>
              <w:left w:val="nil"/>
              <w:right w:val="single" w:color="000000" w:sz="4" w:space="0"/>
            </w:tcBorders>
            <w:shd w:val="clear" w:color="auto" w:fill="FFFFFF"/>
            <w:vAlign w:val="center"/>
          </w:tcPr>
          <w:p w14:paraId="244761FC">
            <w:pPr>
              <w:widowControl/>
              <w:adjustRightInd w:val="0"/>
              <w:jc w:val="center"/>
              <w:textAlignment w:val="center"/>
              <w:rPr>
                <w:rFonts w:ascii="宋体" w:hAnsi="宋体" w:cs="宋体"/>
                <w:sz w:val="24"/>
              </w:rPr>
            </w:pPr>
            <w:r>
              <w:rPr>
                <w:rFonts w:hint="eastAsia" w:ascii="宋体" w:hAnsi="宋体" w:cs="宋体"/>
                <w:sz w:val="24"/>
              </w:rPr>
              <w:t>商用操作系统套餐</w:t>
            </w:r>
          </w:p>
        </w:tc>
        <w:tc>
          <w:tcPr>
            <w:tcW w:w="3953" w:type="dxa"/>
            <w:tcBorders>
              <w:top w:val="single" w:color="000000" w:sz="4" w:space="0"/>
              <w:left w:val="nil"/>
              <w:bottom w:val="single" w:color="000000" w:sz="4" w:space="0"/>
              <w:right w:val="single" w:color="000000" w:sz="4" w:space="0"/>
            </w:tcBorders>
            <w:shd w:val="clear" w:color="auto" w:fill="FFFFFF"/>
            <w:vAlign w:val="center"/>
          </w:tcPr>
          <w:p w14:paraId="5A671A2A">
            <w:pPr>
              <w:widowControl/>
              <w:adjustRightInd w:val="0"/>
              <w:textAlignment w:val="center"/>
              <w:rPr>
                <w:rFonts w:ascii="宋体" w:hAnsi="宋体" w:cs="宋体"/>
                <w:sz w:val="24"/>
              </w:rPr>
            </w:pPr>
            <w:r>
              <w:rPr>
                <w:rFonts w:hint="eastAsia" w:ascii="宋体" w:hAnsi="宋体" w:cs="宋体"/>
                <w:sz w:val="24"/>
              </w:rPr>
              <w:t>Windows Server套餐、银河麒麟、统信uos：租用、安装及维护。</w:t>
            </w:r>
          </w:p>
        </w:tc>
        <w:tc>
          <w:tcPr>
            <w:tcW w:w="1472" w:type="dxa"/>
            <w:tcBorders>
              <w:top w:val="single" w:color="000000" w:sz="4" w:space="0"/>
              <w:left w:val="nil"/>
              <w:bottom w:val="single" w:color="000000" w:sz="4" w:space="0"/>
              <w:right w:val="single" w:color="000000" w:sz="4" w:space="0"/>
            </w:tcBorders>
            <w:shd w:val="clear" w:color="auto" w:fill="FFFFFF"/>
            <w:vAlign w:val="center"/>
          </w:tcPr>
          <w:p w14:paraId="4379B62D">
            <w:pPr>
              <w:widowControl/>
              <w:adjustRightInd w:val="0"/>
              <w:jc w:val="center"/>
              <w:textAlignment w:val="center"/>
              <w:rPr>
                <w:rFonts w:ascii="宋体" w:hAnsi="宋体" w:cs="宋体"/>
                <w:sz w:val="24"/>
              </w:rPr>
            </w:pPr>
            <w:r>
              <w:rPr>
                <w:rFonts w:hint="eastAsia" w:ascii="宋体" w:hAnsi="宋体" w:cs="宋体"/>
                <w:sz w:val="24"/>
              </w:rPr>
              <w:t>1个主机</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728836F3">
            <w:pPr>
              <w:widowControl/>
              <w:adjustRightInd w:val="0"/>
              <w:jc w:val="center"/>
              <w:textAlignment w:val="center"/>
              <w:rPr>
                <w:rFonts w:ascii="宋体" w:hAnsi="宋体" w:cs="宋体"/>
                <w:sz w:val="24"/>
              </w:rPr>
            </w:pPr>
            <w:r>
              <w:rPr>
                <w:rFonts w:hint="eastAsia" w:ascii="宋体" w:hAnsi="宋体" w:cs="宋体"/>
                <w:sz w:val="24"/>
              </w:rPr>
              <w:t>113</w:t>
            </w:r>
          </w:p>
        </w:tc>
      </w:tr>
      <w:tr w14:paraId="1953F9EA">
        <w:tblPrEx>
          <w:tblCellMar>
            <w:top w:w="0" w:type="dxa"/>
            <w:left w:w="108" w:type="dxa"/>
            <w:bottom w:w="0" w:type="dxa"/>
            <w:right w:w="108" w:type="dxa"/>
          </w:tblCellMar>
        </w:tblPrEx>
        <w:trPr>
          <w:trHeight w:val="660" w:hRule="atLeast"/>
          <w:jc w:val="center"/>
        </w:trPr>
        <w:tc>
          <w:tcPr>
            <w:tcW w:w="871" w:type="dxa"/>
            <w:vMerge w:val="continue"/>
            <w:tcBorders>
              <w:top w:val="nil"/>
              <w:left w:val="single" w:color="000000" w:sz="4" w:space="0"/>
              <w:bottom w:val="single" w:color="000000" w:sz="4" w:space="0"/>
              <w:right w:val="single" w:color="000000" w:sz="4" w:space="0"/>
            </w:tcBorders>
            <w:shd w:val="clear" w:color="auto" w:fill="auto"/>
            <w:vAlign w:val="center"/>
          </w:tcPr>
          <w:p w14:paraId="16362BF9">
            <w:pPr>
              <w:widowControl/>
              <w:adjustRightInd w:val="0"/>
              <w:rPr>
                <w:rFonts w:ascii="宋体" w:hAnsi="宋体" w:cs="宋体"/>
                <w:sz w:val="24"/>
              </w:rPr>
            </w:pPr>
          </w:p>
        </w:tc>
        <w:tc>
          <w:tcPr>
            <w:tcW w:w="1676" w:type="dxa"/>
            <w:tcBorders>
              <w:top w:val="single" w:color="000000" w:sz="4" w:space="0"/>
              <w:left w:val="nil"/>
              <w:bottom w:val="single" w:color="000000" w:sz="4" w:space="0"/>
              <w:right w:val="single" w:color="000000" w:sz="4" w:space="0"/>
            </w:tcBorders>
            <w:shd w:val="clear" w:color="auto" w:fill="FFFFFF"/>
            <w:vAlign w:val="center"/>
          </w:tcPr>
          <w:p w14:paraId="656A14A6">
            <w:pPr>
              <w:widowControl/>
              <w:adjustRightInd w:val="0"/>
              <w:jc w:val="center"/>
              <w:textAlignment w:val="center"/>
              <w:rPr>
                <w:rFonts w:ascii="宋体" w:hAnsi="宋体" w:cs="宋体"/>
                <w:sz w:val="24"/>
              </w:rPr>
            </w:pPr>
            <w:r>
              <w:rPr>
                <w:rFonts w:hint="eastAsia" w:ascii="宋体" w:hAnsi="宋体" w:cs="宋体"/>
                <w:sz w:val="24"/>
              </w:rPr>
              <w:t>开源操作系统套餐</w:t>
            </w:r>
          </w:p>
        </w:tc>
        <w:tc>
          <w:tcPr>
            <w:tcW w:w="3953" w:type="dxa"/>
            <w:tcBorders>
              <w:top w:val="single" w:color="000000" w:sz="4" w:space="0"/>
              <w:left w:val="nil"/>
              <w:bottom w:val="single" w:color="000000" w:sz="4" w:space="0"/>
              <w:right w:val="single" w:color="000000" w:sz="4" w:space="0"/>
            </w:tcBorders>
            <w:shd w:val="clear" w:color="auto" w:fill="FFFFFF"/>
            <w:vAlign w:val="center"/>
          </w:tcPr>
          <w:p w14:paraId="2F9472CF">
            <w:pPr>
              <w:widowControl/>
              <w:adjustRightInd w:val="0"/>
              <w:textAlignment w:val="center"/>
              <w:rPr>
                <w:rFonts w:ascii="宋体" w:hAnsi="宋体" w:cs="宋体"/>
                <w:sz w:val="24"/>
              </w:rPr>
            </w:pPr>
            <w:r>
              <w:rPr>
                <w:rFonts w:hint="eastAsia" w:ascii="宋体" w:hAnsi="宋体" w:cs="宋体"/>
                <w:sz w:val="24"/>
              </w:rPr>
              <w:t>提供开源操作系统安装和维护服务</w:t>
            </w:r>
          </w:p>
        </w:tc>
        <w:tc>
          <w:tcPr>
            <w:tcW w:w="1472" w:type="dxa"/>
            <w:tcBorders>
              <w:top w:val="single" w:color="000000" w:sz="4" w:space="0"/>
              <w:left w:val="nil"/>
              <w:bottom w:val="single" w:color="000000" w:sz="4" w:space="0"/>
              <w:right w:val="single" w:color="000000" w:sz="4" w:space="0"/>
            </w:tcBorders>
            <w:shd w:val="clear" w:color="auto" w:fill="FFFFFF"/>
            <w:vAlign w:val="center"/>
          </w:tcPr>
          <w:p w14:paraId="42195C70">
            <w:pPr>
              <w:widowControl/>
              <w:adjustRightInd w:val="0"/>
              <w:jc w:val="center"/>
              <w:textAlignment w:val="center"/>
              <w:rPr>
                <w:rFonts w:ascii="宋体" w:hAnsi="宋体" w:cs="宋体"/>
                <w:sz w:val="24"/>
              </w:rPr>
            </w:pPr>
            <w:r>
              <w:rPr>
                <w:rFonts w:hint="eastAsia" w:ascii="宋体" w:hAnsi="宋体" w:cs="宋体"/>
                <w:sz w:val="24"/>
              </w:rPr>
              <w:t>1个主机</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633AC470">
            <w:pPr>
              <w:widowControl/>
              <w:adjustRightInd w:val="0"/>
              <w:jc w:val="center"/>
              <w:textAlignment w:val="center"/>
              <w:rPr>
                <w:rFonts w:ascii="宋体" w:hAnsi="宋体" w:cs="宋体"/>
                <w:sz w:val="24"/>
              </w:rPr>
            </w:pPr>
            <w:r>
              <w:rPr>
                <w:rFonts w:hint="eastAsia" w:ascii="宋体" w:hAnsi="宋体" w:cs="宋体"/>
                <w:sz w:val="24"/>
              </w:rPr>
              <w:t>17</w:t>
            </w:r>
          </w:p>
        </w:tc>
      </w:tr>
      <w:tr w14:paraId="4904B2C3">
        <w:tblPrEx>
          <w:tblCellMar>
            <w:top w:w="0" w:type="dxa"/>
            <w:left w:w="108" w:type="dxa"/>
            <w:bottom w:w="0" w:type="dxa"/>
            <w:right w:w="108" w:type="dxa"/>
          </w:tblCellMar>
        </w:tblPrEx>
        <w:trPr>
          <w:trHeight w:val="660" w:hRule="atLeast"/>
          <w:jc w:val="center"/>
        </w:trPr>
        <w:tc>
          <w:tcPr>
            <w:tcW w:w="871" w:type="dxa"/>
            <w:vMerge w:val="continue"/>
            <w:tcBorders>
              <w:top w:val="nil"/>
              <w:left w:val="single" w:color="000000" w:sz="4" w:space="0"/>
              <w:bottom w:val="single" w:color="000000" w:sz="4" w:space="0"/>
              <w:right w:val="single" w:color="000000" w:sz="4" w:space="0"/>
            </w:tcBorders>
            <w:shd w:val="clear" w:color="auto" w:fill="auto"/>
            <w:vAlign w:val="center"/>
          </w:tcPr>
          <w:p w14:paraId="423131E1">
            <w:pPr>
              <w:widowControl/>
              <w:adjustRightInd w:val="0"/>
              <w:rPr>
                <w:rFonts w:ascii="宋体" w:hAnsi="宋体" w:cs="宋体"/>
                <w:sz w:val="24"/>
              </w:rPr>
            </w:pPr>
          </w:p>
        </w:tc>
        <w:tc>
          <w:tcPr>
            <w:tcW w:w="1676" w:type="dxa"/>
            <w:tcBorders>
              <w:top w:val="single" w:color="000000" w:sz="4" w:space="0"/>
              <w:left w:val="nil"/>
              <w:bottom w:val="single" w:color="000000" w:sz="4" w:space="0"/>
              <w:right w:val="single" w:color="000000" w:sz="4" w:space="0"/>
            </w:tcBorders>
            <w:shd w:val="clear" w:color="auto" w:fill="FFFFFF"/>
            <w:vAlign w:val="center"/>
          </w:tcPr>
          <w:p w14:paraId="569BB319">
            <w:pPr>
              <w:widowControl/>
              <w:adjustRightInd w:val="0"/>
              <w:jc w:val="center"/>
              <w:textAlignment w:val="center"/>
              <w:rPr>
                <w:rFonts w:ascii="宋体" w:hAnsi="宋体" w:cs="宋体"/>
                <w:sz w:val="24"/>
              </w:rPr>
            </w:pPr>
            <w:r>
              <w:rPr>
                <w:rFonts w:hint="eastAsia" w:ascii="宋体" w:hAnsi="宋体" w:cs="宋体"/>
                <w:sz w:val="24"/>
              </w:rPr>
              <w:t>开源应用中间件套餐</w:t>
            </w:r>
          </w:p>
        </w:tc>
        <w:tc>
          <w:tcPr>
            <w:tcW w:w="3953" w:type="dxa"/>
            <w:tcBorders>
              <w:top w:val="single" w:color="000000" w:sz="4" w:space="0"/>
              <w:left w:val="nil"/>
              <w:bottom w:val="single" w:color="000000" w:sz="4" w:space="0"/>
              <w:right w:val="single" w:color="000000" w:sz="4" w:space="0"/>
            </w:tcBorders>
            <w:shd w:val="clear" w:color="auto" w:fill="FFFFFF"/>
            <w:vAlign w:val="center"/>
          </w:tcPr>
          <w:p w14:paraId="5C686D72">
            <w:pPr>
              <w:widowControl/>
              <w:adjustRightInd w:val="0"/>
              <w:textAlignment w:val="center"/>
              <w:rPr>
                <w:rFonts w:ascii="宋体" w:hAnsi="宋体" w:cs="宋体"/>
                <w:sz w:val="24"/>
              </w:rPr>
            </w:pPr>
            <w:r>
              <w:rPr>
                <w:rFonts w:hint="eastAsia" w:ascii="宋体" w:hAnsi="宋体" w:cs="宋体"/>
                <w:sz w:val="24"/>
              </w:rPr>
              <w:t>主流开源应用中间件安装及维护服务（3种以上开源中间件）</w:t>
            </w:r>
          </w:p>
        </w:tc>
        <w:tc>
          <w:tcPr>
            <w:tcW w:w="1472" w:type="dxa"/>
            <w:tcBorders>
              <w:top w:val="single" w:color="000000" w:sz="4" w:space="0"/>
              <w:left w:val="nil"/>
              <w:bottom w:val="single" w:color="000000" w:sz="4" w:space="0"/>
              <w:right w:val="single" w:color="000000" w:sz="4" w:space="0"/>
            </w:tcBorders>
            <w:shd w:val="clear" w:color="auto" w:fill="FFFFFF"/>
            <w:vAlign w:val="center"/>
          </w:tcPr>
          <w:p w14:paraId="34E8E2A0">
            <w:pPr>
              <w:widowControl/>
              <w:adjustRightInd w:val="0"/>
              <w:jc w:val="center"/>
              <w:textAlignment w:val="center"/>
              <w:rPr>
                <w:rFonts w:ascii="宋体" w:hAnsi="宋体" w:cs="宋体"/>
                <w:sz w:val="24"/>
              </w:rPr>
            </w:pPr>
            <w:r>
              <w:rPr>
                <w:rFonts w:hint="eastAsia" w:ascii="宋体" w:hAnsi="宋体" w:cs="宋体"/>
                <w:sz w:val="24"/>
              </w:rPr>
              <w:t>1套</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5AD32E3F">
            <w:pPr>
              <w:widowControl/>
              <w:adjustRightInd w:val="0"/>
              <w:jc w:val="center"/>
              <w:textAlignment w:val="center"/>
              <w:rPr>
                <w:rFonts w:ascii="宋体" w:hAnsi="宋体" w:cs="宋体"/>
                <w:sz w:val="24"/>
              </w:rPr>
            </w:pPr>
            <w:r>
              <w:rPr>
                <w:rFonts w:hint="eastAsia" w:ascii="宋体" w:hAnsi="宋体" w:cs="宋体"/>
                <w:sz w:val="24"/>
              </w:rPr>
              <w:t>4</w:t>
            </w:r>
          </w:p>
        </w:tc>
      </w:tr>
      <w:tr w14:paraId="070FD862">
        <w:tblPrEx>
          <w:tblCellMar>
            <w:top w:w="0" w:type="dxa"/>
            <w:left w:w="108" w:type="dxa"/>
            <w:bottom w:w="0" w:type="dxa"/>
            <w:right w:w="108" w:type="dxa"/>
          </w:tblCellMar>
        </w:tblPrEx>
        <w:trPr>
          <w:trHeight w:val="660" w:hRule="atLeast"/>
          <w:jc w:val="center"/>
        </w:trPr>
        <w:tc>
          <w:tcPr>
            <w:tcW w:w="871" w:type="dxa"/>
            <w:vMerge w:val="continue"/>
            <w:tcBorders>
              <w:top w:val="nil"/>
              <w:left w:val="single" w:color="000000" w:sz="4" w:space="0"/>
              <w:bottom w:val="single" w:color="000000" w:sz="4" w:space="0"/>
              <w:right w:val="single" w:color="000000" w:sz="4" w:space="0"/>
            </w:tcBorders>
            <w:shd w:val="clear" w:color="auto" w:fill="auto"/>
            <w:vAlign w:val="center"/>
          </w:tcPr>
          <w:p w14:paraId="72412A32">
            <w:pPr>
              <w:widowControl/>
              <w:adjustRightInd w:val="0"/>
              <w:rPr>
                <w:rFonts w:ascii="宋体" w:hAnsi="宋体" w:cs="宋体"/>
                <w:sz w:val="24"/>
              </w:rPr>
            </w:pPr>
          </w:p>
        </w:tc>
        <w:tc>
          <w:tcPr>
            <w:tcW w:w="1676" w:type="dxa"/>
            <w:tcBorders>
              <w:top w:val="single" w:color="000000" w:sz="4" w:space="0"/>
              <w:left w:val="nil"/>
              <w:bottom w:val="single" w:color="000000" w:sz="4" w:space="0"/>
              <w:right w:val="single" w:color="000000" w:sz="4" w:space="0"/>
            </w:tcBorders>
            <w:shd w:val="clear" w:color="auto" w:fill="FFFFFF"/>
            <w:vAlign w:val="center"/>
          </w:tcPr>
          <w:p w14:paraId="038829DD">
            <w:pPr>
              <w:widowControl/>
              <w:adjustRightInd w:val="0"/>
              <w:jc w:val="center"/>
              <w:textAlignment w:val="center"/>
              <w:rPr>
                <w:rFonts w:ascii="宋体" w:hAnsi="宋体" w:cs="宋体"/>
                <w:sz w:val="24"/>
              </w:rPr>
            </w:pPr>
            <w:r>
              <w:rPr>
                <w:rFonts w:hint="eastAsia" w:ascii="宋体" w:hAnsi="宋体" w:cs="宋体"/>
                <w:sz w:val="24"/>
              </w:rPr>
              <w:t>开源数据库套餐</w:t>
            </w:r>
          </w:p>
        </w:tc>
        <w:tc>
          <w:tcPr>
            <w:tcW w:w="3953" w:type="dxa"/>
            <w:tcBorders>
              <w:top w:val="single" w:color="000000" w:sz="4" w:space="0"/>
              <w:left w:val="nil"/>
              <w:bottom w:val="single" w:color="000000" w:sz="4" w:space="0"/>
              <w:right w:val="single" w:color="000000" w:sz="4" w:space="0"/>
            </w:tcBorders>
            <w:shd w:val="clear" w:color="auto" w:fill="FFFFFF"/>
            <w:vAlign w:val="center"/>
          </w:tcPr>
          <w:p w14:paraId="2FEDDC54">
            <w:pPr>
              <w:widowControl/>
              <w:adjustRightInd w:val="0"/>
              <w:textAlignment w:val="center"/>
              <w:rPr>
                <w:rFonts w:ascii="宋体" w:hAnsi="宋体" w:cs="宋体"/>
                <w:sz w:val="24"/>
              </w:rPr>
            </w:pPr>
            <w:r>
              <w:rPr>
                <w:rFonts w:hint="eastAsia" w:ascii="宋体" w:hAnsi="宋体" w:cs="宋体"/>
                <w:sz w:val="24"/>
              </w:rPr>
              <w:t>开源数据库安装及维护服务</w:t>
            </w:r>
          </w:p>
        </w:tc>
        <w:tc>
          <w:tcPr>
            <w:tcW w:w="1472" w:type="dxa"/>
            <w:tcBorders>
              <w:top w:val="single" w:color="000000" w:sz="4" w:space="0"/>
              <w:left w:val="nil"/>
              <w:bottom w:val="single" w:color="000000" w:sz="4" w:space="0"/>
              <w:right w:val="single" w:color="000000" w:sz="4" w:space="0"/>
            </w:tcBorders>
            <w:shd w:val="clear" w:color="auto" w:fill="FFFFFF"/>
            <w:vAlign w:val="center"/>
          </w:tcPr>
          <w:p w14:paraId="3F824C72">
            <w:pPr>
              <w:widowControl/>
              <w:adjustRightInd w:val="0"/>
              <w:jc w:val="center"/>
              <w:textAlignment w:val="center"/>
              <w:rPr>
                <w:rFonts w:ascii="宋体" w:hAnsi="宋体" w:cs="宋体"/>
                <w:sz w:val="24"/>
              </w:rPr>
            </w:pPr>
            <w:r>
              <w:rPr>
                <w:rFonts w:hint="eastAsia" w:ascii="宋体" w:hAnsi="宋体" w:cs="宋体"/>
                <w:sz w:val="24"/>
              </w:rPr>
              <w:t>1套</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4594CC9E">
            <w:pPr>
              <w:widowControl/>
              <w:adjustRightInd w:val="0"/>
              <w:jc w:val="center"/>
              <w:textAlignment w:val="center"/>
              <w:rPr>
                <w:rFonts w:ascii="宋体" w:hAnsi="宋体" w:cs="宋体"/>
                <w:sz w:val="24"/>
              </w:rPr>
            </w:pPr>
            <w:r>
              <w:rPr>
                <w:rFonts w:hint="eastAsia" w:ascii="宋体" w:hAnsi="宋体" w:cs="宋体"/>
                <w:sz w:val="24"/>
              </w:rPr>
              <w:t>7</w:t>
            </w:r>
          </w:p>
        </w:tc>
      </w:tr>
      <w:tr w14:paraId="4F99305E">
        <w:tblPrEx>
          <w:tblCellMar>
            <w:top w:w="0" w:type="dxa"/>
            <w:left w:w="108" w:type="dxa"/>
            <w:bottom w:w="0" w:type="dxa"/>
            <w:right w:w="108" w:type="dxa"/>
          </w:tblCellMar>
        </w:tblPrEx>
        <w:trPr>
          <w:trHeight w:val="1320" w:hRule="atLeast"/>
          <w:jc w:val="center"/>
        </w:trPr>
        <w:tc>
          <w:tcPr>
            <w:tcW w:w="871" w:type="dxa"/>
            <w:vMerge w:val="restart"/>
            <w:tcBorders>
              <w:top w:val="nil"/>
              <w:left w:val="single" w:color="000000" w:sz="4" w:space="0"/>
              <w:right w:val="single" w:color="000000" w:sz="4" w:space="0"/>
            </w:tcBorders>
            <w:shd w:val="clear" w:color="auto" w:fill="auto"/>
            <w:vAlign w:val="center"/>
          </w:tcPr>
          <w:p w14:paraId="70239554">
            <w:pPr>
              <w:widowControl/>
              <w:adjustRightInd w:val="0"/>
              <w:jc w:val="center"/>
              <w:textAlignment w:val="center"/>
              <w:rPr>
                <w:rFonts w:ascii="宋体" w:hAnsi="宋体" w:cs="宋体"/>
                <w:sz w:val="24"/>
              </w:rPr>
            </w:pPr>
            <w:r>
              <w:rPr>
                <w:rFonts w:hint="eastAsia" w:ascii="宋体" w:hAnsi="宋体" w:cs="宋体"/>
                <w:sz w:val="24"/>
              </w:rPr>
              <w:t>安全监测及防护服务</w:t>
            </w:r>
          </w:p>
        </w:tc>
        <w:tc>
          <w:tcPr>
            <w:tcW w:w="1676" w:type="dxa"/>
            <w:tcBorders>
              <w:top w:val="single" w:color="000000" w:sz="4" w:space="0"/>
              <w:left w:val="nil"/>
              <w:bottom w:val="single" w:color="000000" w:sz="4" w:space="0"/>
              <w:right w:val="single" w:color="000000" w:sz="4" w:space="0"/>
            </w:tcBorders>
            <w:shd w:val="clear" w:color="auto" w:fill="FFFFFF"/>
            <w:vAlign w:val="center"/>
          </w:tcPr>
          <w:p w14:paraId="6397A5B9">
            <w:pPr>
              <w:widowControl/>
              <w:adjustRightInd w:val="0"/>
              <w:jc w:val="center"/>
              <w:textAlignment w:val="center"/>
              <w:rPr>
                <w:rFonts w:ascii="宋体" w:hAnsi="宋体" w:cs="宋体"/>
                <w:sz w:val="24"/>
              </w:rPr>
            </w:pPr>
            <w:r>
              <w:rPr>
                <w:rFonts w:hint="eastAsia" w:ascii="宋体" w:hAnsi="宋体" w:cs="宋体"/>
                <w:sz w:val="24"/>
              </w:rPr>
              <w:t>主机杀毒服务</w:t>
            </w:r>
          </w:p>
        </w:tc>
        <w:tc>
          <w:tcPr>
            <w:tcW w:w="3953" w:type="dxa"/>
            <w:tcBorders>
              <w:top w:val="single" w:color="000000" w:sz="4" w:space="0"/>
              <w:left w:val="nil"/>
              <w:bottom w:val="single" w:color="000000" w:sz="4" w:space="0"/>
              <w:right w:val="single" w:color="000000" w:sz="4" w:space="0"/>
            </w:tcBorders>
            <w:shd w:val="clear" w:color="auto" w:fill="FFFFFF"/>
            <w:vAlign w:val="center"/>
          </w:tcPr>
          <w:p w14:paraId="75E76669">
            <w:pPr>
              <w:widowControl/>
              <w:adjustRightInd w:val="0"/>
              <w:textAlignment w:val="center"/>
              <w:rPr>
                <w:rFonts w:ascii="宋体" w:hAnsi="宋体" w:cs="宋体"/>
                <w:sz w:val="24"/>
              </w:rPr>
            </w:pPr>
            <w:r>
              <w:rPr>
                <w:rFonts w:hint="eastAsia" w:ascii="宋体" w:hAnsi="宋体" w:cs="宋体"/>
                <w:bCs/>
                <w:sz w:val="24"/>
                <w:lang w:bidi="ar"/>
              </w:rPr>
              <w:t>对云主机进行定期的病毒查杀，杀毒软件集中控制，对网络性能无影响</w:t>
            </w:r>
          </w:p>
        </w:tc>
        <w:tc>
          <w:tcPr>
            <w:tcW w:w="1472" w:type="dxa"/>
            <w:tcBorders>
              <w:top w:val="single" w:color="000000" w:sz="4" w:space="0"/>
              <w:left w:val="nil"/>
              <w:bottom w:val="single" w:color="000000" w:sz="4" w:space="0"/>
              <w:right w:val="single" w:color="000000" w:sz="4" w:space="0"/>
            </w:tcBorders>
            <w:shd w:val="clear" w:color="auto" w:fill="FFFFFF"/>
            <w:vAlign w:val="center"/>
          </w:tcPr>
          <w:p w14:paraId="1C30C43F">
            <w:pPr>
              <w:widowControl/>
              <w:adjustRightInd w:val="0"/>
              <w:jc w:val="center"/>
              <w:textAlignment w:val="center"/>
              <w:rPr>
                <w:rFonts w:ascii="宋体" w:hAnsi="宋体" w:cs="宋体"/>
                <w:sz w:val="24"/>
              </w:rPr>
            </w:pPr>
            <w:r>
              <w:rPr>
                <w:rFonts w:hint="eastAsia" w:ascii="宋体" w:hAnsi="宋体" w:cs="宋体"/>
                <w:sz w:val="24"/>
              </w:rPr>
              <w:t>1台</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5D769F50">
            <w:pPr>
              <w:widowControl/>
              <w:adjustRightInd w:val="0"/>
              <w:jc w:val="center"/>
              <w:textAlignment w:val="center"/>
              <w:rPr>
                <w:rFonts w:ascii="宋体" w:hAnsi="宋体" w:cs="宋体"/>
                <w:sz w:val="24"/>
              </w:rPr>
            </w:pPr>
            <w:r>
              <w:rPr>
                <w:rFonts w:hint="eastAsia" w:ascii="宋体" w:hAnsi="宋体" w:cs="宋体"/>
                <w:sz w:val="24"/>
              </w:rPr>
              <w:t>130</w:t>
            </w:r>
          </w:p>
        </w:tc>
      </w:tr>
      <w:tr w14:paraId="19954BC2">
        <w:tblPrEx>
          <w:tblCellMar>
            <w:top w:w="0" w:type="dxa"/>
            <w:left w:w="108" w:type="dxa"/>
            <w:bottom w:w="0" w:type="dxa"/>
            <w:right w:w="108" w:type="dxa"/>
          </w:tblCellMar>
        </w:tblPrEx>
        <w:trPr>
          <w:trHeight w:val="660" w:hRule="atLeast"/>
          <w:jc w:val="center"/>
        </w:trPr>
        <w:tc>
          <w:tcPr>
            <w:tcW w:w="871" w:type="dxa"/>
            <w:vMerge w:val="continue"/>
            <w:tcBorders>
              <w:left w:val="single" w:color="000000" w:sz="4" w:space="0"/>
              <w:right w:val="single" w:color="000000" w:sz="4" w:space="0"/>
            </w:tcBorders>
            <w:shd w:val="clear" w:color="auto" w:fill="auto"/>
            <w:vAlign w:val="center"/>
          </w:tcPr>
          <w:p w14:paraId="19A269B6">
            <w:pPr>
              <w:widowControl/>
              <w:adjustRightInd w:val="0"/>
              <w:jc w:val="center"/>
              <w:textAlignment w:val="center"/>
              <w:rPr>
                <w:rFonts w:ascii="宋体" w:hAnsi="宋体" w:cs="宋体"/>
                <w:b/>
                <w:bCs/>
                <w:sz w:val="24"/>
              </w:rPr>
            </w:pPr>
          </w:p>
        </w:tc>
        <w:tc>
          <w:tcPr>
            <w:tcW w:w="1676" w:type="dxa"/>
            <w:tcBorders>
              <w:top w:val="single" w:color="000000" w:sz="4" w:space="0"/>
              <w:left w:val="nil"/>
              <w:bottom w:val="single" w:color="000000" w:sz="4" w:space="0"/>
              <w:right w:val="single" w:color="000000" w:sz="4" w:space="0"/>
            </w:tcBorders>
            <w:shd w:val="clear" w:color="auto" w:fill="FFFFFF"/>
            <w:vAlign w:val="center"/>
          </w:tcPr>
          <w:p w14:paraId="00C12A7F">
            <w:pPr>
              <w:widowControl/>
              <w:adjustRightInd w:val="0"/>
              <w:jc w:val="center"/>
              <w:textAlignment w:val="center"/>
              <w:rPr>
                <w:rFonts w:ascii="宋体" w:hAnsi="宋体" w:cs="宋体"/>
                <w:sz w:val="24"/>
              </w:rPr>
            </w:pPr>
            <w:r>
              <w:rPr>
                <w:rFonts w:hint="eastAsia" w:ascii="宋体" w:hAnsi="宋体" w:cs="宋体"/>
                <w:sz w:val="24"/>
              </w:rPr>
              <w:t>主机防护</w:t>
            </w:r>
          </w:p>
        </w:tc>
        <w:tc>
          <w:tcPr>
            <w:tcW w:w="3953" w:type="dxa"/>
            <w:tcBorders>
              <w:top w:val="single" w:color="000000" w:sz="4" w:space="0"/>
              <w:left w:val="nil"/>
              <w:bottom w:val="single" w:color="000000" w:sz="4" w:space="0"/>
              <w:right w:val="single" w:color="000000" w:sz="4" w:space="0"/>
            </w:tcBorders>
            <w:shd w:val="clear" w:color="auto" w:fill="FFFFFF"/>
            <w:vAlign w:val="center"/>
          </w:tcPr>
          <w:p w14:paraId="4304BFEA">
            <w:pPr>
              <w:widowControl/>
              <w:adjustRightInd w:val="0"/>
              <w:textAlignment w:val="center"/>
              <w:rPr>
                <w:rFonts w:ascii="宋体" w:hAnsi="宋体" w:cs="宋体"/>
                <w:sz w:val="24"/>
              </w:rPr>
            </w:pPr>
            <w:r>
              <w:rPr>
                <w:rFonts w:hint="eastAsia" w:ascii="宋体" w:hAnsi="宋体" w:cs="宋体"/>
                <w:bCs/>
                <w:sz w:val="24"/>
                <w:lang w:bidi="ar"/>
              </w:rPr>
              <w:t>提供符合等保三级要求的主机权限管理及安全防护</w:t>
            </w:r>
          </w:p>
        </w:tc>
        <w:tc>
          <w:tcPr>
            <w:tcW w:w="1472" w:type="dxa"/>
            <w:tcBorders>
              <w:top w:val="single" w:color="000000" w:sz="4" w:space="0"/>
              <w:left w:val="nil"/>
              <w:bottom w:val="single" w:color="000000" w:sz="4" w:space="0"/>
              <w:right w:val="single" w:color="000000" w:sz="4" w:space="0"/>
            </w:tcBorders>
            <w:shd w:val="clear" w:color="auto" w:fill="FFFFFF"/>
            <w:vAlign w:val="center"/>
          </w:tcPr>
          <w:p w14:paraId="4EA15813">
            <w:pPr>
              <w:widowControl/>
              <w:adjustRightInd w:val="0"/>
              <w:jc w:val="center"/>
              <w:textAlignment w:val="center"/>
              <w:rPr>
                <w:rFonts w:ascii="宋体" w:hAnsi="宋体" w:cs="宋体"/>
                <w:sz w:val="24"/>
              </w:rPr>
            </w:pPr>
            <w:r>
              <w:rPr>
                <w:rFonts w:hint="eastAsia" w:ascii="宋体" w:hAnsi="宋体" w:cs="宋体"/>
                <w:sz w:val="24"/>
              </w:rPr>
              <w:t>1台</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4B5EA5A1">
            <w:pPr>
              <w:widowControl/>
              <w:adjustRightInd w:val="0"/>
              <w:jc w:val="center"/>
              <w:textAlignment w:val="center"/>
              <w:rPr>
                <w:rFonts w:ascii="宋体" w:hAnsi="宋体" w:cs="宋体"/>
                <w:sz w:val="24"/>
              </w:rPr>
            </w:pPr>
            <w:r>
              <w:rPr>
                <w:rFonts w:hint="eastAsia" w:ascii="宋体" w:hAnsi="宋体" w:cs="宋体"/>
                <w:sz w:val="24"/>
              </w:rPr>
              <w:t>130</w:t>
            </w:r>
          </w:p>
        </w:tc>
      </w:tr>
      <w:tr w14:paraId="4F9BE51C">
        <w:tblPrEx>
          <w:tblCellMar>
            <w:top w:w="0" w:type="dxa"/>
            <w:left w:w="108" w:type="dxa"/>
            <w:bottom w:w="0" w:type="dxa"/>
            <w:right w:w="108" w:type="dxa"/>
          </w:tblCellMar>
        </w:tblPrEx>
        <w:trPr>
          <w:trHeight w:val="660" w:hRule="atLeast"/>
          <w:jc w:val="center"/>
        </w:trPr>
        <w:tc>
          <w:tcPr>
            <w:tcW w:w="871" w:type="dxa"/>
            <w:vMerge w:val="continue"/>
            <w:tcBorders>
              <w:left w:val="single" w:color="000000" w:sz="4" w:space="0"/>
              <w:right w:val="single" w:color="000000" w:sz="4" w:space="0"/>
            </w:tcBorders>
            <w:shd w:val="clear" w:color="auto" w:fill="auto"/>
            <w:vAlign w:val="center"/>
          </w:tcPr>
          <w:p w14:paraId="6AE92F16">
            <w:pPr>
              <w:widowControl/>
              <w:adjustRightInd w:val="0"/>
              <w:jc w:val="center"/>
              <w:textAlignment w:val="center"/>
              <w:rPr>
                <w:rFonts w:ascii="宋体" w:hAnsi="宋体" w:cs="宋体"/>
                <w:b/>
                <w:bCs/>
                <w:sz w:val="24"/>
              </w:rPr>
            </w:pPr>
          </w:p>
        </w:tc>
        <w:tc>
          <w:tcPr>
            <w:tcW w:w="1676" w:type="dxa"/>
            <w:tcBorders>
              <w:top w:val="single" w:color="000000" w:sz="4" w:space="0"/>
              <w:left w:val="nil"/>
              <w:bottom w:val="single" w:color="000000" w:sz="4" w:space="0"/>
              <w:right w:val="single" w:color="000000" w:sz="4" w:space="0"/>
            </w:tcBorders>
            <w:shd w:val="clear" w:color="auto" w:fill="FFFFFF"/>
            <w:vAlign w:val="center"/>
          </w:tcPr>
          <w:p w14:paraId="5EA425CE">
            <w:pPr>
              <w:widowControl/>
              <w:adjustRightInd w:val="0"/>
              <w:jc w:val="center"/>
              <w:textAlignment w:val="center"/>
              <w:rPr>
                <w:rFonts w:ascii="宋体" w:hAnsi="宋体" w:cs="宋体"/>
                <w:sz w:val="24"/>
              </w:rPr>
            </w:pPr>
            <w:r>
              <w:rPr>
                <w:rFonts w:hint="eastAsia" w:ascii="宋体" w:hAnsi="宋体" w:cs="宋体"/>
                <w:sz w:val="24"/>
              </w:rPr>
              <w:t>主机漏洞扫描</w:t>
            </w:r>
          </w:p>
        </w:tc>
        <w:tc>
          <w:tcPr>
            <w:tcW w:w="3953" w:type="dxa"/>
            <w:tcBorders>
              <w:top w:val="single" w:color="000000" w:sz="4" w:space="0"/>
              <w:left w:val="nil"/>
              <w:bottom w:val="single" w:color="000000" w:sz="4" w:space="0"/>
              <w:right w:val="single" w:color="000000" w:sz="4" w:space="0"/>
            </w:tcBorders>
            <w:shd w:val="clear" w:color="auto" w:fill="FFFFFF"/>
            <w:vAlign w:val="center"/>
          </w:tcPr>
          <w:p w14:paraId="2A9BAC67">
            <w:pPr>
              <w:widowControl/>
              <w:adjustRightInd w:val="0"/>
              <w:textAlignment w:val="center"/>
              <w:rPr>
                <w:rFonts w:ascii="宋体" w:hAnsi="宋体" w:cs="宋体"/>
                <w:sz w:val="24"/>
              </w:rPr>
            </w:pPr>
            <w:r>
              <w:rPr>
                <w:rFonts w:hint="eastAsia" w:ascii="宋体" w:hAnsi="宋体" w:cs="宋体"/>
                <w:bCs/>
                <w:sz w:val="24"/>
                <w:lang w:bidi="ar"/>
              </w:rPr>
              <w:t>为用户提供针对主机层面的安全扫描服务，并反馈相关结果</w:t>
            </w:r>
          </w:p>
        </w:tc>
        <w:tc>
          <w:tcPr>
            <w:tcW w:w="1472" w:type="dxa"/>
            <w:tcBorders>
              <w:top w:val="single" w:color="000000" w:sz="4" w:space="0"/>
              <w:left w:val="nil"/>
              <w:bottom w:val="single" w:color="000000" w:sz="4" w:space="0"/>
              <w:right w:val="single" w:color="000000" w:sz="4" w:space="0"/>
            </w:tcBorders>
            <w:shd w:val="clear" w:color="auto" w:fill="FFFFFF"/>
            <w:vAlign w:val="center"/>
          </w:tcPr>
          <w:p w14:paraId="2E4CDB65">
            <w:pPr>
              <w:widowControl/>
              <w:adjustRightInd w:val="0"/>
              <w:jc w:val="center"/>
              <w:textAlignment w:val="center"/>
              <w:rPr>
                <w:rFonts w:ascii="宋体" w:hAnsi="宋体" w:cs="宋体"/>
                <w:sz w:val="24"/>
              </w:rPr>
            </w:pPr>
            <w:r>
              <w:rPr>
                <w:rFonts w:hint="eastAsia" w:ascii="宋体" w:hAnsi="宋体" w:cs="宋体"/>
                <w:sz w:val="24"/>
              </w:rPr>
              <w:t>1台</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44287383">
            <w:pPr>
              <w:widowControl/>
              <w:adjustRightInd w:val="0"/>
              <w:jc w:val="center"/>
              <w:textAlignment w:val="center"/>
              <w:rPr>
                <w:rFonts w:ascii="宋体" w:hAnsi="宋体" w:cs="宋体"/>
                <w:sz w:val="24"/>
              </w:rPr>
            </w:pPr>
            <w:r>
              <w:rPr>
                <w:rFonts w:hint="eastAsia" w:ascii="宋体" w:hAnsi="宋体" w:cs="宋体"/>
                <w:sz w:val="24"/>
              </w:rPr>
              <w:t>260</w:t>
            </w:r>
          </w:p>
        </w:tc>
      </w:tr>
      <w:tr w14:paraId="3DFC84E9">
        <w:tblPrEx>
          <w:tblCellMar>
            <w:top w:w="0" w:type="dxa"/>
            <w:left w:w="108" w:type="dxa"/>
            <w:bottom w:w="0" w:type="dxa"/>
            <w:right w:w="108" w:type="dxa"/>
          </w:tblCellMar>
        </w:tblPrEx>
        <w:trPr>
          <w:trHeight w:val="330" w:hRule="atLeast"/>
          <w:jc w:val="center"/>
        </w:trPr>
        <w:tc>
          <w:tcPr>
            <w:tcW w:w="871" w:type="dxa"/>
            <w:vMerge w:val="continue"/>
            <w:tcBorders>
              <w:left w:val="single" w:color="000000" w:sz="4" w:space="0"/>
              <w:right w:val="single" w:color="000000" w:sz="4" w:space="0"/>
            </w:tcBorders>
            <w:shd w:val="clear" w:color="auto" w:fill="auto"/>
            <w:vAlign w:val="center"/>
          </w:tcPr>
          <w:p w14:paraId="6CDDA8C8">
            <w:pPr>
              <w:widowControl/>
              <w:adjustRightInd w:val="0"/>
              <w:jc w:val="center"/>
              <w:textAlignment w:val="center"/>
              <w:rPr>
                <w:rFonts w:ascii="宋体" w:hAnsi="宋体" w:cs="宋体"/>
                <w:b/>
                <w:bCs/>
                <w:sz w:val="24"/>
              </w:rPr>
            </w:pPr>
          </w:p>
        </w:tc>
        <w:tc>
          <w:tcPr>
            <w:tcW w:w="1676" w:type="dxa"/>
            <w:tcBorders>
              <w:top w:val="single" w:color="000000" w:sz="4" w:space="0"/>
              <w:left w:val="nil"/>
              <w:bottom w:val="single" w:color="000000" w:sz="4" w:space="0"/>
              <w:right w:val="single" w:color="000000" w:sz="4" w:space="0"/>
            </w:tcBorders>
            <w:shd w:val="clear" w:color="auto" w:fill="FFFFFF"/>
            <w:vAlign w:val="center"/>
          </w:tcPr>
          <w:p w14:paraId="4F430852">
            <w:pPr>
              <w:widowControl/>
              <w:adjustRightInd w:val="0"/>
              <w:jc w:val="center"/>
              <w:textAlignment w:val="center"/>
              <w:rPr>
                <w:rFonts w:ascii="宋体" w:hAnsi="宋体" w:cs="宋体"/>
                <w:sz w:val="24"/>
              </w:rPr>
            </w:pPr>
            <w:r>
              <w:rPr>
                <w:rFonts w:hint="eastAsia" w:ascii="宋体" w:hAnsi="宋体" w:cs="宋体"/>
                <w:sz w:val="24"/>
              </w:rPr>
              <w:t>主机安全加固</w:t>
            </w:r>
          </w:p>
        </w:tc>
        <w:tc>
          <w:tcPr>
            <w:tcW w:w="3953" w:type="dxa"/>
            <w:tcBorders>
              <w:top w:val="single" w:color="000000" w:sz="4" w:space="0"/>
              <w:left w:val="nil"/>
              <w:bottom w:val="single" w:color="000000" w:sz="4" w:space="0"/>
              <w:right w:val="single" w:color="000000" w:sz="4" w:space="0"/>
            </w:tcBorders>
            <w:shd w:val="clear" w:color="auto" w:fill="FFFFFF"/>
            <w:vAlign w:val="center"/>
          </w:tcPr>
          <w:p w14:paraId="72D20213">
            <w:pPr>
              <w:widowControl/>
              <w:adjustRightInd w:val="0"/>
              <w:textAlignment w:val="center"/>
              <w:rPr>
                <w:rFonts w:ascii="宋体" w:hAnsi="宋体" w:cs="宋体"/>
                <w:sz w:val="24"/>
              </w:rPr>
            </w:pPr>
            <w:r>
              <w:rPr>
                <w:rFonts w:hint="eastAsia" w:ascii="宋体" w:hAnsi="宋体" w:cs="宋体"/>
                <w:bCs/>
                <w:sz w:val="24"/>
                <w:lang w:bidi="ar"/>
              </w:rPr>
              <w:t>针对漏扫或等级测评结果对操作系统进行安全加固，用以解决等级测评结果中所显示的漏洞</w:t>
            </w:r>
          </w:p>
        </w:tc>
        <w:tc>
          <w:tcPr>
            <w:tcW w:w="1472" w:type="dxa"/>
            <w:tcBorders>
              <w:top w:val="single" w:color="000000" w:sz="4" w:space="0"/>
              <w:left w:val="nil"/>
              <w:bottom w:val="single" w:color="000000" w:sz="4" w:space="0"/>
              <w:right w:val="single" w:color="000000" w:sz="4" w:space="0"/>
            </w:tcBorders>
            <w:shd w:val="clear" w:color="auto" w:fill="FFFFFF"/>
            <w:vAlign w:val="center"/>
          </w:tcPr>
          <w:p w14:paraId="3A9392A4">
            <w:pPr>
              <w:widowControl/>
              <w:adjustRightInd w:val="0"/>
              <w:jc w:val="center"/>
              <w:textAlignment w:val="center"/>
              <w:rPr>
                <w:rFonts w:ascii="宋体" w:hAnsi="宋体" w:cs="宋体"/>
                <w:sz w:val="24"/>
              </w:rPr>
            </w:pPr>
            <w:r>
              <w:rPr>
                <w:rFonts w:hint="eastAsia" w:ascii="宋体" w:hAnsi="宋体" w:cs="宋体"/>
                <w:sz w:val="24"/>
              </w:rPr>
              <w:t>1台</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250BC0A2">
            <w:pPr>
              <w:widowControl/>
              <w:adjustRightInd w:val="0"/>
              <w:jc w:val="center"/>
              <w:textAlignment w:val="center"/>
              <w:rPr>
                <w:rFonts w:ascii="宋体" w:hAnsi="宋体" w:cs="宋体"/>
                <w:sz w:val="24"/>
              </w:rPr>
            </w:pPr>
            <w:r>
              <w:rPr>
                <w:rFonts w:hint="eastAsia" w:ascii="宋体" w:hAnsi="宋体" w:cs="宋体"/>
                <w:sz w:val="24"/>
              </w:rPr>
              <w:t>260</w:t>
            </w:r>
          </w:p>
        </w:tc>
      </w:tr>
      <w:tr w14:paraId="09ECCB16">
        <w:tblPrEx>
          <w:tblCellMar>
            <w:top w:w="0" w:type="dxa"/>
            <w:left w:w="108" w:type="dxa"/>
            <w:bottom w:w="0" w:type="dxa"/>
            <w:right w:w="108" w:type="dxa"/>
          </w:tblCellMar>
        </w:tblPrEx>
        <w:trPr>
          <w:trHeight w:val="660" w:hRule="atLeast"/>
          <w:jc w:val="center"/>
        </w:trPr>
        <w:tc>
          <w:tcPr>
            <w:tcW w:w="871" w:type="dxa"/>
            <w:vMerge w:val="continue"/>
            <w:tcBorders>
              <w:left w:val="single" w:color="000000" w:sz="4" w:space="0"/>
              <w:right w:val="single" w:color="000000" w:sz="4" w:space="0"/>
            </w:tcBorders>
            <w:shd w:val="clear" w:color="auto" w:fill="auto"/>
            <w:vAlign w:val="center"/>
          </w:tcPr>
          <w:p w14:paraId="197284C3">
            <w:pPr>
              <w:widowControl/>
              <w:adjustRightInd w:val="0"/>
              <w:jc w:val="center"/>
              <w:textAlignment w:val="center"/>
              <w:rPr>
                <w:rFonts w:ascii="宋体" w:hAnsi="宋体" w:cs="宋体"/>
                <w:b/>
                <w:bCs/>
                <w:sz w:val="24"/>
              </w:rPr>
            </w:pPr>
          </w:p>
        </w:tc>
        <w:tc>
          <w:tcPr>
            <w:tcW w:w="1676" w:type="dxa"/>
            <w:tcBorders>
              <w:top w:val="single" w:color="000000" w:sz="4" w:space="0"/>
              <w:left w:val="nil"/>
              <w:bottom w:val="single" w:color="000000" w:sz="4" w:space="0"/>
              <w:right w:val="single" w:color="000000" w:sz="4" w:space="0"/>
            </w:tcBorders>
            <w:shd w:val="clear" w:color="auto" w:fill="FFFFFF"/>
            <w:vAlign w:val="center"/>
          </w:tcPr>
          <w:p w14:paraId="01C029FB">
            <w:pPr>
              <w:widowControl/>
              <w:adjustRightInd w:val="0"/>
              <w:jc w:val="center"/>
              <w:textAlignment w:val="center"/>
              <w:rPr>
                <w:rFonts w:ascii="宋体" w:hAnsi="宋体" w:cs="宋体"/>
                <w:sz w:val="24"/>
              </w:rPr>
            </w:pPr>
            <w:r>
              <w:rPr>
                <w:rFonts w:hint="eastAsia" w:ascii="宋体" w:hAnsi="宋体" w:cs="宋体"/>
                <w:sz w:val="24"/>
              </w:rPr>
              <w:t>网页防篡改服务</w:t>
            </w:r>
          </w:p>
        </w:tc>
        <w:tc>
          <w:tcPr>
            <w:tcW w:w="3953" w:type="dxa"/>
            <w:tcBorders>
              <w:top w:val="single" w:color="000000" w:sz="4" w:space="0"/>
              <w:left w:val="nil"/>
              <w:bottom w:val="single" w:color="000000" w:sz="4" w:space="0"/>
              <w:right w:val="single" w:color="000000" w:sz="4" w:space="0"/>
            </w:tcBorders>
            <w:shd w:val="clear" w:color="auto" w:fill="FFFFFF"/>
            <w:vAlign w:val="center"/>
          </w:tcPr>
          <w:p w14:paraId="71963A49">
            <w:pPr>
              <w:widowControl/>
              <w:adjustRightInd w:val="0"/>
              <w:textAlignment w:val="center"/>
              <w:rPr>
                <w:rFonts w:ascii="宋体" w:hAnsi="宋体" w:cs="宋体"/>
                <w:sz w:val="24"/>
              </w:rPr>
            </w:pPr>
            <w:r>
              <w:rPr>
                <w:rFonts w:hint="eastAsia" w:ascii="宋体" w:hAnsi="宋体" w:cs="宋体"/>
                <w:bCs/>
                <w:sz w:val="24"/>
                <w:lang w:bidi="ar"/>
              </w:rPr>
              <w:t>通过防篡改软件对用户页面进行实时防护，减少用户页面被恶意篡改的可能性</w:t>
            </w:r>
          </w:p>
        </w:tc>
        <w:tc>
          <w:tcPr>
            <w:tcW w:w="1472" w:type="dxa"/>
            <w:tcBorders>
              <w:top w:val="single" w:color="000000" w:sz="4" w:space="0"/>
              <w:left w:val="nil"/>
              <w:bottom w:val="single" w:color="000000" w:sz="4" w:space="0"/>
              <w:right w:val="single" w:color="000000" w:sz="4" w:space="0"/>
            </w:tcBorders>
            <w:shd w:val="clear" w:color="auto" w:fill="FFFFFF"/>
            <w:vAlign w:val="center"/>
          </w:tcPr>
          <w:p w14:paraId="55622BC2">
            <w:pPr>
              <w:widowControl/>
              <w:adjustRightInd w:val="0"/>
              <w:jc w:val="center"/>
              <w:textAlignment w:val="center"/>
              <w:rPr>
                <w:rFonts w:ascii="宋体" w:hAnsi="宋体" w:cs="宋体"/>
                <w:sz w:val="24"/>
              </w:rPr>
            </w:pPr>
            <w:r>
              <w:rPr>
                <w:rFonts w:hint="eastAsia" w:ascii="宋体" w:hAnsi="宋体" w:cs="宋体"/>
                <w:sz w:val="24"/>
              </w:rPr>
              <w:t>1监控点</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28DA5642">
            <w:pPr>
              <w:widowControl/>
              <w:adjustRightInd w:val="0"/>
              <w:jc w:val="center"/>
              <w:textAlignment w:val="center"/>
              <w:rPr>
                <w:rFonts w:ascii="宋体" w:hAnsi="宋体" w:cs="宋体"/>
                <w:sz w:val="24"/>
              </w:rPr>
            </w:pPr>
            <w:r>
              <w:rPr>
                <w:rFonts w:hint="eastAsia" w:ascii="宋体" w:hAnsi="宋体" w:cs="宋体"/>
                <w:sz w:val="24"/>
              </w:rPr>
              <w:t>9</w:t>
            </w:r>
          </w:p>
        </w:tc>
      </w:tr>
      <w:tr w14:paraId="79B82E24">
        <w:tblPrEx>
          <w:tblCellMar>
            <w:top w:w="0" w:type="dxa"/>
            <w:left w:w="108" w:type="dxa"/>
            <w:bottom w:w="0" w:type="dxa"/>
            <w:right w:w="108" w:type="dxa"/>
          </w:tblCellMar>
        </w:tblPrEx>
        <w:trPr>
          <w:trHeight w:val="660" w:hRule="atLeast"/>
          <w:jc w:val="center"/>
        </w:trPr>
        <w:tc>
          <w:tcPr>
            <w:tcW w:w="871" w:type="dxa"/>
            <w:vMerge w:val="continue"/>
            <w:tcBorders>
              <w:left w:val="single" w:color="000000" w:sz="4" w:space="0"/>
              <w:right w:val="single" w:color="000000" w:sz="4" w:space="0"/>
            </w:tcBorders>
            <w:shd w:val="clear" w:color="auto" w:fill="auto"/>
            <w:vAlign w:val="center"/>
          </w:tcPr>
          <w:p w14:paraId="6D2F8F46">
            <w:pPr>
              <w:widowControl/>
              <w:adjustRightInd w:val="0"/>
              <w:jc w:val="center"/>
              <w:textAlignment w:val="center"/>
              <w:rPr>
                <w:rFonts w:ascii="宋体" w:hAnsi="宋体" w:cs="宋体"/>
                <w:b/>
                <w:bCs/>
                <w:sz w:val="24"/>
              </w:rPr>
            </w:pPr>
          </w:p>
        </w:tc>
        <w:tc>
          <w:tcPr>
            <w:tcW w:w="1676" w:type="dxa"/>
            <w:tcBorders>
              <w:top w:val="single" w:color="000000" w:sz="4" w:space="0"/>
              <w:left w:val="nil"/>
              <w:bottom w:val="single" w:color="000000" w:sz="4" w:space="0"/>
              <w:right w:val="single" w:color="000000" w:sz="4" w:space="0"/>
            </w:tcBorders>
            <w:shd w:val="clear" w:color="auto" w:fill="FFFFFF"/>
            <w:vAlign w:val="center"/>
          </w:tcPr>
          <w:p w14:paraId="58069A99">
            <w:pPr>
              <w:widowControl/>
              <w:adjustRightInd w:val="0"/>
              <w:jc w:val="center"/>
              <w:textAlignment w:val="center"/>
              <w:rPr>
                <w:rFonts w:ascii="宋体" w:hAnsi="宋体" w:cs="宋体"/>
                <w:sz w:val="24"/>
              </w:rPr>
            </w:pPr>
            <w:r>
              <w:rPr>
                <w:rFonts w:hint="eastAsia" w:ascii="宋体" w:hAnsi="宋体" w:cs="宋体"/>
                <w:sz w:val="24"/>
              </w:rPr>
              <w:t>主机日志分析</w:t>
            </w:r>
            <w:r>
              <w:rPr>
                <w:rFonts w:hint="eastAsia" w:ascii="宋体" w:hAnsi="宋体" w:cs="宋体"/>
                <w:bCs/>
                <w:sz w:val="24"/>
                <w:lang w:val="zh-CN"/>
              </w:rPr>
              <w:t>服务</w:t>
            </w:r>
          </w:p>
        </w:tc>
        <w:tc>
          <w:tcPr>
            <w:tcW w:w="3953" w:type="dxa"/>
            <w:tcBorders>
              <w:top w:val="single" w:color="000000" w:sz="4" w:space="0"/>
              <w:left w:val="nil"/>
              <w:bottom w:val="single" w:color="000000" w:sz="4" w:space="0"/>
              <w:right w:val="single" w:color="000000" w:sz="4" w:space="0"/>
            </w:tcBorders>
            <w:shd w:val="clear" w:color="auto" w:fill="FFFFFF"/>
            <w:vAlign w:val="center"/>
          </w:tcPr>
          <w:p w14:paraId="40D42D21">
            <w:pPr>
              <w:widowControl/>
              <w:adjustRightInd w:val="0"/>
              <w:textAlignment w:val="center"/>
              <w:rPr>
                <w:rFonts w:ascii="宋体" w:hAnsi="宋体" w:cs="宋体"/>
                <w:sz w:val="24"/>
              </w:rPr>
            </w:pPr>
            <w:r>
              <w:rPr>
                <w:rFonts w:hint="eastAsia" w:ascii="宋体" w:hAnsi="宋体" w:cs="宋体"/>
                <w:bCs/>
                <w:sz w:val="24"/>
                <w:lang w:bidi="ar"/>
              </w:rPr>
              <w:t>针对操作系统进行日志收集，并且进行分析，并将结果反馈给用户，用于了解主机安全情况及资源使用情况</w:t>
            </w:r>
          </w:p>
        </w:tc>
        <w:tc>
          <w:tcPr>
            <w:tcW w:w="1472" w:type="dxa"/>
            <w:tcBorders>
              <w:top w:val="single" w:color="000000" w:sz="4" w:space="0"/>
              <w:left w:val="nil"/>
              <w:bottom w:val="single" w:color="000000" w:sz="4" w:space="0"/>
              <w:right w:val="single" w:color="000000" w:sz="4" w:space="0"/>
            </w:tcBorders>
            <w:shd w:val="clear" w:color="auto" w:fill="FFFFFF"/>
            <w:vAlign w:val="center"/>
          </w:tcPr>
          <w:p w14:paraId="4D838573">
            <w:pPr>
              <w:widowControl/>
              <w:adjustRightInd w:val="0"/>
              <w:jc w:val="center"/>
              <w:textAlignment w:val="center"/>
              <w:rPr>
                <w:rFonts w:ascii="宋体" w:hAnsi="宋体" w:cs="宋体"/>
                <w:sz w:val="24"/>
              </w:rPr>
            </w:pPr>
            <w:r>
              <w:rPr>
                <w:rFonts w:hint="eastAsia" w:ascii="宋体" w:hAnsi="宋体" w:cs="宋体"/>
                <w:sz w:val="24"/>
              </w:rPr>
              <w:t>1台</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0AA65943">
            <w:pPr>
              <w:widowControl/>
              <w:adjustRightInd w:val="0"/>
              <w:jc w:val="center"/>
              <w:textAlignment w:val="center"/>
              <w:rPr>
                <w:rFonts w:ascii="宋体" w:hAnsi="宋体" w:cs="宋体"/>
                <w:sz w:val="24"/>
              </w:rPr>
            </w:pPr>
            <w:r>
              <w:rPr>
                <w:rFonts w:hint="eastAsia" w:ascii="宋体" w:hAnsi="宋体" w:cs="宋体"/>
                <w:sz w:val="24"/>
              </w:rPr>
              <w:t>130</w:t>
            </w:r>
          </w:p>
        </w:tc>
      </w:tr>
      <w:tr w14:paraId="5ABC1FE3">
        <w:tblPrEx>
          <w:tblCellMar>
            <w:top w:w="0" w:type="dxa"/>
            <w:left w:w="108" w:type="dxa"/>
            <w:bottom w:w="0" w:type="dxa"/>
            <w:right w:w="108" w:type="dxa"/>
          </w:tblCellMar>
        </w:tblPrEx>
        <w:trPr>
          <w:trHeight w:val="660" w:hRule="atLeast"/>
          <w:jc w:val="center"/>
        </w:trPr>
        <w:tc>
          <w:tcPr>
            <w:tcW w:w="871" w:type="dxa"/>
            <w:vMerge w:val="continue"/>
            <w:tcBorders>
              <w:left w:val="single" w:color="000000" w:sz="4" w:space="0"/>
              <w:right w:val="single" w:color="000000" w:sz="4" w:space="0"/>
            </w:tcBorders>
            <w:shd w:val="clear" w:color="auto" w:fill="auto"/>
            <w:vAlign w:val="center"/>
          </w:tcPr>
          <w:p w14:paraId="2C701201">
            <w:pPr>
              <w:widowControl/>
              <w:adjustRightInd w:val="0"/>
              <w:jc w:val="center"/>
              <w:textAlignment w:val="center"/>
              <w:rPr>
                <w:rFonts w:ascii="宋体" w:hAnsi="宋体" w:cs="宋体"/>
                <w:b/>
                <w:bCs/>
                <w:sz w:val="24"/>
              </w:rPr>
            </w:pPr>
          </w:p>
        </w:tc>
        <w:tc>
          <w:tcPr>
            <w:tcW w:w="1676" w:type="dxa"/>
            <w:tcBorders>
              <w:top w:val="single" w:color="000000" w:sz="4" w:space="0"/>
              <w:left w:val="nil"/>
              <w:bottom w:val="single" w:color="000000" w:sz="4" w:space="0"/>
              <w:right w:val="single" w:color="000000" w:sz="4" w:space="0"/>
            </w:tcBorders>
            <w:shd w:val="clear" w:color="auto" w:fill="FFFFFF"/>
            <w:vAlign w:val="center"/>
          </w:tcPr>
          <w:p w14:paraId="2BF47A3A">
            <w:pPr>
              <w:widowControl/>
              <w:adjustRightInd w:val="0"/>
              <w:jc w:val="center"/>
              <w:textAlignment w:val="center"/>
              <w:rPr>
                <w:rFonts w:ascii="宋体" w:hAnsi="宋体" w:cs="宋体"/>
                <w:sz w:val="24"/>
              </w:rPr>
            </w:pPr>
            <w:r>
              <w:rPr>
                <w:rFonts w:hint="eastAsia" w:ascii="宋体" w:hAnsi="宋体" w:cs="宋体"/>
                <w:sz w:val="24"/>
              </w:rPr>
              <w:t>数据库审计服务</w:t>
            </w:r>
          </w:p>
        </w:tc>
        <w:tc>
          <w:tcPr>
            <w:tcW w:w="3953" w:type="dxa"/>
            <w:tcBorders>
              <w:top w:val="single" w:color="000000" w:sz="4" w:space="0"/>
              <w:left w:val="nil"/>
              <w:bottom w:val="single" w:color="000000" w:sz="4" w:space="0"/>
              <w:right w:val="single" w:color="000000" w:sz="4" w:space="0"/>
            </w:tcBorders>
            <w:shd w:val="clear" w:color="auto" w:fill="FFFFFF"/>
            <w:vAlign w:val="center"/>
          </w:tcPr>
          <w:p w14:paraId="215C8CCB">
            <w:pPr>
              <w:widowControl/>
              <w:adjustRightInd w:val="0"/>
              <w:textAlignment w:val="center"/>
              <w:rPr>
                <w:rFonts w:ascii="宋体" w:hAnsi="宋体" w:cs="宋体"/>
                <w:sz w:val="24"/>
              </w:rPr>
            </w:pPr>
            <w:r>
              <w:rPr>
                <w:rFonts w:hint="eastAsia" w:ascii="宋体" w:hAnsi="宋体" w:cs="宋体"/>
                <w:sz w:val="24"/>
              </w:rPr>
              <w:t>在不影响数据库系统自身性能的前提下，实现对数据库的监控和保护，及时地发现网络上针对数据库的违规操作行为并进行记录、报警，有效地弥补现有应用业务系统在数据库安全使用上的不足，为数据库系统的安全运行提供有力保障</w:t>
            </w:r>
          </w:p>
        </w:tc>
        <w:tc>
          <w:tcPr>
            <w:tcW w:w="1472" w:type="dxa"/>
            <w:tcBorders>
              <w:top w:val="single" w:color="000000" w:sz="4" w:space="0"/>
              <w:left w:val="nil"/>
              <w:bottom w:val="single" w:color="000000" w:sz="4" w:space="0"/>
              <w:right w:val="single" w:color="000000" w:sz="4" w:space="0"/>
            </w:tcBorders>
            <w:shd w:val="clear" w:color="auto" w:fill="FFFFFF"/>
            <w:vAlign w:val="center"/>
          </w:tcPr>
          <w:p w14:paraId="6F8119EA">
            <w:pPr>
              <w:widowControl/>
              <w:adjustRightInd w:val="0"/>
              <w:jc w:val="center"/>
              <w:textAlignment w:val="center"/>
              <w:rPr>
                <w:rFonts w:ascii="宋体" w:hAnsi="宋体" w:cs="宋体"/>
                <w:sz w:val="24"/>
              </w:rPr>
            </w:pPr>
            <w:r>
              <w:rPr>
                <w:rFonts w:hint="eastAsia" w:ascii="宋体" w:hAnsi="宋体" w:cs="宋体"/>
                <w:sz w:val="24"/>
              </w:rPr>
              <w:t>1套</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785F9AC0">
            <w:pPr>
              <w:widowControl/>
              <w:adjustRightInd w:val="0"/>
              <w:jc w:val="center"/>
              <w:textAlignment w:val="center"/>
              <w:rPr>
                <w:rFonts w:ascii="宋体" w:hAnsi="宋体" w:cs="宋体"/>
                <w:sz w:val="24"/>
              </w:rPr>
            </w:pPr>
            <w:r>
              <w:rPr>
                <w:rFonts w:hint="eastAsia" w:ascii="宋体" w:hAnsi="宋体" w:cs="宋体"/>
                <w:sz w:val="24"/>
              </w:rPr>
              <w:t>16</w:t>
            </w:r>
          </w:p>
        </w:tc>
      </w:tr>
      <w:tr w14:paraId="705BCED8">
        <w:tblPrEx>
          <w:tblCellMar>
            <w:top w:w="0" w:type="dxa"/>
            <w:left w:w="108" w:type="dxa"/>
            <w:bottom w:w="0" w:type="dxa"/>
            <w:right w:w="108" w:type="dxa"/>
          </w:tblCellMar>
        </w:tblPrEx>
        <w:trPr>
          <w:trHeight w:val="660" w:hRule="atLeast"/>
          <w:jc w:val="center"/>
        </w:trPr>
        <w:tc>
          <w:tcPr>
            <w:tcW w:w="871" w:type="dxa"/>
            <w:vMerge w:val="continue"/>
            <w:tcBorders>
              <w:left w:val="single" w:color="000000" w:sz="4" w:space="0"/>
              <w:right w:val="single" w:color="000000" w:sz="4" w:space="0"/>
            </w:tcBorders>
            <w:shd w:val="clear" w:color="auto" w:fill="auto"/>
            <w:vAlign w:val="center"/>
          </w:tcPr>
          <w:p w14:paraId="08820091">
            <w:pPr>
              <w:widowControl/>
              <w:adjustRightInd w:val="0"/>
              <w:jc w:val="center"/>
              <w:textAlignment w:val="center"/>
              <w:rPr>
                <w:rFonts w:ascii="宋体" w:hAnsi="宋体" w:cs="宋体"/>
                <w:b/>
                <w:bCs/>
                <w:sz w:val="24"/>
              </w:rPr>
            </w:pPr>
          </w:p>
        </w:tc>
        <w:tc>
          <w:tcPr>
            <w:tcW w:w="1676" w:type="dxa"/>
            <w:tcBorders>
              <w:top w:val="single" w:color="000000" w:sz="4" w:space="0"/>
              <w:left w:val="nil"/>
              <w:bottom w:val="single" w:color="000000" w:sz="4" w:space="0"/>
              <w:right w:val="single" w:color="000000" w:sz="4" w:space="0"/>
            </w:tcBorders>
            <w:shd w:val="clear" w:color="auto" w:fill="FFFFFF"/>
            <w:vAlign w:val="center"/>
          </w:tcPr>
          <w:p w14:paraId="339DFF60">
            <w:pPr>
              <w:widowControl/>
              <w:adjustRightInd w:val="0"/>
              <w:jc w:val="center"/>
              <w:textAlignment w:val="center"/>
              <w:rPr>
                <w:rFonts w:ascii="宋体" w:hAnsi="宋体" w:cs="宋体"/>
                <w:sz w:val="24"/>
              </w:rPr>
            </w:pPr>
            <w:r>
              <w:rPr>
                <w:rFonts w:hint="eastAsia" w:ascii="宋体" w:hAnsi="宋体" w:cs="宋体"/>
                <w:sz w:val="24"/>
              </w:rPr>
              <w:t>云端APT防护服务</w:t>
            </w:r>
          </w:p>
        </w:tc>
        <w:tc>
          <w:tcPr>
            <w:tcW w:w="3953" w:type="dxa"/>
            <w:tcBorders>
              <w:top w:val="single" w:color="000000" w:sz="4" w:space="0"/>
              <w:left w:val="nil"/>
              <w:bottom w:val="single" w:color="000000" w:sz="4" w:space="0"/>
              <w:right w:val="single" w:color="000000" w:sz="4" w:space="0"/>
            </w:tcBorders>
            <w:shd w:val="clear" w:color="auto" w:fill="FFFFFF"/>
            <w:vAlign w:val="center"/>
          </w:tcPr>
          <w:p w14:paraId="469A90BC">
            <w:pPr>
              <w:widowControl/>
              <w:adjustRightInd w:val="0"/>
              <w:rPr>
                <w:rFonts w:ascii="宋体" w:hAnsi="宋体" w:cs="宋体"/>
                <w:sz w:val="24"/>
              </w:rPr>
            </w:pPr>
            <w:r>
              <w:rPr>
                <w:rFonts w:hint="eastAsia" w:ascii="宋体" w:hAnsi="宋体" w:cs="宋体"/>
                <w:bCs/>
                <w:sz w:val="24"/>
              </w:rPr>
              <w:t>通过对流量进行深度解析，发现流量中的恶意攻击，提供了全面的检测和预警的能力。</w:t>
            </w:r>
          </w:p>
        </w:tc>
        <w:tc>
          <w:tcPr>
            <w:tcW w:w="1472" w:type="dxa"/>
            <w:tcBorders>
              <w:top w:val="single" w:color="000000" w:sz="4" w:space="0"/>
              <w:left w:val="nil"/>
              <w:bottom w:val="single" w:color="000000" w:sz="4" w:space="0"/>
              <w:right w:val="single" w:color="000000" w:sz="4" w:space="0"/>
            </w:tcBorders>
            <w:shd w:val="clear" w:color="auto" w:fill="FFFFFF"/>
            <w:vAlign w:val="center"/>
          </w:tcPr>
          <w:p w14:paraId="2D6442D8">
            <w:pPr>
              <w:widowControl/>
              <w:adjustRightInd w:val="0"/>
              <w:jc w:val="center"/>
              <w:textAlignment w:val="center"/>
              <w:rPr>
                <w:rFonts w:ascii="宋体" w:hAnsi="宋体" w:cs="宋体"/>
                <w:sz w:val="24"/>
              </w:rPr>
            </w:pPr>
            <w:r>
              <w:rPr>
                <w:rFonts w:hint="eastAsia" w:ascii="宋体" w:hAnsi="宋体" w:cs="宋体"/>
                <w:sz w:val="24"/>
              </w:rPr>
              <w:t>1套</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05567908">
            <w:pPr>
              <w:widowControl/>
              <w:adjustRightInd w:val="0"/>
              <w:jc w:val="center"/>
              <w:textAlignment w:val="center"/>
              <w:rPr>
                <w:rFonts w:ascii="宋体" w:hAnsi="宋体" w:cs="宋体"/>
                <w:sz w:val="24"/>
              </w:rPr>
            </w:pPr>
            <w:r>
              <w:rPr>
                <w:rFonts w:hint="eastAsia" w:ascii="宋体" w:hAnsi="宋体" w:cs="宋体"/>
                <w:sz w:val="24"/>
              </w:rPr>
              <w:t>9</w:t>
            </w:r>
          </w:p>
        </w:tc>
      </w:tr>
      <w:tr w14:paraId="22687E71">
        <w:tblPrEx>
          <w:tblCellMar>
            <w:top w:w="0" w:type="dxa"/>
            <w:left w:w="108" w:type="dxa"/>
            <w:bottom w:w="0" w:type="dxa"/>
            <w:right w:w="108" w:type="dxa"/>
          </w:tblCellMar>
        </w:tblPrEx>
        <w:trPr>
          <w:trHeight w:val="660" w:hRule="atLeast"/>
          <w:jc w:val="center"/>
        </w:trPr>
        <w:tc>
          <w:tcPr>
            <w:tcW w:w="871" w:type="dxa"/>
            <w:vMerge w:val="continue"/>
            <w:tcBorders>
              <w:left w:val="single" w:color="000000" w:sz="4" w:space="0"/>
              <w:right w:val="single" w:color="000000" w:sz="4" w:space="0"/>
            </w:tcBorders>
            <w:shd w:val="clear" w:color="auto" w:fill="auto"/>
            <w:vAlign w:val="center"/>
          </w:tcPr>
          <w:p w14:paraId="45F70E97">
            <w:pPr>
              <w:widowControl/>
              <w:adjustRightInd w:val="0"/>
              <w:jc w:val="center"/>
              <w:textAlignment w:val="center"/>
              <w:rPr>
                <w:rFonts w:ascii="宋体" w:hAnsi="宋体" w:cs="宋体"/>
                <w:b/>
                <w:bCs/>
                <w:sz w:val="24"/>
              </w:rPr>
            </w:pPr>
          </w:p>
        </w:tc>
        <w:tc>
          <w:tcPr>
            <w:tcW w:w="1676" w:type="dxa"/>
            <w:tcBorders>
              <w:top w:val="single" w:color="000000" w:sz="4" w:space="0"/>
              <w:left w:val="nil"/>
              <w:bottom w:val="single" w:color="000000" w:sz="4" w:space="0"/>
              <w:right w:val="single" w:color="000000" w:sz="4" w:space="0"/>
            </w:tcBorders>
            <w:shd w:val="clear" w:color="auto" w:fill="FFFFFF"/>
            <w:vAlign w:val="center"/>
          </w:tcPr>
          <w:p w14:paraId="7A267A36">
            <w:pPr>
              <w:widowControl/>
              <w:adjustRightInd w:val="0"/>
              <w:jc w:val="center"/>
              <w:textAlignment w:val="center"/>
              <w:rPr>
                <w:rFonts w:ascii="宋体" w:hAnsi="宋体" w:cs="宋体"/>
                <w:sz w:val="24"/>
              </w:rPr>
            </w:pPr>
            <w:r>
              <w:rPr>
                <w:rFonts w:hint="eastAsia" w:ascii="宋体" w:hAnsi="宋体" w:cs="宋体"/>
                <w:sz w:val="24"/>
              </w:rPr>
              <w:t>云端抗DDOS服务</w:t>
            </w:r>
          </w:p>
        </w:tc>
        <w:tc>
          <w:tcPr>
            <w:tcW w:w="3953" w:type="dxa"/>
            <w:tcBorders>
              <w:top w:val="single" w:color="000000" w:sz="4" w:space="0"/>
              <w:left w:val="nil"/>
              <w:bottom w:val="single" w:color="000000" w:sz="4" w:space="0"/>
              <w:right w:val="single" w:color="000000" w:sz="4" w:space="0"/>
            </w:tcBorders>
            <w:shd w:val="clear" w:color="auto" w:fill="FFFFFF"/>
            <w:vAlign w:val="center"/>
          </w:tcPr>
          <w:p w14:paraId="225B59D1">
            <w:pPr>
              <w:widowControl/>
              <w:adjustRightInd w:val="0"/>
              <w:textAlignment w:val="center"/>
              <w:rPr>
                <w:rFonts w:ascii="宋体" w:hAnsi="宋体" w:cs="宋体"/>
                <w:sz w:val="24"/>
              </w:rPr>
            </w:pPr>
            <w:r>
              <w:rPr>
                <w:rFonts w:hint="eastAsia" w:ascii="宋体" w:hAnsi="宋体" w:cs="宋体"/>
                <w:bCs/>
                <w:sz w:val="24"/>
              </w:rPr>
              <w:t>提供</w:t>
            </w:r>
            <w:r>
              <w:rPr>
                <w:rFonts w:hint="eastAsia" w:ascii="宋体" w:hAnsi="宋体" w:cs="宋体"/>
                <w:sz w:val="24"/>
              </w:rPr>
              <w:t>云端抗DDOS服务</w:t>
            </w:r>
            <w:r>
              <w:rPr>
                <w:rFonts w:hint="eastAsia" w:ascii="宋体" w:hAnsi="宋体" w:cs="宋体"/>
                <w:bCs/>
                <w:sz w:val="24"/>
              </w:rPr>
              <w:t>避免业务遭受拒绝服务攻击</w:t>
            </w:r>
          </w:p>
        </w:tc>
        <w:tc>
          <w:tcPr>
            <w:tcW w:w="1472" w:type="dxa"/>
            <w:tcBorders>
              <w:top w:val="single" w:color="000000" w:sz="4" w:space="0"/>
              <w:left w:val="nil"/>
              <w:bottom w:val="single" w:color="000000" w:sz="4" w:space="0"/>
              <w:right w:val="single" w:color="000000" w:sz="4" w:space="0"/>
            </w:tcBorders>
            <w:shd w:val="clear" w:color="auto" w:fill="FFFFFF"/>
            <w:vAlign w:val="center"/>
          </w:tcPr>
          <w:p w14:paraId="40677ACA">
            <w:pPr>
              <w:widowControl/>
              <w:adjustRightInd w:val="0"/>
              <w:jc w:val="center"/>
              <w:textAlignment w:val="center"/>
              <w:rPr>
                <w:rFonts w:ascii="宋体" w:hAnsi="宋体" w:cs="宋体"/>
                <w:sz w:val="24"/>
              </w:rPr>
            </w:pPr>
            <w:r>
              <w:rPr>
                <w:rFonts w:hint="eastAsia" w:ascii="宋体" w:hAnsi="宋体" w:cs="宋体"/>
                <w:sz w:val="24"/>
              </w:rPr>
              <w:t>1站点</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45747213">
            <w:pPr>
              <w:widowControl/>
              <w:adjustRightInd w:val="0"/>
              <w:jc w:val="center"/>
              <w:textAlignment w:val="center"/>
              <w:rPr>
                <w:rFonts w:ascii="宋体" w:hAnsi="宋体" w:cs="宋体"/>
                <w:sz w:val="24"/>
              </w:rPr>
            </w:pPr>
            <w:r>
              <w:rPr>
                <w:rFonts w:hint="eastAsia" w:ascii="宋体" w:hAnsi="宋体" w:cs="宋体"/>
                <w:sz w:val="24"/>
              </w:rPr>
              <w:t>1</w:t>
            </w:r>
          </w:p>
        </w:tc>
      </w:tr>
      <w:tr w14:paraId="7203FEFF">
        <w:tblPrEx>
          <w:tblCellMar>
            <w:top w:w="0" w:type="dxa"/>
            <w:left w:w="108" w:type="dxa"/>
            <w:bottom w:w="0" w:type="dxa"/>
            <w:right w:w="108" w:type="dxa"/>
          </w:tblCellMar>
        </w:tblPrEx>
        <w:trPr>
          <w:trHeight w:val="660" w:hRule="atLeast"/>
          <w:jc w:val="center"/>
        </w:trPr>
        <w:tc>
          <w:tcPr>
            <w:tcW w:w="871" w:type="dxa"/>
            <w:tcBorders>
              <w:left w:val="single" w:color="000000" w:sz="4" w:space="0"/>
              <w:right w:val="single" w:color="000000" w:sz="4" w:space="0"/>
            </w:tcBorders>
            <w:shd w:val="clear" w:color="auto" w:fill="auto"/>
            <w:vAlign w:val="center"/>
          </w:tcPr>
          <w:p w14:paraId="2B7A5C0A">
            <w:pPr>
              <w:widowControl/>
              <w:adjustRightInd w:val="0"/>
              <w:jc w:val="center"/>
              <w:textAlignment w:val="center"/>
              <w:rPr>
                <w:rFonts w:ascii="宋体" w:hAnsi="宋体" w:cs="宋体"/>
                <w:b/>
                <w:bCs/>
                <w:sz w:val="24"/>
              </w:rPr>
            </w:pPr>
          </w:p>
        </w:tc>
        <w:tc>
          <w:tcPr>
            <w:tcW w:w="1676" w:type="dxa"/>
            <w:tcBorders>
              <w:top w:val="single" w:color="000000" w:sz="4" w:space="0"/>
              <w:left w:val="nil"/>
              <w:bottom w:val="single" w:color="000000" w:sz="4" w:space="0"/>
              <w:right w:val="single" w:color="000000" w:sz="4" w:space="0"/>
            </w:tcBorders>
            <w:shd w:val="clear" w:color="auto" w:fill="FFFFFF"/>
            <w:vAlign w:val="center"/>
          </w:tcPr>
          <w:p w14:paraId="57DBAEF6">
            <w:pPr>
              <w:widowControl/>
              <w:adjustRightInd w:val="0"/>
              <w:jc w:val="center"/>
              <w:textAlignment w:val="center"/>
              <w:rPr>
                <w:rFonts w:ascii="宋体" w:hAnsi="宋体" w:cs="宋体"/>
                <w:sz w:val="24"/>
              </w:rPr>
            </w:pPr>
            <w:r>
              <w:rPr>
                <w:rFonts w:hint="eastAsia" w:ascii="宋体" w:hAnsi="宋体" w:cs="宋体"/>
                <w:sz w:val="24"/>
              </w:rPr>
              <w:t>对象存储服务</w:t>
            </w:r>
          </w:p>
        </w:tc>
        <w:tc>
          <w:tcPr>
            <w:tcW w:w="3953" w:type="dxa"/>
            <w:tcBorders>
              <w:top w:val="single" w:color="000000" w:sz="4" w:space="0"/>
              <w:left w:val="nil"/>
              <w:bottom w:val="single" w:color="000000" w:sz="4" w:space="0"/>
              <w:right w:val="single" w:color="000000" w:sz="4" w:space="0"/>
            </w:tcBorders>
            <w:shd w:val="clear" w:color="auto" w:fill="FFFFFF"/>
            <w:vAlign w:val="center"/>
          </w:tcPr>
          <w:p w14:paraId="58C66706">
            <w:pPr>
              <w:widowControl/>
              <w:adjustRightInd w:val="0"/>
              <w:textAlignment w:val="center"/>
              <w:rPr>
                <w:rFonts w:ascii="宋体" w:hAnsi="宋体" w:cs="宋体"/>
                <w:bCs/>
                <w:sz w:val="24"/>
              </w:rPr>
            </w:pPr>
            <w:r>
              <w:rPr>
                <w:rFonts w:hint="eastAsia" w:ascii="宋体" w:hAnsi="宋体" w:cs="宋体"/>
                <w:bCs/>
                <w:sz w:val="24"/>
              </w:rPr>
              <w:t>对象存储服务</w:t>
            </w:r>
          </w:p>
        </w:tc>
        <w:tc>
          <w:tcPr>
            <w:tcW w:w="1472" w:type="dxa"/>
            <w:tcBorders>
              <w:top w:val="single" w:color="000000" w:sz="4" w:space="0"/>
              <w:left w:val="nil"/>
              <w:bottom w:val="single" w:color="000000" w:sz="4" w:space="0"/>
              <w:right w:val="single" w:color="000000" w:sz="4" w:space="0"/>
            </w:tcBorders>
            <w:shd w:val="clear" w:color="auto" w:fill="FFFFFF"/>
            <w:vAlign w:val="center"/>
          </w:tcPr>
          <w:p w14:paraId="2D07FDD7">
            <w:pPr>
              <w:widowControl/>
              <w:adjustRightInd w:val="0"/>
              <w:jc w:val="center"/>
              <w:textAlignment w:val="center"/>
              <w:rPr>
                <w:rFonts w:ascii="宋体" w:hAnsi="宋体" w:cs="宋体"/>
                <w:sz w:val="24"/>
              </w:rPr>
            </w:pPr>
            <w:r>
              <w:rPr>
                <w:rFonts w:hint="eastAsia" w:ascii="宋体" w:hAnsi="宋体" w:cs="宋体"/>
                <w:sz w:val="24"/>
              </w:rPr>
              <w:t>1GB</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2C57D534">
            <w:pPr>
              <w:widowControl/>
              <w:adjustRightInd w:val="0"/>
              <w:jc w:val="center"/>
              <w:textAlignment w:val="center"/>
              <w:rPr>
                <w:rFonts w:ascii="宋体" w:hAnsi="宋体" w:cs="宋体"/>
                <w:sz w:val="24"/>
              </w:rPr>
            </w:pPr>
            <w:r>
              <w:rPr>
                <w:rFonts w:hint="eastAsia" w:ascii="宋体" w:hAnsi="宋体" w:cs="宋体"/>
                <w:sz w:val="24"/>
              </w:rPr>
              <w:t>30000</w:t>
            </w:r>
          </w:p>
        </w:tc>
      </w:tr>
      <w:tr w14:paraId="4088F680">
        <w:tblPrEx>
          <w:tblCellMar>
            <w:top w:w="0" w:type="dxa"/>
            <w:left w:w="108" w:type="dxa"/>
            <w:bottom w:w="0" w:type="dxa"/>
            <w:right w:w="108" w:type="dxa"/>
          </w:tblCellMar>
        </w:tblPrEx>
        <w:trPr>
          <w:trHeight w:val="660" w:hRule="atLeast"/>
          <w:jc w:val="center"/>
        </w:trPr>
        <w:tc>
          <w:tcPr>
            <w:tcW w:w="871" w:type="dxa"/>
            <w:tcBorders>
              <w:left w:val="single" w:color="000000" w:sz="4" w:space="0"/>
              <w:bottom w:val="single" w:color="000000" w:sz="4" w:space="0"/>
              <w:right w:val="single" w:color="000000" w:sz="4" w:space="0"/>
            </w:tcBorders>
            <w:shd w:val="clear" w:color="auto" w:fill="auto"/>
            <w:vAlign w:val="center"/>
          </w:tcPr>
          <w:p w14:paraId="6860B449">
            <w:pPr>
              <w:widowControl/>
              <w:adjustRightInd w:val="0"/>
              <w:jc w:val="center"/>
              <w:textAlignment w:val="center"/>
              <w:rPr>
                <w:rFonts w:ascii="宋体" w:hAnsi="宋体" w:cs="宋体"/>
                <w:b/>
                <w:bCs/>
                <w:sz w:val="24"/>
              </w:rPr>
            </w:pPr>
          </w:p>
        </w:tc>
        <w:tc>
          <w:tcPr>
            <w:tcW w:w="1676" w:type="dxa"/>
            <w:tcBorders>
              <w:top w:val="single" w:color="000000" w:sz="4" w:space="0"/>
              <w:left w:val="nil"/>
              <w:bottom w:val="single" w:color="000000" w:sz="4" w:space="0"/>
              <w:right w:val="single" w:color="000000" w:sz="4" w:space="0"/>
            </w:tcBorders>
            <w:shd w:val="clear" w:color="auto" w:fill="FFFFFF"/>
            <w:vAlign w:val="center"/>
          </w:tcPr>
          <w:p w14:paraId="752CF08F">
            <w:pPr>
              <w:widowControl/>
              <w:adjustRightInd w:val="0"/>
              <w:jc w:val="center"/>
              <w:textAlignment w:val="center"/>
              <w:rPr>
                <w:rFonts w:ascii="宋体" w:hAnsi="宋体" w:cs="宋体"/>
                <w:sz w:val="24"/>
              </w:rPr>
            </w:pPr>
            <w:r>
              <w:rPr>
                <w:rFonts w:hint="eastAsia" w:ascii="宋体" w:hAnsi="宋体" w:cs="宋体"/>
                <w:sz w:val="24"/>
              </w:rPr>
              <w:t>数据</w:t>
            </w:r>
            <w:r>
              <w:rPr>
                <w:rFonts w:hint="eastAsia" w:ascii="宋体" w:hAnsi="宋体" w:cs="宋体"/>
                <w:sz w:val="24"/>
                <w:lang w:val="en-US" w:eastAsia="zh-CN"/>
              </w:rPr>
              <w:t>传输</w:t>
            </w:r>
            <w:r>
              <w:rPr>
                <w:rFonts w:hint="eastAsia" w:ascii="宋体" w:hAnsi="宋体" w:cs="宋体"/>
                <w:sz w:val="24"/>
              </w:rPr>
              <w:t>服务</w:t>
            </w:r>
          </w:p>
        </w:tc>
        <w:tc>
          <w:tcPr>
            <w:tcW w:w="3953" w:type="dxa"/>
            <w:tcBorders>
              <w:top w:val="single" w:color="000000" w:sz="4" w:space="0"/>
              <w:left w:val="nil"/>
              <w:bottom w:val="single" w:color="000000" w:sz="4" w:space="0"/>
              <w:right w:val="single" w:color="000000" w:sz="4" w:space="0"/>
            </w:tcBorders>
            <w:shd w:val="clear" w:color="auto" w:fill="FFFFFF"/>
            <w:vAlign w:val="center"/>
          </w:tcPr>
          <w:p w14:paraId="1E582829">
            <w:pPr>
              <w:widowControl/>
              <w:adjustRightInd w:val="0"/>
              <w:textAlignment w:val="center"/>
              <w:rPr>
                <w:rFonts w:ascii="宋体" w:hAnsi="宋体" w:cs="宋体"/>
                <w:bCs/>
                <w:sz w:val="24"/>
              </w:rPr>
            </w:pPr>
            <w:r>
              <w:rPr>
                <w:rFonts w:hint="eastAsia" w:ascii="宋体" w:hAnsi="宋体" w:cs="宋体"/>
                <w:bCs/>
                <w:sz w:val="24"/>
              </w:rPr>
              <w:t>在安全隔离的基础上，实现精细控制数据流向，提供不同级别网络间安全可控的请求转发或数据摆渡，确保数据的机密性、完整性和可信性。</w:t>
            </w:r>
          </w:p>
        </w:tc>
        <w:tc>
          <w:tcPr>
            <w:tcW w:w="1472" w:type="dxa"/>
            <w:tcBorders>
              <w:top w:val="single" w:color="000000" w:sz="4" w:space="0"/>
              <w:left w:val="nil"/>
              <w:bottom w:val="single" w:color="000000" w:sz="4" w:space="0"/>
              <w:right w:val="single" w:color="000000" w:sz="4" w:space="0"/>
            </w:tcBorders>
            <w:shd w:val="clear" w:color="auto" w:fill="FFFFFF"/>
            <w:vAlign w:val="center"/>
          </w:tcPr>
          <w:p w14:paraId="5D74F0D3">
            <w:pPr>
              <w:widowControl/>
              <w:adjustRightInd w:val="0"/>
              <w:jc w:val="center"/>
              <w:textAlignment w:val="center"/>
              <w:rPr>
                <w:rFonts w:ascii="宋体" w:hAnsi="宋体" w:cs="宋体"/>
                <w:sz w:val="24"/>
              </w:rPr>
            </w:pPr>
            <w:r>
              <w:rPr>
                <w:rFonts w:hint="eastAsia" w:ascii="宋体" w:hAnsi="宋体" w:cs="宋体"/>
                <w:sz w:val="24"/>
              </w:rPr>
              <w:t>1对前端</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24D7F491">
            <w:pPr>
              <w:widowControl/>
              <w:adjustRightInd w:val="0"/>
              <w:jc w:val="center"/>
              <w:textAlignment w:val="center"/>
              <w:rPr>
                <w:rFonts w:ascii="宋体" w:hAnsi="宋体" w:cs="宋体"/>
                <w:sz w:val="24"/>
              </w:rPr>
            </w:pPr>
            <w:r>
              <w:rPr>
                <w:rFonts w:hint="eastAsia" w:ascii="宋体" w:hAnsi="宋体" w:cs="宋体"/>
                <w:sz w:val="24"/>
              </w:rPr>
              <w:t>1</w:t>
            </w:r>
          </w:p>
        </w:tc>
      </w:tr>
    </w:tbl>
    <w:p w14:paraId="59E26D5D">
      <w:pPr>
        <w:pStyle w:val="8"/>
        <w:adjustRightInd w:val="0"/>
        <w:spacing w:line="360" w:lineRule="auto"/>
        <w:ind w:firstLine="424" w:firstLineChars="177"/>
        <w:contextualSpacing/>
        <w:jc w:val="left"/>
        <w:rPr>
          <w:rFonts w:ascii="宋体" w:hAnsi="宋体" w:cs="宋体"/>
          <w:bCs/>
          <w:sz w:val="24"/>
          <w:szCs w:val="24"/>
        </w:rPr>
      </w:pPr>
    </w:p>
    <w:p w14:paraId="77D446BD">
      <w:pPr>
        <w:pStyle w:val="9"/>
        <w:ind w:firstLineChars="200"/>
        <w:rPr>
          <w:rFonts w:ascii="宋体" w:hAnsi="宋体" w:cs="宋体"/>
          <w:sz w:val="24"/>
          <w:lang w:val="zh-CN"/>
        </w:rPr>
      </w:pPr>
      <w:r>
        <w:rPr>
          <w:rFonts w:hint="eastAsia" w:ascii="宋体" w:hAnsi="宋体" w:cs="宋体"/>
          <w:sz w:val="24"/>
        </w:rPr>
        <w:t>2.3</w:t>
      </w:r>
      <w:r>
        <w:rPr>
          <w:rFonts w:hint="eastAsia" w:ascii="宋体" w:hAnsi="宋体" w:cs="宋体"/>
          <w:sz w:val="24"/>
          <w:lang w:val="zh-CN"/>
        </w:rPr>
        <w:t>基础安全保障服务清单</w:t>
      </w:r>
    </w:p>
    <w:p w14:paraId="2E4F2D68">
      <w:pPr>
        <w:pStyle w:val="9"/>
        <w:ind w:firstLineChars="200"/>
        <w:rPr>
          <w:rFonts w:ascii="宋体" w:hAnsi="宋体" w:cs="宋体"/>
          <w:sz w:val="24"/>
          <w:lang w:val="zh-CN"/>
        </w:rPr>
      </w:pPr>
    </w:p>
    <w:tbl>
      <w:tblPr>
        <w:tblStyle w:val="6"/>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2257"/>
        <w:gridCol w:w="5002"/>
      </w:tblGrid>
      <w:tr w14:paraId="6F75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shd w:val="clear" w:color="auto" w:fill="D7D7D7"/>
            <w:vAlign w:val="center"/>
          </w:tcPr>
          <w:p w14:paraId="5CFB0F6C">
            <w:pPr>
              <w:snapToGrid w:val="0"/>
              <w:spacing w:line="400" w:lineRule="exact"/>
              <w:contextualSpacing/>
              <w:jc w:val="center"/>
              <w:rPr>
                <w:rFonts w:ascii="宋体" w:hAnsi="宋体" w:cs="宋体"/>
                <w:sz w:val="24"/>
                <w:lang w:val="zh-CN"/>
              </w:rPr>
            </w:pPr>
            <w:r>
              <w:rPr>
                <w:rFonts w:hint="eastAsia" w:ascii="宋体" w:hAnsi="宋体" w:cs="宋体"/>
                <w:sz w:val="24"/>
              </w:rPr>
              <w:t>服务类别</w:t>
            </w:r>
          </w:p>
        </w:tc>
        <w:tc>
          <w:tcPr>
            <w:tcW w:w="2257" w:type="dxa"/>
            <w:shd w:val="clear" w:color="auto" w:fill="D7D7D7"/>
            <w:vAlign w:val="center"/>
          </w:tcPr>
          <w:p w14:paraId="2966D9A6">
            <w:pPr>
              <w:snapToGrid w:val="0"/>
              <w:spacing w:line="400" w:lineRule="exact"/>
              <w:contextualSpacing/>
              <w:jc w:val="center"/>
              <w:rPr>
                <w:rFonts w:ascii="宋体" w:hAnsi="宋体" w:cs="宋体"/>
                <w:sz w:val="24"/>
                <w:lang w:val="zh-CN"/>
              </w:rPr>
            </w:pPr>
            <w:r>
              <w:rPr>
                <w:rFonts w:hint="eastAsia" w:ascii="宋体" w:hAnsi="宋体" w:cs="宋体"/>
                <w:sz w:val="24"/>
              </w:rPr>
              <w:t>服务目录</w:t>
            </w:r>
          </w:p>
        </w:tc>
        <w:tc>
          <w:tcPr>
            <w:tcW w:w="5002" w:type="dxa"/>
            <w:shd w:val="clear" w:color="auto" w:fill="D7D7D7"/>
            <w:vAlign w:val="center"/>
          </w:tcPr>
          <w:p w14:paraId="159F887A">
            <w:pPr>
              <w:snapToGrid w:val="0"/>
              <w:spacing w:line="400" w:lineRule="exact"/>
              <w:contextualSpacing/>
              <w:jc w:val="center"/>
              <w:rPr>
                <w:rFonts w:ascii="宋体" w:hAnsi="宋体" w:cs="宋体"/>
                <w:sz w:val="24"/>
                <w:lang w:val="zh-CN"/>
              </w:rPr>
            </w:pPr>
            <w:r>
              <w:rPr>
                <w:rFonts w:hint="eastAsia" w:ascii="宋体" w:hAnsi="宋体" w:cs="宋体"/>
                <w:sz w:val="24"/>
              </w:rPr>
              <w:t>服务项</w:t>
            </w:r>
          </w:p>
        </w:tc>
      </w:tr>
      <w:tr w14:paraId="29FAB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restart"/>
            <w:vAlign w:val="center"/>
          </w:tcPr>
          <w:p w14:paraId="59080C82">
            <w:pPr>
              <w:snapToGrid w:val="0"/>
              <w:spacing w:line="400" w:lineRule="exact"/>
              <w:contextualSpacing/>
              <w:jc w:val="center"/>
              <w:rPr>
                <w:rFonts w:ascii="宋体" w:hAnsi="宋体" w:cs="宋体"/>
                <w:sz w:val="24"/>
                <w:lang w:val="zh-CN"/>
              </w:rPr>
            </w:pPr>
            <w:r>
              <w:rPr>
                <w:rFonts w:hint="eastAsia" w:ascii="宋体" w:hAnsi="宋体" w:cs="宋体"/>
                <w:sz w:val="24"/>
              </w:rPr>
              <w:t>安全管理服务</w:t>
            </w:r>
          </w:p>
        </w:tc>
        <w:tc>
          <w:tcPr>
            <w:tcW w:w="2257" w:type="dxa"/>
            <w:vAlign w:val="center"/>
          </w:tcPr>
          <w:p w14:paraId="6A9E7F4E">
            <w:pPr>
              <w:snapToGrid w:val="0"/>
              <w:spacing w:line="400" w:lineRule="exact"/>
              <w:contextualSpacing/>
              <w:rPr>
                <w:rFonts w:ascii="宋体" w:hAnsi="宋体" w:cs="宋体"/>
                <w:sz w:val="24"/>
                <w:lang w:val="zh-CN"/>
              </w:rPr>
            </w:pPr>
            <w:r>
              <w:rPr>
                <w:rFonts w:hint="eastAsia" w:ascii="宋体" w:hAnsi="宋体" w:cs="宋体"/>
                <w:sz w:val="24"/>
              </w:rPr>
              <w:t>运维人员管理</w:t>
            </w:r>
          </w:p>
        </w:tc>
        <w:tc>
          <w:tcPr>
            <w:tcW w:w="5002" w:type="dxa"/>
            <w:vAlign w:val="center"/>
          </w:tcPr>
          <w:p w14:paraId="3FE2184A">
            <w:pPr>
              <w:snapToGrid w:val="0"/>
              <w:spacing w:line="400" w:lineRule="exact"/>
              <w:contextualSpacing/>
              <w:rPr>
                <w:rFonts w:ascii="宋体" w:hAnsi="宋体" w:cs="宋体"/>
                <w:sz w:val="24"/>
                <w:lang w:val="zh-CN"/>
              </w:rPr>
            </w:pPr>
            <w:r>
              <w:rPr>
                <w:rFonts w:hint="eastAsia" w:ascii="宋体" w:hAnsi="宋体" w:cs="宋体"/>
                <w:sz w:val="24"/>
              </w:rPr>
              <w:t>7x24小时运维人员管理、安全登记</w:t>
            </w:r>
          </w:p>
        </w:tc>
      </w:tr>
      <w:tr w14:paraId="4635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14:paraId="566831CC">
            <w:pPr>
              <w:snapToGrid w:val="0"/>
              <w:spacing w:line="400" w:lineRule="exact"/>
              <w:contextualSpacing/>
              <w:jc w:val="center"/>
              <w:rPr>
                <w:rFonts w:ascii="宋体" w:hAnsi="宋体" w:cs="宋体"/>
                <w:sz w:val="24"/>
                <w:lang w:val="zh-CN"/>
              </w:rPr>
            </w:pPr>
          </w:p>
        </w:tc>
        <w:tc>
          <w:tcPr>
            <w:tcW w:w="2257" w:type="dxa"/>
            <w:vAlign w:val="center"/>
          </w:tcPr>
          <w:p w14:paraId="6D80E2E3">
            <w:pPr>
              <w:snapToGrid w:val="0"/>
              <w:spacing w:line="400" w:lineRule="exact"/>
              <w:contextualSpacing/>
              <w:rPr>
                <w:rFonts w:ascii="宋体" w:hAnsi="宋体" w:cs="宋体"/>
                <w:sz w:val="24"/>
                <w:lang w:val="zh-CN"/>
              </w:rPr>
            </w:pPr>
            <w:r>
              <w:rPr>
                <w:rFonts w:hint="eastAsia" w:ascii="宋体" w:hAnsi="宋体" w:cs="宋体"/>
                <w:sz w:val="24"/>
              </w:rPr>
              <w:t>机房运维管理</w:t>
            </w:r>
          </w:p>
        </w:tc>
        <w:tc>
          <w:tcPr>
            <w:tcW w:w="5002" w:type="dxa"/>
            <w:vAlign w:val="center"/>
          </w:tcPr>
          <w:p w14:paraId="5AAAE31B">
            <w:pPr>
              <w:snapToGrid w:val="0"/>
              <w:spacing w:line="400" w:lineRule="exact"/>
              <w:contextualSpacing/>
              <w:rPr>
                <w:rFonts w:ascii="宋体" w:hAnsi="宋体" w:cs="宋体"/>
                <w:sz w:val="24"/>
                <w:lang w:val="zh-CN"/>
              </w:rPr>
            </w:pPr>
            <w:r>
              <w:rPr>
                <w:rFonts w:hint="eastAsia" w:ascii="宋体" w:hAnsi="宋体" w:cs="宋体"/>
                <w:sz w:val="24"/>
              </w:rPr>
              <w:t>机房设备管理、安全控制</w:t>
            </w:r>
          </w:p>
        </w:tc>
      </w:tr>
      <w:tr w14:paraId="2716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14:paraId="39360DE6">
            <w:pPr>
              <w:snapToGrid w:val="0"/>
              <w:spacing w:line="400" w:lineRule="exact"/>
              <w:contextualSpacing/>
              <w:jc w:val="center"/>
              <w:rPr>
                <w:rFonts w:ascii="宋体" w:hAnsi="宋体" w:cs="宋体"/>
                <w:sz w:val="24"/>
                <w:lang w:val="zh-CN"/>
              </w:rPr>
            </w:pPr>
          </w:p>
        </w:tc>
        <w:tc>
          <w:tcPr>
            <w:tcW w:w="2257" w:type="dxa"/>
            <w:vAlign w:val="center"/>
          </w:tcPr>
          <w:p w14:paraId="4882815C">
            <w:pPr>
              <w:snapToGrid w:val="0"/>
              <w:spacing w:line="400" w:lineRule="exact"/>
              <w:contextualSpacing/>
              <w:rPr>
                <w:rFonts w:ascii="宋体" w:hAnsi="宋体" w:cs="宋体"/>
                <w:sz w:val="24"/>
                <w:lang w:val="zh-CN"/>
              </w:rPr>
            </w:pPr>
            <w:r>
              <w:rPr>
                <w:rFonts w:hint="eastAsia" w:ascii="宋体" w:hAnsi="宋体" w:cs="宋体"/>
                <w:sz w:val="24"/>
              </w:rPr>
              <w:t>应急演练</w:t>
            </w:r>
          </w:p>
        </w:tc>
        <w:tc>
          <w:tcPr>
            <w:tcW w:w="5002" w:type="dxa"/>
            <w:vAlign w:val="center"/>
          </w:tcPr>
          <w:p w14:paraId="0F7F4910">
            <w:pPr>
              <w:snapToGrid w:val="0"/>
              <w:spacing w:line="400" w:lineRule="exact"/>
              <w:contextualSpacing/>
              <w:rPr>
                <w:rFonts w:ascii="宋体" w:hAnsi="宋体" w:cs="宋体"/>
                <w:sz w:val="24"/>
                <w:lang w:val="zh-CN"/>
              </w:rPr>
            </w:pPr>
            <w:r>
              <w:rPr>
                <w:rFonts w:hint="eastAsia" w:ascii="宋体" w:hAnsi="宋体" w:cs="宋体"/>
                <w:sz w:val="24"/>
              </w:rPr>
              <w:t>协助使用单位进行安全应急演练</w:t>
            </w:r>
          </w:p>
        </w:tc>
      </w:tr>
      <w:tr w14:paraId="2D70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restart"/>
            <w:vAlign w:val="center"/>
          </w:tcPr>
          <w:p w14:paraId="2A0097FE">
            <w:pPr>
              <w:snapToGrid w:val="0"/>
              <w:spacing w:line="400" w:lineRule="exact"/>
              <w:contextualSpacing/>
              <w:jc w:val="center"/>
              <w:rPr>
                <w:rFonts w:ascii="宋体" w:hAnsi="宋体" w:cs="宋体"/>
                <w:sz w:val="24"/>
              </w:rPr>
            </w:pPr>
          </w:p>
          <w:p w14:paraId="1A890436">
            <w:pPr>
              <w:snapToGrid w:val="0"/>
              <w:spacing w:line="400" w:lineRule="exact"/>
              <w:contextualSpacing/>
              <w:jc w:val="center"/>
              <w:rPr>
                <w:rFonts w:ascii="宋体" w:hAnsi="宋体" w:cs="宋体"/>
                <w:sz w:val="24"/>
              </w:rPr>
            </w:pPr>
          </w:p>
          <w:p w14:paraId="14A31913">
            <w:pPr>
              <w:snapToGrid w:val="0"/>
              <w:spacing w:line="400" w:lineRule="exact"/>
              <w:contextualSpacing/>
              <w:jc w:val="center"/>
              <w:rPr>
                <w:rFonts w:ascii="宋体" w:hAnsi="宋体" w:cs="宋体"/>
                <w:sz w:val="24"/>
              </w:rPr>
            </w:pPr>
          </w:p>
          <w:p w14:paraId="57D45B00">
            <w:pPr>
              <w:snapToGrid w:val="0"/>
              <w:spacing w:line="400" w:lineRule="exact"/>
              <w:contextualSpacing/>
              <w:jc w:val="center"/>
              <w:rPr>
                <w:rFonts w:ascii="宋体" w:hAnsi="宋体" w:cs="宋体"/>
                <w:sz w:val="24"/>
                <w:lang w:val="zh-CN"/>
              </w:rPr>
            </w:pPr>
            <w:r>
              <w:rPr>
                <w:rFonts w:hint="eastAsia" w:ascii="宋体" w:hAnsi="宋体" w:cs="宋体"/>
                <w:sz w:val="24"/>
              </w:rPr>
              <w:t>安全技术服务</w:t>
            </w:r>
          </w:p>
        </w:tc>
        <w:tc>
          <w:tcPr>
            <w:tcW w:w="2257" w:type="dxa"/>
            <w:vAlign w:val="center"/>
          </w:tcPr>
          <w:p w14:paraId="7B936B35">
            <w:pPr>
              <w:snapToGrid w:val="0"/>
              <w:spacing w:line="400" w:lineRule="exact"/>
              <w:contextualSpacing/>
              <w:rPr>
                <w:rFonts w:ascii="宋体" w:hAnsi="宋体" w:cs="宋体"/>
                <w:sz w:val="24"/>
                <w:lang w:val="zh-CN"/>
              </w:rPr>
            </w:pPr>
            <w:r>
              <w:rPr>
                <w:rFonts w:hint="eastAsia" w:ascii="宋体" w:hAnsi="宋体" w:cs="宋体"/>
                <w:sz w:val="24"/>
              </w:rPr>
              <w:t>物理访问控制</w:t>
            </w:r>
          </w:p>
        </w:tc>
        <w:tc>
          <w:tcPr>
            <w:tcW w:w="5002" w:type="dxa"/>
            <w:vAlign w:val="center"/>
          </w:tcPr>
          <w:p w14:paraId="528D5574">
            <w:pPr>
              <w:snapToGrid w:val="0"/>
              <w:spacing w:line="400" w:lineRule="exact"/>
              <w:contextualSpacing/>
              <w:rPr>
                <w:rFonts w:ascii="宋体" w:hAnsi="宋体" w:cs="宋体"/>
                <w:sz w:val="24"/>
                <w:lang w:val="zh-CN"/>
              </w:rPr>
            </w:pPr>
            <w:r>
              <w:rPr>
                <w:rFonts w:hint="eastAsia" w:ascii="宋体" w:hAnsi="宋体" w:cs="宋体"/>
                <w:sz w:val="24"/>
              </w:rPr>
              <w:t>机房进出控制、监控等</w:t>
            </w:r>
          </w:p>
        </w:tc>
      </w:tr>
      <w:tr w14:paraId="705A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14:paraId="2DC69CE3">
            <w:pPr>
              <w:snapToGrid w:val="0"/>
              <w:spacing w:line="400" w:lineRule="exact"/>
              <w:contextualSpacing/>
              <w:jc w:val="center"/>
              <w:rPr>
                <w:rFonts w:ascii="宋体" w:hAnsi="宋体" w:cs="宋体"/>
                <w:sz w:val="24"/>
                <w:lang w:val="zh-CN"/>
              </w:rPr>
            </w:pPr>
          </w:p>
        </w:tc>
        <w:tc>
          <w:tcPr>
            <w:tcW w:w="2257" w:type="dxa"/>
            <w:vAlign w:val="center"/>
          </w:tcPr>
          <w:p w14:paraId="29FAA4E5">
            <w:pPr>
              <w:snapToGrid w:val="0"/>
              <w:spacing w:line="400" w:lineRule="exact"/>
              <w:contextualSpacing/>
              <w:rPr>
                <w:rFonts w:ascii="宋体" w:hAnsi="宋体" w:cs="宋体"/>
                <w:sz w:val="24"/>
                <w:lang w:val="zh-CN"/>
              </w:rPr>
            </w:pPr>
            <w:r>
              <w:rPr>
                <w:rFonts w:hint="eastAsia" w:ascii="宋体" w:hAnsi="宋体" w:cs="宋体"/>
                <w:sz w:val="24"/>
              </w:rPr>
              <w:t>机房三防服务</w:t>
            </w:r>
          </w:p>
        </w:tc>
        <w:tc>
          <w:tcPr>
            <w:tcW w:w="5002" w:type="dxa"/>
            <w:vAlign w:val="center"/>
          </w:tcPr>
          <w:p w14:paraId="190444C4">
            <w:pPr>
              <w:snapToGrid w:val="0"/>
              <w:spacing w:line="400" w:lineRule="exact"/>
              <w:contextualSpacing/>
              <w:rPr>
                <w:rFonts w:ascii="宋体" w:hAnsi="宋体" w:cs="宋体"/>
                <w:sz w:val="24"/>
                <w:lang w:val="zh-CN"/>
              </w:rPr>
            </w:pPr>
            <w:r>
              <w:rPr>
                <w:rFonts w:hint="eastAsia" w:ascii="宋体" w:hAnsi="宋体" w:cs="宋体"/>
                <w:sz w:val="24"/>
              </w:rPr>
              <w:t>机房防火、防盗、防雷电</w:t>
            </w:r>
          </w:p>
        </w:tc>
      </w:tr>
      <w:tr w14:paraId="5F43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14:paraId="1FE22353">
            <w:pPr>
              <w:snapToGrid w:val="0"/>
              <w:spacing w:line="400" w:lineRule="exact"/>
              <w:contextualSpacing/>
              <w:jc w:val="center"/>
              <w:rPr>
                <w:rFonts w:ascii="宋体" w:hAnsi="宋体" w:cs="宋体"/>
                <w:sz w:val="24"/>
                <w:lang w:val="zh-CN"/>
              </w:rPr>
            </w:pPr>
          </w:p>
        </w:tc>
        <w:tc>
          <w:tcPr>
            <w:tcW w:w="2257" w:type="dxa"/>
            <w:vAlign w:val="center"/>
          </w:tcPr>
          <w:p w14:paraId="5A8FB14C">
            <w:pPr>
              <w:snapToGrid w:val="0"/>
              <w:spacing w:line="400" w:lineRule="exact"/>
              <w:contextualSpacing/>
              <w:rPr>
                <w:rFonts w:ascii="宋体" w:hAnsi="宋体" w:cs="宋体"/>
                <w:sz w:val="24"/>
                <w:lang w:val="zh-CN"/>
              </w:rPr>
            </w:pPr>
            <w:r>
              <w:rPr>
                <w:rFonts w:hint="eastAsia" w:ascii="宋体" w:hAnsi="宋体" w:cs="宋体"/>
                <w:sz w:val="24"/>
              </w:rPr>
              <w:t>设备访问审计</w:t>
            </w:r>
          </w:p>
        </w:tc>
        <w:tc>
          <w:tcPr>
            <w:tcW w:w="5002" w:type="dxa"/>
            <w:vAlign w:val="center"/>
          </w:tcPr>
          <w:p w14:paraId="7D4A3919">
            <w:pPr>
              <w:snapToGrid w:val="0"/>
              <w:spacing w:line="400" w:lineRule="exact"/>
              <w:contextualSpacing/>
              <w:rPr>
                <w:rFonts w:ascii="宋体" w:hAnsi="宋体" w:cs="宋体"/>
                <w:sz w:val="24"/>
                <w:lang w:val="zh-CN"/>
              </w:rPr>
            </w:pPr>
            <w:r>
              <w:rPr>
                <w:rFonts w:hint="eastAsia" w:ascii="宋体" w:hAnsi="宋体" w:cs="宋体"/>
                <w:sz w:val="24"/>
              </w:rPr>
              <w:t>设备访问记录、日志统计、安全事件</w:t>
            </w:r>
          </w:p>
        </w:tc>
      </w:tr>
      <w:tr w14:paraId="4E8D6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14:paraId="4FF8D5FA">
            <w:pPr>
              <w:snapToGrid w:val="0"/>
              <w:spacing w:line="400" w:lineRule="exact"/>
              <w:contextualSpacing/>
              <w:jc w:val="center"/>
              <w:rPr>
                <w:rFonts w:ascii="宋体" w:hAnsi="宋体" w:cs="宋体"/>
                <w:sz w:val="24"/>
                <w:lang w:val="zh-CN"/>
              </w:rPr>
            </w:pPr>
          </w:p>
        </w:tc>
        <w:tc>
          <w:tcPr>
            <w:tcW w:w="2257" w:type="dxa"/>
            <w:vAlign w:val="center"/>
          </w:tcPr>
          <w:p w14:paraId="32BD7746">
            <w:pPr>
              <w:snapToGrid w:val="0"/>
              <w:spacing w:line="400" w:lineRule="exact"/>
              <w:contextualSpacing/>
              <w:rPr>
                <w:rFonts w:ascii="宋体" w:hAnsi="宋体" w:cs="宋体"/>
                <w:sz w:val="24"/>
                <w:lang w:val="zh-CN"/>
              </w:rPr>
            </w:pPr>
            <w:r>
              <w:rPr>
                <w:rFonts w:hint="eastAsia" w:ascii="宋体" w:hAnsi="宋体" w:cs="宋体"/>
                <w:sz w:val="24"/>
              </w:rPr>
              <w:t>出口流量监测</w:t>
            </w:r>
          </w:p>
        </w:tc>
        <w:tc>
          <w:tcPr>
            <w:tcW w:w="5002" w:type="dxa"/>
            <w:vAlign w:val="center"/>
          </w:tcPr>
          <w:p w14:paraId="237D644A">
            <w:pPr>
              <w:snapToGrid w:val="0"/>
              <w:spacing w:line="400" w:lineRule="exact"/>
              <w:contextualSpacing/>
              <w:rPr>
                <w:rFonts w:ascii="宋体" w:hAnsi="宋体" w:cs="宋体"/>
                <w:sz w:val="24"/>
                <w:lang w:val="zh-CN"/>
              </w:rPr>
            </w:pPr>
            <w:r>
              <w:rPr>
                <w:rFonts w:hint="eastAsia" w:ascii="宋体" w:hAnsi="宋体" w:cs="宋体"/>
                <w:sz w:val="24"/>
              </w:rPr>
              <w:t>出口流量控制、检测，并且可观测数据，互联网网络行为审计</w:t>
            </w:r>
          </w:p>
        </w:tc>
      </w:tr>
      <w:tr w14:paraId="0FAB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14:paraId="796368BE">
            <w:pPr>
              <w:snapToGrid w:val="0"/>
              <w:spacing w:line="400" w:lineRule="exact"/>
              <w:contextualSpacing/>
              <w:jc w:val="center"/>
              <w:rPr>
                <w:rFonts w:ascii="宋体" w:hAnsi="宋体" w:cs="宋体"/>
                <w:sz w:val="24"/>
                <w:lang w:val="zh-CN"/>
              </w:rPr>
            </w:pPr>
          </w:p>
        </w:tc>
        <w:tc>
          <w:tcPr>
            <w:tcW w:w="2257" w:type="dxa"/>
            <w:vAlign w:val="center"/>
          </w:tcPr>
          <w:p w14:paraId="79DD2E41">
            <w:pPr>
              <w:snapToGrid w:val="0"/>
              <w:spacing w:line="400" w:lineRule="exact"/>
              <w:contextualSpacing/>
              <w:rPr>
                <w:rFonts w:ascii="宋体" w:hAnsi="宋体" w:cs="宋体"/>
                <w:sz w:val="24"/>
                <w:lang w:val="zh-CN"/>
              </w:rPr>
            </w:pPr>
            <w:r>
              <w:rPr>
                <w:rFonts w:hint="eastAsia" w:ascii="宋体" w:hAnsi="宋体" w:cs="宋体"/>
                <w:sz w:val="24"/>
              </w:rPr>
              <w:t>本地抗DDoS防护</w:t>
            </w:r>
          </w:p>
        </w:tc>
        <w:tc>
          <w:tcPr>
            <w:tcW w:w="5002" w:type="dxa"/>
            <w:vAlign w:val="center"/>
          </w:tcPr>
          <w:p w14:paraId="112F03E2">
            <w:pPr>
              <w:snapToGrid w:val="0"/>
              <w:spacing w:line="400" w:lineRule="exact"/>
              <w:contextualSpacing/>
              <w:rPr>
                <w:rFonts w:ascii="宋体" w:hAnsi="宋体" w:cs="宋体"/>
                <w:sz w:val="24"/>
                <w:lang w:val="zh-CN"/>
              </w:rPr>
            </w:pPr>
            <w:r>
              <w:rPr>
                <w:rFonts w:hint="eastAsia" w:ascii="宋体" w:hAnsi="宋体" w:cs="宋体"/>
                <w:sz w:val="24"/>
              </w:rPr>
              <w:t>云平台整体提供总带宽为20Gb的抗DDoS防护</w:t>
            </w:r>
          </w:p>
        </w:tc>
      </w:tr>
      <w:tr w14:paraId="0E25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14:paraId="6CE04280">
            <w:pPr>
              <w:snapToGrid w:val="0"/>
              <w:spacing w:line="400" w:lineRule="exact"/>
              <w:contextualSpacing/>
              <w:jc w:val="center"/>
              <w:rPr>
                <w:rFonts w:ascii="宋体" w:hAnsi="宋体" w:cs="宋体"/>
                <w:sz w:val="24"/>
                <w:lang w:val="zh-CN"/>
              </w:rPr>
            </w:pPr>
          </w:p>
        </w:tc>
        <w:tc>
          <w:tcPr>
            <w:tcW w:w="2257" w:type="dxa"/>
            <w:vAlign w:val="center"/>
          </w:tcPr>
          <w:p w14:paraId="4C7C3D09">
            <w:pPr>
              <w:snapToGrid w:val="0"/>
              <w:spacing w:line="400" w:lineRule="exact"/>
              <w:contextualSpacing/>
              <w:rPr>
                <w:rFonts w:ascii="宋体" w:hAnsi="宋体" w:cs="宋体"/>
                <w:sz w:val="24"/>
                <w:lang w:val="zh-CN"/>
              </w:rPr>
            </w:pPr>
            <w:r>
              <w:rPr>
                <w:rFonts w:hint="eastAsia" w:ascii="宋体" w:hAnsi="宋体" w:cs="宋体"/>
                <w:sz w:val="24"/>
              </w:rPr>
              <w:t>防火墙安全防护</w:t>
            </w:r>
          </w:p>
        </w:tc>
        <w:tc>
          <w:tcPr>
            <w:tcW w:w="5002" w:type="dxa"/>
            <w:vAlign w:val="center"/>
          </w:tcPr>
          <w:p w14:paraId="185305BB">
            <w:pPr>
              <w:snapToGrid w:val="0"/>
              <w:spacing w:line="400" w:lineRule="exact"/>
              <w:contextualSpacing/>
              <w:rPr>
                <w:rFonts w:ascii="宋体" w:hAnsi="宋体" w:cs="宋体"/>
                <w:sz w:val="24"/>
                <w:lang w:val="zh-CN"/>
              </w:rPr>
            </w:pPr>
            <w:r>
              <w:rPr>
                <w:rFonts w:hint="eastAsia" w:ascii="宋体" w:hAnsi="宋体" w:cs="宋体"/>
                <w:sz w:val="24"/>
              </w:rPr>
              <w:t>出口安全</w:t>
            </w:r>
          </w:p>
        </w:tc>
      </w:tr>
      <w:tr w14:paraId="31F8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14:paraId="68D844CD">
            <w:pPr>
              <w:snapToGrid w:val="0"/>
              <w:spacing w:line="400" w:lineRule="exact"/>
              <w:contextualSpacing/>
              <w:jc w:val="center"/>
              <w:rPr>
                <w:rFonts w:ascii="宋体" w:hAnsi="宋体" w:cs="宋体"/>
                <w:sz w:val="24"/>
                <w:lang w:val="zh-CN"/>
              </w:rPr>
            </w:pPr>
          </w:p>
        </w:tc>
        <w:tc>
          <w:tcPr>
            <w:tcW w:w="2257" w:type="dxa"/>
            <w:vAlign w:val="center"/>
          </w:tcPr>
          <w:p w14:paraId="13D5709F">
            <w:pPr>
              <w:snapToGrid w:val="0"/>
              <w:spacing w:line="400" w:lineRule="exact"/>
              <w:contextualSpacing/>
              <w:rPr>
                <w:rFonts w:ascii="宋体" w:hAnsi="宋体" w:cs="宋体"/>
                <w:sz w:val="24"/>
                <w:lang w:val="zh-CN"/>
              </w:rPr>
            </w:pPr>
            <w:r>
              <w:rPr>
                <w:rFonts w:hint="eastAsia" w:ascii="宋体" w:hAnsi="宋体" w:cs="宋体"/>
                <w:sz w:val="24"/>
              </w:rPr>
              <w:t>防入侵监测IPS</w:t>
            </w:r>
          </w:p>
        </w:tc>
        <w:tc>
          <w:tcPr>
            <w:tcW w:w="5002" w:type="dxa"/>
            <w:vAlign w:val="center"/>
          </w:tcPr>
          <w:p w14:paraId="2776CA56">
            <w:pPr>
              <w:snapToGrid w:val="0"/>
              <w:spacing w:line="400" w:lineRule="exact"/>
              <w:contextualSpacing/>
              <w:rPr>
                <w:rFonts w:ascii="宋体" w:hAnsi="宋体" w:cs="宋体"/>
                <w:sz w:val="24"/>
                <w:lang w:val="zh-CN"/>
              </w:rPr>
            </w:pPr>
            <w:r>
              <w:rPr>
                <w:rFonts w:hint="eastAsia" w:ascii="宋体" w:hAnsi="宋体" w:cs="宋体"/>
                <w:sz w:val="24"/>
              </w:rPr>
              <w:t>防入侵监测</w:t>
            </w:r>
          </w:p>
        </w:tc>
      </w:tr>
      <w:tr w14:paraId="0000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14:paraId="59463670">
            <w:pPr>
              <w:snapToGrid w:val="0"/>
              <w:spacing w:line="400" w:lineRule="exact"/>
              <w:contextualSpacing/>
              <w:jc w:val="center"/>
              <w:rPr>
                <w:rFonts w:ascii="宋体" w:hAnsi="宋体" w:cs="宋体"/>
                <w:sz w:val="24"/>
                <w:lang w:val="zh-CN"/>
              </w:rPr>
            </w:pPr>
          </w:p>
        </w:tc>
        <w:tc>
          <w:tcPr>
            <w:tcW w:w="2257" w:type="dxa"/>
            <w:vAlign w:val="center"/>
          </w:tcPr>
          <w:p w14:paraId="017F369A">
            <w:pPr>
              <w:snapToGrid w:val="0"/>
              <w:spacing w:line="400" w:lineRule="exact"/>
              <w:contextualSpacing/>
              <w:rPr>
                <w:rFonts w:ascii="宋体" w:hAnsi="宋体" w:cs="宋体"/>
                <w:sz w:val="24"/>
                <w:lang w:val="zh-CN"/>
              </w:rPr>
            </w:pPr>
            <w:r>
              <w:rPr>
                <w:rFonts w:hint="eastAsia" w:ascii="宋体" w:hAnsi="宋体" w:cs="宋体"/>
                <w:sz w:val="24"/>
              </w:rPr>
              <w:t>远程接入服务</w:t>
            </w:r>
          </w:p>
        </w:tc>
        <w:tc>
          <w:tcPr>
            <w:tcW w:w="5002" w:type="dxa"/>
            <w:vAlign w:val="center"/>
          </w:tcPr>
          <w:p w14:paraId="3DB2C6E7">
            <w:pPr>
              <w:snapToGrid w:val="0"/>
              <w:spacing w:line="400" w:lineRule="exact"/>
              <w:contextualSpacing/>
              <w:rPr>
                <w:rFonts w:ascii="宋体" w:hAnsi="宋体" w:cs="宋体"/>
                <w:sz w:val="24"/>
                <w:lang w:val="zh-CN"/>
              </w:rPr>
            </w:pPr>
            <w:r>
              <w:rPr>
                <w:rFonts w:hint="eastAsia" w:ascii="宋体" w:hAnsi="宋体" w:cs="宋体"/>
                <w:sz w:val="24"/>
              </w:rPr>
              <w:t>提供1个远程登录堡垒机的运维账号</w:t>
            </w:r>
          </w:p>
        </w:tc>
      </w:tr>
      <w:tr w14:paraId="59DC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14:paraId="74C39DA8">
            <w:pPr>
              <w:snapToGrid w:val="0"/>
              <w:spacing w:line="400" w:lineRule="exact"/>
              <w:contextualSpacing/>
              <w:jc w:val="center"/>
              <w:rPr>
                <w:rFonts w:ascii="宋体" w:hAnsi="宋体" w:cs="宋体"/>
                <w:sz w:val="24"/>
                <w:lang w:val="zh-CN"/>
              </w:rPr>
            </w:pPr>
          </w:p>
        </w:tc>
        <w:tc>
          <w:tcPr>
            <w:tcW w:w="2257" w:type="dxa"/>
            <w:vAlign w:val="center"/>
          </w:tcPr>
          <w:p w14:paraId="712D0AA1">
            <w:pPr>
              <w:snapToGrid w:val="0"/>
              <w:spacing w:line="400" w:lineRule="exact"/>
              <w:contextualSpacing/>
              <w:rPr>
                <w:rFonts w:ascii="宋体" w:hAnsi="宋体" w:cs="宋体"/>
                <w:sz w:val="24"/>
                <w:lang w:val="zh-CN"/>
              </w:rPr>
            </w:pPr>
            <w:r>
              <w:rPr>
                <w:rFonts w:hint="eastAsia" w:ascii="宋体" w:hAnsi="宋体" w:cs="宋体"/>
                <w:sz w:val="24"/>
              </w:rPr>
              <w:t>租户隔离</w:t>
            </w:r>
          </w:p>
        </w:tc>
        <w:tc>
          <w:tcPr>
            <w:tcW w:w="5002" w:type="dxa"/>
            <w:vAlign w:val="center"/>
          </w:tcPr>
          <w:p w14:paraId="5AF83315">
            <w:pPr>
              <w:snapToGrid w:val="0"/>
              <w:spacing w:line="400" w:lineRule="exact"/>
              <w:contextualSpacing/>
              <w:rPr>
                <w:rFonts w:ascii="宋体" w:hAnsi="宋体" w:cs="宋体"/>
                <w:sz w:val="24"/>
                <w:lang w:val="zh-CN"/>
              </w:rPr>
            </w:pPr>
            <w:r>
              <w:rPr>
                <w:rFonts w:hint="eastAsia" w:ascii="宋体" w:hAnsi="宋体" w:cs="宋体"/>
                <w:sz w:val="24"/>
              </w:rPr>
              <w:t>租户虚拟化层隔离</w:t>
            </w:r>
          </w:p>
        </w:tc>
      </w:tr>
      <w:tr w14:paraId="2B7B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14:paraId="176319A6">
            <w:pPr>
              <w:snapToGrid w:val="0"/>
              <w:spacing w:line="400" w:lineRule="exact"/>
              <w:contextualSpacing/>
              <w:jc w:val="center"/>
              <w:rPr>
                <w:rFonts w:ascii="宋体" w:hAnsi="宋体" w:cs="宋体"/>
                <w:sz w:val="24"/>
                <w:lang w:val="zh-CN"/>
              </w:rPr>
            </w:pPr>
          </w:p>
        </w:tc>
        <w:tc>
          <w:tcPr>
            <w:tcW w:w="2257" w:type="dxa"/>
            <w:vAlign w:val="center"/>
          </w:tcPr>
          <w:p w14:paraId="6414753B">
            <w:pPr>
              <w:snapToGrid w:val="0"/>
              <w:spacing w:line="400" w:lineRule="exact"/>
              <w:contextualSpacing/>
              <w:rPr>
                <w:rFonts w:ascii="宋体" w:hAnsi="宋体" w:cs="宋体"/>
                <w:sz w:val="24"/>
                <w:lang w:val="zh-CN"/>
              </w:rPr>
            </w:pPr>
            <w:r>
              <w:rPr>
                <w:rFonts w:hint="eastAsia" w:ascii="宋体" w:hAnsi="宋体" w:cs="宋体"/>
                <w:sz w:val="24"/>
              </w:rPr>
              <w:t>租户内部访问控制</w:t>
            </w:r>
          </w:p>
        </w:tc>
        <w:tc>
          <w:tcPr>
            <w:tcW w:w="5002" w:type="dxa"/>
            <w:vAlign w:val="center"/>
          </w:tcPr>
          <w:p w14:paraId="2286FFF7">
            <w:pPr>
              <w:snapToGrid w:val="0"/>
              <w:spacing w:line="400" w:lineRule="exact"/>
              <w:contextualSpacing/>
              <w:rPr>
                <w:rFonts w:ascii="宋体" w:hAnsi="宋体" w:cs="宋体"/>
                <w:sz w:val="24"/>
                <w:lang w:val="zh-CN"/>
              </w:rPr>
            </w:pPr>
            <w:r>
              <w:rPr>
                <w:rFonts w:hint="eastAsia" w:ascii="宋体" w:hAnsi="宋体" w:cs="宋体"/>
                <w:sz w:val="24"/>
              </w:rPr>
              <w:t>租户内部访问权限控制，用户可以自由分配</w:t>
            </w:r>
          </w:p>
        </w:tc>
      </w:tr>
      <w:tr w14:paraId="5D0B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14:paraId="67AB0466">
            <w:pPr>
              <w:snapToGrid w:val="0"/>
              <w:spacing w:line="400" w:lineRule="exact"/>
              <w:contextualSpacing/>
              <w:jc w:val="center"/>
              <w:rPr>
                <w:rFonts w:ascii="宋体" w:hAnsi="宋体" w:cs="宋体"/>
                <w:sz w:val="24"/>
                <w:lang w:val="zh-CN"/>
              </w:rPr>
            </w:pPr>
          </w:p>
        </w:tc>
        <w:tc>
          <w:tcPr>
            <w:tcW w:w="2257" w:type="dxa"/>
            <w:vAlign w:val="center"/>
          </w:tcPr>
          <w:p w14:paraId="523B0C59">
            <w:pPr>
              <w:snapToGrid w:val="0"/>
              <w:spacing w:line="400" w:lineRule="exact"/>
              <w:contextualSpacing/>
              <w:rPr>
                <w:rFonts w:ascii="宋体" w:hAnsi="宋体" w:cs="宋体"/>
                <w:sz w:val="24"/>
                <w:lang w:val="zh-CN"/>
              </w:rPr>
            </w:pPr>
            <w:r>
              <w:rPr>
                <w:rFonts w:hint="eastAsia" w:ascii="宋体" w:hAnsi="宋体" w:cs="宋体"/>
                <w:sz w:val="24"/>
              </w:rPr>
              <w:t>云主机监控</w:t>
            </w:r>
          </w:p>
        </w:tc>
        <w:tc>
          <w:tcPr>
            <w:tcW w:w="5002" w:type="dxa"/>
            <w:vAlign w:val="center"/>
          </w:tcPr>
          <w:p w14:paraId="3DCF56BF">
            <w:pPr>
              <w:snapToGrid w:val="0"/>
              <w:spacing w:line="400" w:lineRule="exact"/>
              <w:contextualSpacing/>
              <w:rPr>
                <w:rFonts w:ascii="宋体" w:hAnsi="宋体" w:cs="宋体"/>
                <w:sz w:val="24"/>
                <w:lang w:val="zh-CN"/>
              </w:rPr>
            </w:pPr>
            <w:r>
              <w:rPr>
                <w:rFonts w:hint="eastAsia" w:ascii="宋体" w:hAnsi="宋体" w:cs="宋体"/>
                <w:sz w:val="24"/>
              </w:rPr>
              <w:t>提供云上资源的基本监控，包括CPU、内存使用率等</w:t>
            </w:r>
          </w:p>
        </w:tc>
      </w:tr>
      <w:tr w14:paraId="506C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14:paraId="7E46029B">
            <w:pPr>
              <w:snapToGrid w:val="0"/>
              <w:spacing w:line="400" w:lineRule="exact"/>
              <w:contextualSpacing/>
              <w:jc w:val="center"/>
              <w:rPr>
                <w:rFonts w:ascii="宋体" w:hAnsi="宋体" w:cs="宋体"/>
                <w:sz w:val="24"/>
                <w:lang w:val="zh-CN"/>
              </w:rPr>
            </w:pPr>
          </w:p>
        </w:tc>
        <w:tc>
          <w:tcPr>
            <w:tcW w:w="2257" w:type="dxa"/>
            <w:vAlign w:val="center"/>
          </w:tcPr>
          <w:p w14:paraId="0076CBD8">
            <w:pPr>
              <w:snapToGrid w:val="0"/>
              <w:spacing w:line="400" w:lineRule="exact"/>
              <w:contextualSpacing/>
              <w:rPr>
                <w:rFonts w:ascii="宋体" w:hAnsi="宋体" w:cs="宋体"/>
                <w:sz w:val="24"/>
                <w:lang w:val="zh-CN"/>
              </w:rPr>
            </w:pPr>
            <w:r>
              <w:rPr>
                <w:rFonts w:hint="eastAsia" w:ascii="宋体" w:hAnsi="宋体" w:cs="宋体"/>
                <w:sz w:val="24"/>
              </w:rPr>
              <w:t>角色权限管理</w:t>
            </w:r>
          </w:p>
        </w:tc>
        <w:tc>
          <w:tcPr>
            <w:tcW w:w="5002" w:type="dxa"/>
            <w:vAlign w:val="center"/>
          </w:tcPr>
          <w:p w14:paraId="215E9CB5">
            <w:pPr>
              <w:snapToGrid w:val="0"/>
              <w:spacing w:line="400" w:lineRule="exact"/>
              <w:contextualSpacing/>
              <w:rPr>
                <w:rFonts w:ascii="宋体" w:hAnsi="宋体" w:cs="宋体"/>
                <w:sz w:val="24"/>
                <w:lang w:val="zh-CN"/>
              </w:rPr>
            </w:pPr>
            <w:r>
              <w:rPr>
                <w:rFonts w:hint="eastAsia" w:ascii="宋体" w:hAnsi="宋体" w:cs="宋体"/>
                <w:sz w:val="24"/>
              </w:rPr>
              <w:t>提供通过代入角色实现获取操作权限</w:t>
            </w:r>
          </w:p>
        </w:tc>
      </w:tr>
      <w:tr w14:paraId="34EA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14:paraId="0949FB19">
            <w:pPr>
              <w:snapToGrid w:val="0"/>
              <w:spacing w:line="400" w:lineRule="exact"/>
              <w:contextualSpacing/>
              <w:jc w:val="center"/>
              <w:rPr>
                <w:rFonts w:ascii="宋体" w:hAnsi="宋体" w:cs="宋体"/>
                <w:sz w:val="24"/>
                <w:lang w:val="zh-CN"/>
              </w:rPr>
            </w:pPr>
          </w:p>
        </w:tc>
        <w:tc>
          <w:tcPr>
            <w:tcW w:w="2257" w:type="dxa"/>
            <w:vAlign w:val="center"/>
          </w:tcPr>
          <w:p w14:paraId="2B694029">
            <w:pPr>
              <w:snapToGrid w:val="0"/>
              <w:spacing w:line="400" w:lineRule="exact"/>
              <w:contextualSpacing/>
              <w:rPr>
                <w:rFonts w:ascii="宋体" w:hAnsi="宋体" w:cs="宋体"/>
                <w:sz w:val="24"/>
                <w:lang w:val="zh-CN"/>
              </w:rPr>
            </w:pPr>
            <w:r>
              <w:rPr>
                <w:rFonts w:hint="eastAsia" w:ascii="宋体" w:hAnsi="宋体" w:cs="宋体"/>
                <w:sz w:val="24"/>
              </w:rPr>
              <w:t>监控平台接入服务</w:t>
            </w:r>
          </w:p>
        </w:tc>
        <w:tc>
          <w:tcPr>
            <w:tcW w:w="5002" w:type="dxa"/>
            <w:vAlign w:val="center"/>
          </w:tcPr>
          <w:p w14:paraId="3BF1A570">
            <w:pPr>
              <w:snapToGrid w:val="0"/>
              <w:spacing w:line="400" w:lineRule="exact"/>
              <w:contextualSpacing/>
              <w:rPr>
                <w:rFonts w:ascii="宋体" w:hAnsi="宋体" w:cs="宋体"/>
                <w:sz w:val="24"/>
                <w:lang w:val="zh-CN"/>
              </w:rPr>
            </w:pPr>
            <w:r>
              <w:rPr>
                <w:rFonts w:hint="eastAsia" w:ascii="宋体" w:hAnsi="宋体" w:cs="宋体"/>
                <w:sz w:val="24"/>
              </w:rPr>
              <w:t>可提供租户管辖内的云资源监控数据接口调用</w:t>
            </w:r>
          </w:p>
        </w:tc>
      </w:tr>
    </w:tbl>
    <w:p w14:paraId="00B2B89B">
      <w:pPr>
        <w:pStyle w:val="8"/>
        <w:adjustRightInd w:val="0"/>
        <w:spacing w:line="360" w:lineRule="auto"/>
        <w:ind w:firstLine="0" w:firstLineChars="0"/>
        <w:contextualSpacing/>
        <w:jc w:val="left"/>
        <w:rPr>
          <w:rFonts w:ascii="宋体" w:hAnsi="宋体" w:cs="宋体"/>
          <w:bCs/>
          <w:sz w:val="24"/>
          <w:szCs w:val="24"/>
        </w:rPr>
      </w:pPr>
    </w:p>
    <w:p w14:paraId="2F2012B6">
      <w:pPr>
        <w:spacing w:line="360" w:lineRule="auto"/>
        <w:contextualSpacing/>
        <w:rPr>
          <w:rFonts w:ascii="宋体" w:hAnsi="宋体" w:cs="宋体"/>
          <w:i/>
          <w:iCs/>
          <w:sz w:val="24"/>
        </w:rPr>
      </w:pPr>
      <w:r>
        <w:rPr>
          <w:rFonts w:hint="eastAsia" w:ascii="宋体" w:hAnsi="宋体" w:cs="宋体"/>
          <w:sz w:val="24"/>
        </w:rPr>
        <w:t>3. 验收要求</w:t>
      </w:r>
    </w:p>
    <w:p w14:paraId="7BF50EAA">
      <w:pPr>
        <w:pStyle w:val="9"/>
        <w:ind w:firstLineChars="200"/>
        <w:rPr>
          <w:rFonts w:ascii="宋体" w:hAnsi="宋体" w:cs="宋体"/>
          <w:sz w:val="24"/>
        </w:rPr>
      </w:pPr>
      <w:r>
        <w:rPr>
          <w:rFonts w:hint="eastAsia" w:ascii="宋体" w:hAnsi="宋体" w:cs="宋体"/>
          <w:sz w:val="24"/>
        </w:rPr>
        <w:t>3.1验收标准</w:t>
      </w:r>
    </w:p>
    <w:p w14:paraId="3CF3981D">
      <w:pPr>
        <w:pStyle w:val="9"/>
        <w:spacing w:line="400" w:lineRule="exact"/>
        <w:ind w:firstLine="482"/>
        <w:rPr>
          <w:rFonts w:ascii="宋体" w:hAnsi="宋体" w:cs="宋体"/>
          <w:bCs/>
          <w:sz w:val="24"/>
        </w:rPr>
      </w:pPr>
      <w:r>
        <w:rPr>
          <w:rFonts w:hint="eastAsia" w:ascii="宋体" w:hAnsi="宋体" w:cs="宋体"/>
          <w:bCs/>
          <w:sz w:val="24"/>
          <w:lang w:val="en-US" w:eastAsia="zh-CN"/>
        </w:rPr>
        <w:t>中</w:t>
      </w:r>
      <w:r>
        <w:rPr>
          <w:rFonts w:hint="eastAsia" w:ascii="宋体" w:hAnsi="宋体" w:cs="宋体"/>
          <w:bCs/>
          <w:sz w:val="24"/>
          <w:lang w:eastAsia="zh-CN"/>
        </w:rPr>
        <w:t>中标人</w:t>
      </w:r>
      <w:r>
        <w:rPr>
          <w:rFonts w:hint="eastAsia" w:ascii="宋体" w:hAnsi="宋体" w:cs="宋体"/>
          <w:bCs/>
          <w:sz w:val="24"/>
        </w:rPr>
        <w:t>提供的项目技术支持及成果质量符合国家或相关行业标准，并满足合同约定的要求。</w:t>
      </w:r>
    </w:p>
    <w:p w14:paraId="4A92F226">
      <w:pPr>
        <w:pStyle w:val="9"/>
        <w:ind w:firstLineChars="200"/>
        <w:rPr>
          <w:rFonts w:ascii="宋体" w:hAnsi="宋体" w:cs="宋体"/>
          <w:sz w:val="24"/>
        </w:rPr>
      </w:pPr>
      <w:r>
        <w:rPr>
          <w:rFonts w:hint="eastAsia" w:ascii="宋体" w:hAnsi="宋体" w:cs="宋体"/>
          <w:sz w:val="24"/>
        </w:rPr>
        <w:t>3.2验收方式</w:t>
      </w:r>
    </w:p>
    <w:p w14:paraId="4525A669">
      <w:pPr>
        <w:snapToGrid w:val="0"/>
        <w:spacing w:line="400" w:lineRule="exact"/>
        <w:ind w:firstLine="444" w:firstLineChars="185"/>
        <w:rPr>
          <w:rFonts w:ascii="宋体" w:hAnsi="宋体" w:cs="宋体"/>
          <w:b/>
          <w:sz w:val="24"/>
        </w:rPr>
      </w:pPr>
      <w:r>
        <w:rPr>
          <w:rFonts w:hint="eastAsia" w:ascii="宋体" w:hAnsi="宋体" w:cs="宋体"/>
          <w:bCs/>
          <w:sz w:val="24"/>
          <w:lang w:val="zh-CN"/>
        </w:rPr>
        <w:t>在服务期满后</w:t>
      </w:r>
      <w:r>
        <w:rPr>
          <w:rFonts w:hint="eastAsia" w:ascii="宋体" w:hAnsi="宋体" w:cs="宋体"/>
          <w:bCs/>
          <w:sz w:val="24"/>
        </w:rPr>
        <w:t>2</w:t>
      </w:r>
      <w:r>
        <w:rPr>
          <w:rFonts w:hint="eastAsia" w:ascii="宋体" w:hAnsi="宋体" w:cs="宋体"/>
          <w:bCs/>
          <w:sz w:val="24"/>
          <w:lang w:val="zh-CN"/>
        </w:rPr>
        <w:t>0 个工作日内，</w:t>
      </w:r>
      <w:r>
        <w:rPr>
          <w:rFonts w:hint="eastAsia" w:ascii="宋体" w:hAnsi="宋体" w:cs="宋体"/>
          <w:bCs/>
          <w:sz w:val="24"/>
          <w:lang w:val="en-US" w:eastAsia="zh-CN"/>
        </w:rPr>
        <w:t>中</w:t>
      </w:r>
      <w:r>
        <w:rPr>
          <w:rFonts w:hint="eastAsia" w:ascii="宋体" w:hAnsi="宋体" w:cs="宋体"/>
          <w:bCs/>
          <w:sz w:val="24"/>
          <w:lang w:val="zh-CN"/>
        </w:rPr>
        <w:t>中标人向采购人提交验收材料后，由采购人组织验收工作。验收材料包括但不限于合同规定的各项服务清单等。验收不合格的，</w:t>
      </w:r>
      <w:r>
        <w:rPr>
          <w:rFonts w:hint="eastAsia" w:ascii="宋体" w:hAnsi="宋体" w:cs="宋体"/>
          <w:bCs/>
          <w:sz w:val="24"/>
          <w:lang w:val="en-US" w:eastAsia="zh-CN"/>
        </w:rPr>
        <w:t>中</w:t>
      </w:r>
      <w:r>
        <w:rPr>
          <w:rFonts w:hint="eastAsia" w:ascii="宋体" w:hAnsi="宋体" w:cs="宋体"/>
          <w:bCs/>
          <w:sz w:val="24"/>
          <w:lang w:val="zh-CN"/>
        </w:rPr>
        <w:t>中标人应当在15 日内进行调整，并重新提交验收。</w:t>
      </w:r>
    </w:p>
    <w:p w14:paraId="258FCE21">
      <w:pPr>
        <w:spacing w:line="360" w:lineRule="auto"/>
        <w:contextualSpacing/>
        <w:rPr>
          <w:rFonts w:ascii="宋体" w:hAnsi="宋体" w:cs="宋体"/>
          <w:sz w:val="24"/>
        </w:rPr>
      </w:pPr>
      <w:r>
        <w:rPr>
          <w:rFonts w:hint="eastAsia" w:ascii="宋体" w:hAnsi="宋体" w:cs="宋体"/>
          <w:sz w:val="24"/>
        </w:rPr>
        <w:t>4. 云平台安全防护能力</w:t>
      </w:r>
    </w:p>
    <w:p w14:paraId="3B4FD4EF">
      <w:pPr>
        <w:snapToGrid w:val="0"/>
        <w:spacing w:line="400" w:lineRule="exact"/>
        <w:ind w:firstLine="444" w:firstLineChars="185"/>
        <w:rPr>
          <w:rFonts w:ascii="宋体" w:hAnsi="宋体" w:cs="宋体"/>
          <w:bCs/>
          <w:sz w:val="24"/>
          <w:lang w:val="zh-CN"/>
        </w:rPr>
      </w:pPr>
      <w:r>
        <w:rPr>
          <w:rFonts w:hint="eastAsia" w:ascii="宋体" w:hAnsi="宋体" w:cs="宋体"/>
          <w:bCs/>
          <w:sz w:val="24"/>
          <w:lang w:val="zh-CN"/>
        </w:rPr>
        <w:t>中标人需提供标准云平台的安全管理服务和安全技术服务，包括但不限于云平台7*24小时监控、机房运维管理、应急演练、物理访问控制、机房三防、租户隔离、角色权限管理等。</w:t>
      </w:r>
    </w:p>
    <w:p w14:paraId="3CD88C45">
      <w:pPr>
        <w:snapToGrid w:val="0"/>
        <w:spacing w:line="400" w:lineRule="exact"/>
        <w:ind w:firstLine="444" w:firstLineChars="185"/>
        <w:rPr>
          <w:rFonts w:ascii="宋体" w:hAnsi="宋体" w:cs="宋体"/>
          <w:bCs/>
          <w:sz w:val="24"/>
          <w:lang w:val="zh-CN"/>
        </w:rPr>
      </w:pPr>
      <w:r>
        <w:rPr>
          <w:rFonts w:hint="eastAsia" w:ascii="宋体" w:hAnsi="宋体" w:cs="宋体"/>
          <w:bCs/>
          <w:sz w:val="24"/>
          <w:lang w:val="zh-CN"/>
        </w:rPr>
        <w:t>中标人所投云平台应具备完备的安全防护体系和安全防护设备，具有成熟的安全运维方案，应保证各业务应用系统的支撑环境，包括但不限于服务器、网络、存储以及相关物理环境，应能满足不低于网络安全等级保护（GB/T 22239-2019）第三级要求，并积极配合采购人根据各业务系统具体等保需求，开展相应等保评估、检查、整改等工作。中标人管辖范围内的硬件、软件及支撑环境资源，至少达到业务系统的最高安全等级要求。中标人提供的网站安全防护能力包括但不限于：Web攻击防护能力、DDoS攻击防护能力、CC攻击防护能力、高防DNS、爬虫攻击防护能力、敏感词过滤、双协议栈（支持IPv4、IPv6双协议并存）、攻击告警等。</w:t>
      </w:r>
    </w:p>
    <w:p w14:paraId="715683B6">
      <w:pPr>
        <w:snapToGrid w:val="0"/>
        <w:spacing w:line="400" w:lineRule="exact"/>
        <w:ind w:firstLine="444" w:firstLineChars="185"/>
        <w:rPr>
          <w:rFonts w:ascii="宋体" w:hAnsi="宋体" w:cs="宋体"/>
          <w:bCs/>
          <w:sz w:val="24"/>
          <w:lang w:val="zh-CN"/>
        </w:rPr>
      </w:pPr>
      <w:r>
        <w:rPr>
          <w:rFonts w:hint="eastAsia" w:ascii="宋体" w:hAnsi="宋体" w:cs="宋体"/>
          <w:bCs/>
          <w:sz w:val="24"/>
          <w:lang w:val="zh-CN"/>
        </w:rPr>
        <w:t>中标人所投云平台通过中央网信办云计算服务安全评估。</w:t>
      </w:r>
    </w:p>
    <w:p w14:paraId="00AE57E0">
      <w:pPr>
        <w:snapToGrid w:val="0"/>
        <w:spacing w:line="400" w:lineRule="exact"/>
        <w:ind w:firstLine="444" w:firstLineChars="185"/>
        <w:rPr>
          <w:rFonts w:ascii="宋体" w:hAnsi="宋体" w:cs="宋体"/>
          <w:bCs/>
          <w:sz w:val="24"/>
          <w:lang w:eastAsia="zh-Hans"/>
        </w:rPr>
      </w:pPr>
      <w:r>
        <w:rPr>
          <w:rFonts w:hint="eastAsia" w:ascii="宋体" w:hAnsi="宋体" w:cs="宋体"/>
          <w:bCs/>
          <w:sz w:val="24"/>
          <w:lang w:eastAsia="zh-CN"/>
        </w:rPr>
        <w:t>中标人</w:t>
      </w:r>
      <w:r>
        <w:rPr>
          <w:rFonts w:hint="eastAsia" w:ascii="宋体" w:hAnsi="宋体" w:cs="宋体"/>
          <w:bCs/>
          <w:sz w:val="24"/>
          <w:lang w:eastAsia="zh-Hans"/>
        </w:rPr>
        <w:t>所投云平台应具备商用密码服务能力，并通过商用密码应用安全性评估。</w:t>
      </w:r>
    </w:p>
    <w:p w14:paraId="6923F0BC">
      <w:pPr>
        <w:spacing w:line="360" w:lineRule="auto"/>
        <w:contextualSpacing/>
        <w:rPr>
          <w:rFonts w:ascii="宋体" w:hAnsi="宋体" w:cs="宋体"/>
          <w:sz w:val="24"/>
        </w:rPr>
      </w:pPr>
      <w:r>
        <w:rPr>
          <w:rFonts w:hint="eastAsia" w:ascii="宋体" w:hAnsi="宋体" w:cs="宋体"/>
          <w:sz w:val="24"/>
        </w:rPr>
        <w:t>5. 运维保障服务</w:t>
      </w:r>
    </w:p>
    <w:p w14:paraId="392C33CD">
      <w:pPr>
        <w:pStyle w:val="9"/>
        <w:ind w:firstLineChars="200"/>
        <w:rPr>
          <w:rFonts w:ascii="宋体" w:hAnsi="宋体" w:cs="宋体"/>
          <w:sz w:val="24"/>
          <w:lang w:val="zh-CN"/>
        </w:rPr>
      </w:pPr>
      <w:r>
        <w:rPr>
          <w:rFonts w:hint="eastAsia" w:ascii="宋体" w:hAnsi="宋体" w:cs="宋体"/>
          <w:sz w:val="24"/>
        </w:rPr>
        <w:t>5.1</w:t>
      </w:r>
      <w:r>
        <w:rPr>
          <w:rFonts w:hint="eastAsia" w:ascii="宋体" w:hAnsi="宋体" w:cs="宋体"/>
          <w:sz w:val="24"/>
          <w:lang w:val="zh-CN"/>
        </w:rPr>
        <w:t>服务规范</w:t>
      </w:r>
    </w:p>
    <w:p w14:paraId="2E932FCC">
      <w:pPr>
        <w:snapToGrid w:val="0"/>
        <w:spacing w:line="400" w:lineRule="exact"/>
        <w:ind w:firstLine="444" w:firstLineChars="185"/>
        <w:rPr>
          <w:rFonts w:ascii="宋体" w:hAnsi="宋体" w:cs="宋体"/>
          <w:bCs/>
          <w:sz w:val="24"/>
          <w:lang w:val="zh-CN"/>
        </w:rPr>
      </w:pPr>
      <w:r>
        <w:rPr>
          <w:rFonts w:hint="eastAsia" w:ascii="宋体" w:hAnsi="宋体" w:cs="宋体"/>
          <w:bCs/>
          <w:sz w:val="24"/>
          <w:lang w:val="zh-CN"/>
        </w:rPr>
        <w:t>中标人须严格按照政务云管理单位和采购单位制定的管理办法、流程、应急制度、文档管理、资产管理、基线管理、人员管理与培训、知识库管理、安全管理等相关制度，规范地开展标准化的运维服务工作。</w:t>
      </w:r>
    </w:p>
    <w:p w14:paraId="1790652C">
      <w:pPr>
        <w:pStyle w:val="9"/>
        <w:ind w:firstLineChars="200"/>
        <w:rPr>
          <w:rFonts w:ascii="宋体" w:hAnsi="宋体" w:cs="宋体"/>
          <w:sz w:val="24"/>
          <w:lang w:val="zh-CN"/>
        </w:rPr>
      </w:pPr>
      <w:r>
        <w:rPr>
          <w:rFonts w:hint="eastAsia" w:ascii="宋体" w:hAnsi="宋体" w:cs="宋体"/>
          <w:sz w:val="24"/>
        </w:rPr>
        <w:t>5.2</w:t>
      </w:r>
      <w:r>
        <w:rPr>
          <w:rFonts w:hint="eastAsia" w:ascii="宋体" w:hAnsi="宋体" w:cs="宋体"/>
          <w:sz w:val="24"/>
          <w:lang w:val="zh-CN"/>
        </w:rPr>
        <w:t>运维要求</w:t>
      </w:r>
    </w:p>
    <w:p w14:paraId="5B66E4B6">
      <w:pPr>
        <w:snapToGrid w:val="0"/>
        <w:spacing w:line="400" w:lineRule="exact"/>
        <w:ind w:firstLine="444" w:firstLineChars="185"/>
        <w:rPr>
          <w:rFonts w:ascii="宋体" w:hAnsi="宋体" w:cs="宋体"/>
          <w:bCs/>
          <w:sz w:val="24"/>
          <w:lang w:val="zh-CN"/>
        </w:rPr>
      </w:pPr>
      <w:r>
        <w:rPr>
          <w:rFonts w:hint="eastAsia" w:ascii="宋体" w:hAnsi="宋体" w:cs="宋体"/>
          <w:bCs/>
          <w:sz w:val="24"/>
          <w:lang w:val="zh-CN"/>
        </w:rPr>
        <w:t>中标人需利用监控系统或人工对机房环境、硬件设备及应用系统的运行情况进行7*24小时的监控，及时发现安全隐患，通知相关人员及时处理，并形成监控报告。</w:t>
      </w:r>
    </w:p>
    <w:p w14:paraId="1CC1BA7E">
      <w:pPr>
        <w:snapToGrid w:val="0"/>
        <w:spacing w:line="400" w:lineRule="exact"/>
        <w:ind w:firstLine="444" w:firstLineChars="185"/>
        <w:rPr>
          <w:rFonts w:ascii="宋体" w:hAnsi="宋体" w:cs="宋体"/>
          <w:bCs/>
          <w:sz w:val="24"/>
          <w:lang w:val="zh-CN"/>
        </w:rPr>
      </w:pPr>
      <w:r>
        <w:rPr>
          <w:rFonts w:hint="eastAsia" w:ascii="宋体" w:hAnsi="宋体" w:cs="宋体"/>
          <w:bCs/>
          <w:sz w:val="24"/>
          <w:lang w:val="zh-CN"/>
        </w:rPr>
        <w:t>中标人负责设立技术支持热线，并安排专人值守，为运维工作提供7*24小时热线支持服务。中标人针对采购人要求的云平台运维服务相关内容，需指定专业技术能力较强的工程师，根据采购人要求配合开展相关维护服务。</w:t>
      </w:r>
    </w:p>
    <w:p w14:paraId="4A2FC6D4">
      <w:pPr>
        <w:pStyle w:val="9"/>
        <w:ind w:firstLineChars="200"/>
        <w:rPr>
          <w:rFonts w:ascii="宋体" w:hAnsi="宋体" w:cs="宋体"/>
          <w:sz w:val="24"/>
          <w:lang w:val="zh-CN"/>
        </w:rPr>
      </w:pPr>
      <w:r>
        <w:rPr>
          <w:rFonts w:hint="eastAsia" w:ascii="宋体" w:hAnsi="宋体" w:cs="宋体"/>
          <w:sz w:val="24"/>
        </w:rPr>
        <w:t>5.3</w:t>
      </w:r>
      <w:r>
        <w:rPr>
          <w:rFonts w:hint="eastAsia" w:ascii="宋体" w:hAnsi="宋体" w:cs="宋体"/>
          <w:sz w:val="24"/>
          <w:lang w:val="zh-CN"/>
        </w:rPr>
        <w:t>安全及保密要求</w:t>
      </w:r>
    </w:p>
    <w:p w14:paraId="05F77842">
      <w:pPr>
        <w:snapToGrid w:val="0"/>
        <w:spacing w:line="400" w:lineRule="exact"/>
        <w:ind w:firstLine="444" w:firstLineChars="185"/>
        <w:rPr>
          <w:rFonts w:ascii="宋体" w:hAnsi="宋体" w:cs="宋体"/>
          <w:bCs/>
          <w:sz w:val="24"/>
          <w:lang w:val="zh-CN"/>
        </w:rPr>
      </w:pPr>
      <w:r>
        <w:rPr>
          <w:rFonts w:hint="eastAsia" w:ascii="宋体" w:hAnsi="宋体" w:cs="宋体"/>
          <w:bCs/>
          <w:sz w:val="24"/>
          <w:lang w:val="zh-CN"/>
        </w:rPr>
        <w:t>中标人须严格遵守采购人的相关信息安全规定，不得利用系统维护服务时的便利对采购人数据及其他信息擅自修改或透漏给第三方。</w:t>
      </w:r>
    </w:p>
    <w:p w14:paraId="2D62B317">
      <w:pPr>
        <w:pStyle w:val="9"/>
        <w:ind w:firstLineChars="200"/>
        <w:rPr>
          <w:rFonts w:ascii="宋体" w:hAnsi="宋体" w:cs="宋体"/>
          <w:sz w:val="24"/>
          <w:lang w:val="zh-CN"/>
        </w:rPr>
      </w:pPr>
      <w:r>
        <w:rPr>
          <w:rFonts w:hint="eastAsia" w:ascii="宋体" w:hAnsi="宋体" w:cs="宋体"/>
          <w:sz w:val="24"/>
        </w:rPr>
        <w:t>5.4</w:t>
      </w:r>
      <w:r>
        <w:rPr>
          <w:rFonts w:hint="eastAsia" w:ascii="宋体" w:hAnsi="宋体" w:cs="宋体"/>
          <w:sz w:val="24"/>
          <w:lang w:val="zh-CN"/>
        </w:rPr>
        <w:t>响应及时性要求</w:t>
      </w:r>
    </w:p>
    <w:p w14:paraId="6853E33A">
      <w:pPr>
        <w:snapToGrid w:val="0"/>
        <w:spacing w:line="400" w:lineRule="exact"/>
        <w:ind w:firstLine="444" w:firstLineChars="185"/>
        <w:rPr>
          <w:rFonts w:ascii="宋体" w:hAnsi="宋体" w:cs="宋体"/>
          <w:bCs/>
          <w:sz w:val="24"/>
          <w:lang w:val="zh-CN"/>
        </w:rPr>
      </w:pPr>
      <w:r>
        <w:rPr>
          <w:rFonts w:hint="eastAsia" w:ascii="宋体" w:hAnsi="宋体" w:cs="宋体"/>
          <w:bCs/>
          <w:sz w:val="24"/>
          <w:lang w:val="zh-CN"/>
        </w:rPr>
        <w:t>中标人应当提供高效的系统监控服务，有效防范系统风险，负责人7*24小时电话畅通，在系统发生故障时，中标人应在5分钟内响应，在30分钟之内处理故障，如需要运维人员现场处置的，应能协调人力资源在1小时内到达运维现场提供服务。</w:t>
      </w:r>
    </w:p>
    <w:p w14:paraId="071E3185">
      <w:pPr>
        <w:pStyle w:val="9"/>
        <w:ind w:firstLineChars="200"/>
        <w:rPr>
          <w:rFonts w:ascii="宋体" w:hAnsi="宋体" w:cs="宋体"/>
          <w:sz w:val="24"/>
          <w:lang w:val="zh-CN"/>
        </w:rPr>
      </w:pPr>
      <w:r>
        <w:rPr>
          <w:rFonts w:hint="eastAsia" w:ascii="宋体" w:hAnsi="宋体" w:cs="宋体"/>
          <w:sz w:val="24"/>
        </w:rPr>
        <w:t>5.5</w:t>
      </w:r>
      <w:r>
        <w:rPr>
          <w:rFonts w:hint="eastAsia" w:ascii="宋体" w:hAnsi="宋体" w:cs="宋体"/>
          <w:sz w:val="24"/>
          <w:lang w:val="zh-CN"/>
        </w:rPr>
        <w:t>重点保障要求</w:t>
      </w:r>
    </w:p>
    <w:p w14:paraId="0BFD512D">
      <w:pPr>
        <w:snapToGrid w:val="0"/>
        <w:spacing w:line="400" w:lineRule="exact"/>
        <w:ind w:firstLine="444" w:firstLineChars="185"/>
        <w:rPr>
          <w:rFonts w:ascii="宋体" w:hAnsi="宋体" w:cs="宋体"/>
          <w:bCs/>
          <w:sz w:val="24"/>
          <w:lang w:val="zh-CN"/>
        </w:rPr>
      </w:pPr>
      <w:r>
        <w:rPr>
          <w:rFonts w:hint="eastAsia" w:ascii="宋体" w:hAnsi="宋体" w:cs="宋体"/>
          <w:bCs/>
          <w:sz w:val="24"/>
          <w:lang w:val="zh-CN"/>
        </w:rPr>
        <w:t>为保障五一、十一、春节、两会等重要时期以及业务高峰期内的系统平稳运行，要求中标人根据业务周期性特点，加大运维保障力度，保证在业务高峰期内系统平稳运行。</w:t>
      </w:r>
    </w:p>
    <w:p w14:paraId="26DA8E88">
      <w:pPr>
        <w:pStyle w:val="9"/>
        <w:ind w:firstLineChars="200"/>
        <w:rPr>
          <w:rFonts w:ascii="宋体" w:hAnsi="宋体" w:cs="宋体"/>
          <w:sz w:val="24"/>
          <w:lang w:val="zh-CN"/>
        </w:rPr>
      </w:pPr>
      <w:r>
        <w:rPr>
          <w:rFonts w:hint="eastAsia" w:ascii="宋体" w:hAnsi="宋体" w:cs="宋体"/>
          <w:sz w:val="24"/>
        </w:rPr>
        <w:t>5.6</w:t>
      </w:r>
      <w:r>
        <w:rPr>
          <w:rFonts w:hint="eastAsia" w:ascii="宋体" w:hAnsi="宋体" w:cs="宋体"/>
          <w:sz w:val="24"/>
          <w:lang w:val="zh-CN"/>
        </w:rPr>
        <w:t>应急保障和风险防控措施</w:t>
      </w:r>
    </w:p>
    <w:p w14:paraId="391D6B33">
      <w:pPr>
        <w:snapToGrid w:val="0"/>
        <w:spacing w:line="400" w:lineRule="exact"/>
        <w:ind w:firstLine="444" w:firstLineChars="185"/>
        <w:rPr>
          <w:rFonts w:ascii="宋体" w:hAnsi="宋体" w:cs="宋体"/>
          <w:bCs/>
          <w:sz w:val="24"/>
          <w:lang w:val="zh-CN"/>
        </w:rPr>
      </w:pPr>
      <w:r>
        <w:rPr>
          <w:rFonts w:hint="eastAsia" w:ascii="宋体" w:hAnsi="宋体" w:cs="宋体"/>
          <w:bCs/>
          <w:sz w:val="24"/>
          <w:lang w:val="zh-CN"/>
        </w:rPr>
        <w:t>中标人应具备相应的应急预案与风险防控措施,在云平台运行维护期间，出现应急情况和风险状况时，按照预案处置，快速解决问题。</w:t>
      </w:r>
    </w:p>
    <w:p w14:paraId="7D4EEC2C">
      <w:pPr>
        <w:spacing w:line="360" w:lineRule="auto"/>
        <w:contextualSpacing/>
        <w:rPr>
          <w:rFonts w:ascii="宋体" w:hAnsi="宋体" w:cs="宋体"/>
          <w:sz w:val="24"/>
        </w:rPr>
      </w:pPr>
      <w:r>
        <w:rPr>
          <w:rFonts w:hint="eastAsia" w:ascii="宋体" w:hAnsi="宋体" w:cs="宋体"/>
          <w:sz w:val="24"/>
        </w:rPr>
        <w:t>6. 服务团队</w:t>
      </w:r>
    </w:p>
    <w:p w14:paraId="7C6D0297">
      <w:pPr>
        <w:snapToGrid w:val="0"/>
        <w:spacing w:line="400" w:lineRule="exact"/>
        <w:ind w:firstLine="444" w:firstLineChars="185"/>
        <w:rPr>
          <w:rFonts w:hint="eastAsia" w:ascii="宋体" w:hAnsi="宋体" w:cs="宋体"/>
          <w:bCs/>
          <w:sz w:val="24"/>
          <w:lang w:val="en-US" w:eastAsia="zh-CN"/>
        </w:rPr>
      </w:pPr>
      <w:r>
        <w:rPr>
          <w:rFonts w:hint="eastAsia" w:ascii="宋体" w:hAnsi="宋体" w:cs="宋体"/>
          <w:bCs/>
          <w:sz w:val="24"/>
          <w:lang w:val="en-US" w:eastAsia="zh-CN"/>
        </w:rPr>
        <w:t>6.1团队要求</w:t>
      </w:r>
    </w:p>
    <w:p w14:paraId="753BAFA3">
      <w:pPr>
        <w:snapToGrid w:val="0"/>
        <w:spacing w:line="400" w:lineRule="exact"/>
        <w:ind w:firstLine="444" w:firstLineChars="185"/>
        <w:rPr>
          <w:rFonts w:hint="eastAsia" w:ascii="宋体" w:hAnsi="宋体" w:cs="宋体"/>
          <w:bCs/>
          <w:sz w:val="24"/>
          <w:lang w:val="zh-CN"/>
        </w:rPr>
      </w:pPr>
      <w:r>
        <w:rPr>
          <w:rFonts w:hint="eastAsia" w:ascii="宋体" w:hAnsi="宋体" w:cs="宋体"/>
          <w:bCs/>
          <w:sz w:val="24"/>
          <w:lang w:val="zh-CN"/>
        </w:rPr>
        <w:t>中标人须根据项目要求安排具备相应资质和经验的专业人员从事本项目工作，</w:t>
      </w:r>
      <w:r>
        <w:rPr>
          <w:rFonts w:hint="eastAsia" w:ascii="宋体" w:hAnsi="宋体" w:cs="宋体"/>
          <w:bCs/>
          <w:sz w:val="24"/>
          <w:lang w:val="en-US" w:eastAsia="zh-CN"/>
        </w:rPr>
        <w:t>本项目须设项目经理、技术负责人及安全员</w:t>
      </w:r>
      <w:r>
        <w:rPr>
          <w:rFonts w:hint="eastAsia" w:ascii="宋体" w:hAnsi="宋体" w:cs="宋体"/>
          <w:bCs/>
          <w:sz w:val="24"/>
          <w:lang w:val="zh-CN"/>
        </w:rPr>
        <w:t>，须确保项目实施队伍的稳定，提供本地化服务。中标人需提供项目团队组织架构、成员名单、成员职责，保证担任重要岗位的人员具备相应专业资质。</w:t>
      </w:r>
    </w:p>
    <w:p w14:paraId="5A8DEED5">
      <w:pPr>
        <w:spacing w:line="360" w:lineRule="auto"/>
        <w:ind w:firstLine="480" w:firstLineChars="200"/>
        <w:contextualSpacing/>
        <w:rPr>
          <w:rFonts w:hint="eastAsia" w:ascii="宋体" w:hAnsi="宋体" w:cs="宋体"/>
          <w:sz w:val="24"/>
          <w:lang w:val="zh-CN"/>
        </w:rPr>
      </w:pPr>
      <w:r>
        <w:rPr>
          <w:rFonts w:hint="eastAsia" w:ascii="宋体" w:hAnsi="宋体" w:cs="宋体"/>
          <w:sz w:val="24"/>
          <w:lang w:val="en-US" w:eastAsia="zh-CN"/>
        </w:rPr>
        <w:t>6.2团队人员要求</w:t>
      </w:r>
    </w:p>
    <w:p w14:paraId="58534EA7">
      <w:pPr>
        <w:spacing w:line="360" w:lineRule="auto"/>
        <w:ind w:firstLine="480" w:firstLineChars="200"/>
        <w:contextualSpacing/>
        <w:rPr>
          <w:rFonts w:hint="eastAsia" w:ascii="宋体" w:hAnsi="宋体" w:cs="宋体"/>
          <w:sz w:val="24"/>
          <w:lang w:val="zh-CN" w:eastAsia="zh-CN"/>
        </w:rPr>
      </w:pPr>
      <w:r>
        <w:rPr>
          <w:rFonts w:hint="eastAsia" w:ascii="宋体" w:hAnsi="宋体" w:cs="宋体"/>
          <w:sz w:val="24"/>
          <w:lang w:val="zh-CN" w:eastAsia="zh-CN"/>
        </w:rPr>
        <w:t>（</w:t>
      </w:r>
      <w:r>
        <w:rPr>
          <w:rFonts w:hint="eastAsia" w:ascii="宋体" w:hAnsi="宋体" w:cs="宋体"/>
          <w:sz w:val="24"/>
          <w:lang w:val="en-US" w:eastAsia="zh-CN"/>
        </w:rPr>
        <w:t>1</w:t>
      </w:r>
      <w:r>
        <w:rPr>
          <w:rFonts w:hint="eastAsia" w:ascii="宋体" w:hAnsi="宋体" w:cs="宋体"/>
          <w:sz w:val="24"/>
          <w:lang w:val="zh-CN" w:eastAsia="zh-CN"/>
        </w:rPr>
        <w:t>）项目经理资格要求：</w:t>
      </w:r>
    </w:p>
    <w:p w14:paraId="4656285B">
      <w:pPr>
        <w:spacing w:line="360" w:lineRule="auto"/>
        <w:ind w:firstLine="480" w:firstLineChars="200"/>
        <w:contextualSpacing/>
        <w:rPr>
          <w:rFonts w:hint="eastAsia" w:ascii="宋体" w:hAnsi="宋体" w:cs="宋体"/>
          <w:sz w:val="24"/>
          <w:lang w:val="zh-CN" w:eastAsia="zh-CN"/>
        </w:rPr>
      </w:pPr>
      <w:r>
        <w:rPr>
          <w:rFonts w:hint="eastAsia" w:ascii="宋体" w:hAnsi="宋体" w:cs="宋体"/>
          <w:sz w:val="24"/>
          <w:lang w:val="en-US" w:eastAsia="zh-CN"/>
        </w:rPr>
        <w:t>需</w:t>
      </w:r>
      <w:r>
        <w:rPr>
          <w:rFonts w:hint="eastAsia" w:ascii="宋体" w:hAnsi="宋体" w:cs="宋体"/>
          <w:sz w:val="24"/>
          <w:lang w:val="zh-CN" w:eastAsia="zh-CN"/>
        </w:rPr>
        <w:t>有高级信息系统项目管理师证书（以人社部或工信部颁发为准）；</w:t>
      </w:r>
    </w:p>
    <w:p w14:paraId="7FF9F985">
      <w:pPr>
        <w:spacing w:line="360" w:lineRule="auto"/>
        <w:ind w:firstLine="480" w:firstLineChars="200"/>
        <w:contextualSpacing/>
        <w:rPr>
          <w:rFonts w:hint="eastAsia" w:ascii="宋体" w:hAnsi="宋体" w:cs="宋体"/>
          <w:sz w:val="24"/>
          <w:lang w:val="zh-CN" w:eastAsia="zh-CN"/>
        </w:rPr>
      </w:pPr>
      <w:r>
        <w:rPr>
          <w:rFonts w:hint="eastAsia" w:ascii="宋体" w:hAnsi="宋体" w:cs="宋体"/>
          <w:bCs/>
          <w:sz w:val="24"/>
          <w:lang w:val="en-US" w:eastAsia="zh-CN"/>
        </w:rPr>
        <w:t>需</w:t>
      </w:r>
      <w:r>
        <w:rPr>
          <w:rFonts w:hint="eastAsia" w:ascii="宋体" w:hAnsi="宋体" w:cs="宋体"/>
          <w:bCs/>
          <w:sz w:val="24"/>
          <w:lang w:val="zh-CN" w:eastAsia="zh-CN"/>
        </w:rPr>
        <w:t>提供劳动合同复印件或提供近六个月任意一个月的社保证明</w:t>
      </w:r>
      <w:r>
        <w:rPr>
          <w:rFonts w:hint="eastAsia" w:ascii="宋体" w:hAnsi="宋体" w:cs="宋体"/>
          <w:sz w:val="24"/>
          <w:lang w:val="zh-CN" w:eastAsia="zh-CN"/>
        </w:rPr>
        <w:t>。</w:t>
      </w:r>
    </w:p>
    <w:p w14:paraId="63CC6D7D">
      <w:pPr>
        <w:spacing w:line="360" w:lineRule="auto"/>
        <w:ind w:firstLine="480" w:firstLineChars="200"/>
        <w:contextualSpacing/>
        <w:rPr>
          <w:rFonts w:hint="eastAsia" w:ascii="宋体" w:hAnsi="宋体" w:cs="宋体"/>
          <w:sz w:val="24"/>
          <w:lang w:val="zh-CN" w:eastAsia="zh-CN"/>
        </w:rPr>
      </w:pPr>
      <w:r>
        <w:rPr>
          <w:rFonts w:hint="eastAsia" w:ascii="宋体" w:hAnsi="宋体" w:cs="宋体"/>
          <w:sz w:val="24"/>
          <w:lang w:val="zh-CN" w:eastAsia="zh-CN"/>
        </w:rPr>
        <w:t>（</w:t>
      </w:r>
      <w:r>
        <w:rPr>
          <w:rFonts w:hint="eastAsia" w:ascii="宋体" w:hAnsi="宋体" w:cs="宋体"/>
          <w:sz w:val="24"/>
          <w:lang w:val="en-US" w:eastAsia="zh-CN"/>
        </w:rPr>
        <w:t>2</w:t>
      </w:r>
      <w:r>
        <w:rPr>
          <w:rFonts w:hint="eastAsia" w:ascii="宋体" w:hAnsi="宋体" w:cs="宋体"/>
          <w:sz w:val="24"/>
          <w:lang w:val="zh-CN" w:eastAsia="zh-CN"/>
        </w:rPr>
        <w:t>）技术负责人资格要求：</w:t>
      </w:r>
    </w:p>
    <w:p w14:paraId="63011E73">
      <w:pPr>
        <w:spacing w:line="360" w:lineRule="auto"/>
        <w:ind w:firstLine="480" w:firstLineChars="200"/>
        <w:contextualSpacing/>
        <w:rPr>
          <w:rFonts w:hint="eastAsia" w:ascii="宋体" w:hAnsi="宋体" w:cs="宋体"/>
          <w:sz w:val="24"/>
          <w:lang w:val="zh-CN" w:eastAsia="zh-CN"/>
        </w:rPr>
      </w:pPr>
      <w:r>
        <w:rPr>
          <w:rFonts w:hint="eastAsia" w:ascii="宋体" w:hAnsi="宋体" w:cs="宋体"/>
          <w:sz w:val="24"/>
          <w:lang w:val="zh-CN" w:eastAsia="zh-CN"/>
        </w:rPr>
        <w:t>需具备高级工程师或以上职称证书（需由省级及以上人社部门）；</w:t>
      </w:r>
    </w:p>
    <w:p w14:paraId="6D6810A9">
      <w:pPr>
        <w:spacing w:line="360" w:lineRule="auto"/>
        <w:ind w:firstLine="480" w:firstLineChars="200"/>
        <w:contextualSpacing/>
        <w:rPr>
          <w:rFonts w:hint="eastAsia" w:ascii="宋体" w:hAnsi="宋体" w:cs="宋体"/>
          <w:sz w:val="24"/>
          <w:lang w:val="zh-CN" w:eastAsia="zh-CN"/>
        </w:rPr>
      </w:pPr>
      <w:r>
        <w:rPr>
          <w:rFonts w:hint="eastAsia" w:ascii="宋体" w:hAnsi="宋体" w:cs="宋体"/>
          <w:bCs/>
          <w:sz w:val="24"/>
          <w:lang w:val="en-US" w:eastAsia="zh-CN"/>
        </w:rPr>
        <w:t>需</w:t>
      </w:r>
      <w:r>
        <w:rPr>
          <w:rFonts w:hint="eastAsia" w:ascii="宋体" w:hAnsi="宋体" w:cs="宋体"/>
          <w:bCs/>
          <w:sz w:val="24"/>
          <w:lang w:val="zh-CN" w:eastAsia="zh-CN"/>
        </w:rPr>
        <w:t>提供劳动合同复印件或提供近六个月任意一个月的社保证明</w:t>
      </w:r>
      <w:r>
        <w:rPr>
          <w:rFonts w:hint="eastAsia" w:ascii="宋体" w:hAnsi="宋体" w:cs="宋体"/>
          <w:sz w:val="24"/>
          <w:lang w:val="zh-CN" w:eastAsia="zh-CN"/>
        </w:rPr>
        <w:t>。</w:t>
      </w:r>
    </w:p>
    <w:p w14:paraId="50FDE654">
      <w:pPr>
        <w:spacing w:line="360" w:lineRule="auto"/>
        <w:ind w:firstLine="480" w:firstLineChars="200"/>
        <w:contextualSpacing/>
        <w:rPr>
          <w:rFonts w:hint="eastAsia" w:ascii="宋体" w:hAnsi="宋体" w:cs="宋体"/>
          <w:sz w:val="24"/>
          <w:lang w:val="zh-CN" w:eastAsia="zh-CN"/>
        </w:rPr>
      </w:pPr>
      <w:r>
        <w:rPr>
          <w:rFonts w:hint="eastAsia" w:ascii="宋体" w:hAnsi="宋体" w:cs="宋体"/>
          <w:sz w:val="24"/>
          <w:lang w:val="zh-CN" w:eastAsia="zh-CN"/>
        </w:rPr>
        <w:t>（</w:t>
      </w:r>
      <w:r>
        <w:rPr>
          <w:rFonts w:hint="eastAsia" w:ascii="宋体" w:hAnsi="宋体" w:cs="宋体"/>
          <w:sz w:val="24"/>
          <w:lang w:val="en-US" w:eastAsia="zh-CN"/>
        </w:rPr>
        <w:t>3</w:t>
      </w:r>
      <w:r>
        <w:rPr>
          <w:rFonts w:hint="eastAsia" w:ascii="宋体" w:hAnsi="宋体" w:cs="宋体"/>
          <w:sz w:val="24"/>
          <w:lang w:val="zh-CN" w:eastAsia="zh-CN"/>
        </w:rPr>
        <w:t>）安全员资格要求：</w:t>
      </w:r>
    </w:p>
    <w:p w14:paraId="7D122F8B">
      <w:pPr>
        <w:spacing w:line="360" w:lineRule="auto"/>
        <w:ind w:firstLine="480" w:firstLineChars="200"/>
        <w:contextualSpacing/>
        <w:rPr>
          <w:rFonts w:hint="eastAsia" w:ascii="宋体" w:hAnsi="宋体" w:cs="宋体"/>
          <w:sz w:val="24"/>
          <w:lang w:val="zh-CN" w:eastAsia="zh-CN"/>
        </w:rPr>
      </w:pPr>
      <w:r>
        <w:rPr>
          <w:rFonts w:hint="eastAsia" w:ascii="宋体" w:hAnsi="宋体" w:cs="宋体"/>
          <w:sz w:val="24"/>
          <w:lang w:val="en-US" w:eastAsia="zh-CN"/>
        </w:rPr>
        <w:t>需</w:t>
      </w:r>
      <w:r>
        <w:rPr>
          <w:rFonts w:hint="eastAsia" w:ascii="宋体" w:hAnsi="宋体" w:cs="宋体"/>
          <w:sz w:val="24"/>
          <w:lang w:val="zh-CN" w:eastAsia="zh-CN"/>
        </w:rPr>
        <w:t>持有注册信息安全专业人员证书。</w:t>
      </w:r>
    </w:p>
    <w:p w14:paraId="66E288F3">
      <w:pPr>
        <w:spacing w:line="360" w:lineRule="auto"/>
        <w:ind w:firstLine="480" w:firstLineChars="200"/>
        <w:contextualSpacing/>
        <w:rPr>
          <w:rFonts w:hint="eastAsia" w:eastAsia="宋体"/>
          <w:lang w:val="zh-CN" w:eastAsia="zh-CN"/>
        </w:rPr>
      </w:pPr>
      <w:r>
        <w:rPr>
          <w:rFonts w:hint="eastAsia" w:ascii="宋体" w:hAnsi="宋体" w:cs="宋体"/>
          <w:bCs/>
          <w:sz w:val="24"/>
          <w:lang w:val="en-US" w:eastAsia="zh-CN"/>
        </w:rPr>
        <w:t>需</w:t>
      </w:r>
      <w:r>
        <w:rPr>
          <w:rFonts w:hint="eastAsia" w:ascii="宋体" w:hAnsi="宋体" w:cs="宋体"/>
          <w:bCs/>
          <w:sz w:val="24"/>
          <w:lang w:val="zh-CN" w:eastAsia="zh-CN"/>
        </w:rPr>
        <w:t>提供劳动合同复印件或提供近六个月任意一个月的社保证明</w:t>
      </w:r>
      <w:r>
        <w:rPr>
          <w:rFonts w:hint="eastAsia"/>
          <w:lang w:eastAsia="zh-CN"/>
        </w:rPr>
        <w:t>。</w:t>
      </w:r>
    </w:p>
    <w:p w14:paraId="6EDD0385">
      <w:pPr>
        <w:spacing w:line="360" w:lineRule="auto"/>
        <w:ind w:firstLine="480" w:firstLineChars="200"/>
        <w:contextualSpacing/>
        <w:rPr>
          <w:rFonts w:hint="eastAsia" w:ascii="宋体" w:hAnsi="宋体" w:cs="宋体"/>
          <w:sz w:val="24"/>
          <w:lang w:val="zh-CN" w:eastAsia="zh-CN"/>
        </w:rPr>
      </w:pPr>
      <w:r>
        <w:rPr>
          <w:rFonts w:hint="eastAsia" w:ascii="宋体" w:hAnsi="宋体" w:cs="宋体"/>
          <w:sz w:val="24"/>
          <w:lang w:val="zh-CN" w:eastAsia="zh-CN"/>
        </w:rPr>
        <w:t>（</w:t>
      </w:r>
      <w:r>
        <w:rPr>
          <w:rFonts w:hint="eastAsia" w:ascii="宋体" w:hAnsi="宋体" w:cs="宋体"/>
          <w:sz w:val="24"/>
          <w:lang w:val="en-US" w:eastAsia="zh-CN"/>
        </w:rPr>
        <w:t>4</w:t>
      </w:r>
      <w:r>
        <w:rPr>
          <w:rFonts w:hint="eastAsia" w:ascii="宋体" w:hAnsi="宋体" w:cs="宋体"/>
          <w:sz w:val="24"/>
          <w:lang w:val="zh-CN" w:eastAsia="zh-CN"/>
        </w:rPr>
        <w:t>）其他项目成员资格要求：</w:t>
      </w:r>
    </w:p>
    <w:p w14:paraId="7CC6CA79">
      <w:pPr>
        <w:spacing w:line="360" w:lineRule="auto"/>
        <w:ind w:firstLine="480" w:firstLineChars="200"/>
        <w:contextualSpacing/>
        <w:rPr>
          <w:rFonts w:hint="eastAsia" w:ascii="宋体" w:hAnsi="宋体" w:cs="宋体"/>
          <w:sz w:val="24"/>
          <w:lang w:val="zh-CN" w:eastAsia="zh-CN"/>
        </w:rPr>
      </w:pPr>
      <w:r>
        <w:rPr>
          <w:rFonts w:hint="eastAsia" w:ascii="宋体" w:hAnsi="宋体" w:cs="宋体"/>
          <w:sz w:val="24"/>
          <w:lang w:val="zh-CN" w:eastAsia="zh-CN"/>
        </w:rPr>
        <w:t>除上述岗位外，团队成员均需至少持有以下 6类证书中的任意一种：系统分析师、</w:t>
      </w:r>
    </w:p>
    <w:p w14:paraId="54E860FC">
      <w:pPr>
        <w:spacing w:line="360" w:lineRule="auto"/>
        <w:contextualSpacing/>
        <w:rPr>
          <w:rFonts w:hint="eastAsia" w:ascii="宋体" w:hAnsi="宋体" w:cs="宋体"/>
          <w:sz w:val="24"/>
          <w:lang w:val="zh-CN" w:eastAsia="zh-CN"/>
        </w:rPr>
      </w:pPr>
      <w:r>
        <w:rPr>
          <w:rFonts w:hint="eastAsia" w:ascii="宋体" w:hAnsi="宋体" w:cs="宋体"/>
          <w:sz w:val="24"/>
          <w:lang w:val="zh-CN" w:eastAsia="zh-CN"/>
        </w:rPr>
        <w:t>系统架构设计师、网络规划设计师、网络工程师、数据库系统工程师、软件设计师。</w:t>
      </w:r>
    </w:p>
    <w:p w14:paraId="16BE8915">
      <w:pPr>
        <w:spacing w:line="360" w:lineRule="auto"/>
        <w:contextualSpacing/>
        <w:rPr>
          <w:rFonts w:hint="eastAsia" w:ascii="宋体" w:hAnsi="宋体" w:cs="宋体"/>
          <w:sz w:val="24"/>
          <w:lang w:val="zh-CN" w:eastAsia="zh-CN"/>
        </w:rPr>
      </w:pPr>
      <w:r>
        <w:rPr>
          <w:rFonts w:hint="eastAsia" w:ascii="宋体" w:hAnsi="宋体" w:cs="宋体"/>
          <w:sz w:val="24"/>
          <w:lang w:val="zh-CN" w:eastAsia="zh-CN"/>
        </w:rPr>
        <w:t>（证书需由人社部、工信部颁发，并提供有效期证明。</w:t>
      </w:r>
      <w:r>
        <w:rPr>
          <w:rFonts w:hint="eastAsia" w:ascii="宋体" w:hAnsi="宋体" w:cs="宋体"/>
          <w:bCs/>
          <w:sz w:val="24"/>
          <w:lang w:val="en-US" w:eastAsia="zh-CN"/>
        </w:rPr>
        <w:t>需</w:t>
      </w:r>
      <w:r>
        <w:rPr>
          <w:rFonts w:hint="eastAsia" w:ascii="宋体" w:hAnsi="宋体" w:cs="宋体"/>
          <w:bCs/>
          <w:sz w:val="24"/>
          <w:lang w:val="zh-CN" w:eastAsia="zh-CN"/>
        </w:rPr>
        <w:t>提供劳动合同复印件或提供近六个月任意一个月的社保证明</w:t>
      </w:r>
      <w:r>
        <w:rPr>
          <w:rFonts w:hint="eastAsia"/>
          <w:lang w:eastAsia="zh-CN"/>
        </w:rPr>
        <w:t>。</w:t>
      </w:r>
      <w:r>
        <w:rPr>
          <w:rFonts w:hint="eastAsia" w:ascii="宋体" w:hAnsi="宋体" w:cs="宋体"/>
          <w:sz w:val="24"/>
          <w:lang w:val="zh-CN" w:eastAsia="zh-CN"/>
        </w:rPr>
        <w:t>）</w:t>
      </w:r>
    </w:p>
    <w:p w14:paraId="5DF63ACD">
      <w:pPr>
        <w:spacing w:line="360" w:lineRule="auto"/>
        <w:contextualSpacing/>
        <w:rPr>
          <w:rFonts w:ascii="宋体" w:hAnsi="宋体" w:cs="宋体"/>
          <w:sz w:val="24"/>
        </w:rPr>
      </w:pPr>
      <w:r>
        <w:rPr>
          <w:rFonts w:hint="eastAsia" w:ascii="宋体" w:hAnsi="宋体" w:cs="宋体"/>
          <w:sz w:val="24"/>
        </w:rPr>
        <w:t>7. 业务连续性要求</w:t>
      </w:r>
    </w:p>
    <w:p w14:paraId="49103FFF">
      <w:pPr>
        <w:snapToGrid w:val="0"/>
        <w:spacing w:line="400" w:lineRule="exact"/>
        <w:ind w:firstLine="444" w:firstLineChars="185"/>
        <w:rPr>
          <w:rFonts w:ascii="宋体" w:hAnsi="宋体" w:cs="宋体"/>
          <w:bCs/>
          <w:sz w:val="24"/>
          <w:lang w:val="zh-CN"/>
        </w:rPr>
      </w:pPr>
      <w:r>
        <w:rPr>
          <w:rFonts w:hint="eastAsia" w:ascii="宋体" w:hAnsi="宋体" w:cs="宋体"/>
          <w:bCs/>
          <w:sz w:val="24"/>
          <w:lang w:val="zh-CN"/>
        </w:rPr>
        <w:t>本项目涉及的应用系统为采购人在用的生产系统，目前在北京市政务云上平稳运行，因此业务连续性是首要的保障需求。</w:t>
      </w:r>
    </w:p>
    <w:p w14:paraId="0EA15E6B">
      <w:pPr>
        <w:snapToGrid w:val="0"/>
        <w:spacing w:line="400" w:lineRule="exact"/>
        <w:ind w:firstLine="444" w:firstLineChars="185"/>
        <w:rPr>
          <w:rFonts w:ascii="宋体" w:hAnsi="宋体" w:cs="宋体"/>
          <w:bCs/>
          <w:sz w:val="24"/>
          <w:lang w:val="zh-CN"/>
        </w:rPr>
      </w:pPr>
      <w:r>
        <w:rPr>
          <w:rFonts w:hint="eastAsia" w:ascii="宋体" w:hAnsi="宋体" w:cs="宋体"/>
          <w:bCs/>
          <w:sz w:val="24"/>
          <w:lang w:val="zh-CN"/>
        </w:rPr>
        <w:t>具体要求如下：</w:t>
      </w:r>
    </w:p>
    <w:p w14:paraId="5DA12E30">
      <w:pPr>
        <w:snapToGrid w:val="0"/>
        <w:spacing w:line="400" w:lineRule="exact"/>
        <w:ind w:firstLine="480" w:firstLineChars="200"/>
        <w:rPr>
          <w:rFonts w:ascii="宋体" w:hAnsi="宋体" w:cs="宋体"/>
          <w:bCs/>
          <w:sz w:val="24"/>
          <w:lang w:val="zh-CN"/>
        </w:rPr>
      </w:pPr>
      <w:r>
        <w:rPr>
          <w:rFonts w:hint="eastAsia" w:ascii="宋体" w:hAnsi="宋体" w:cs="宋体"/>
          <w:bCs/>
          <w:sz w:val="24"/>
          <w:lang w:val="zh-CN"/>
        </w:rPr>
        <w:t>（</w:t>
      </w:r>
      <w:r>
        <w:rPr>
          <w:rFonts w:hint="eastAsia" w:ascii="宋体" w:hAnsi="宋体" w:cs="宋体"/>
          <w:bCs/>
          <w:sz w:val="24"/>
        </w:rPr>
        <w:t>1</w:t>
      </w:r>
      <w:r>
        <w:rPr>
          <w:rFonts w:hint="eastAsia" w:ascii="宋体" w:hAnsi="宋体" w:cs="宋体"/>
          <w:bCs/>
          <w:sz w:val="24"/>
          <w:lang w:val="zh-CN"/>
        </w:rPr>
        <w:t>）本项目如涉及系统迁移，中标人需编制业务连续性服务方案。中标人以迁移时间窗口与进度要求为总约束，合理规划，科学组织。迁移部署服务子方案应包括（但不限于）政务云资源配置、应用迁移、数据迁移、测试验证、业务割接、风险评估、迁移期间安全保障、迁移期间应急保障、迁移期间运维保障等内容。</w:t>
      </w:r>
    </w:p>
    <w:p w14:paraId="30C5F21C">
      <w:pPr>
        <w:snapToGrid w:val="0"/>
        <w:spacing w:line="400" w:lineRule="exact"/>
        <w:ind w:firstLine="480" w:firstLineChars="200"/>
        <w:rPr>
          <w:rFonts w:ascii="宋体" w:hAnsi="宋体" w:cs="宋体"/>
          <w:bCs/>
          <w:sz w:val="24"/>
          <w:lang w:val="zh-CN"/>
        </w:rPr>
      </w:pPr>
      <w:r>
        <w:rPr>
          <w:rFonts w:hint="eastAsia" w:ascii="宋体" w:hAnsi="宋体" w:cs="宋体"/>
          <w:bCs/>
          <w:sz w:val="24"/>
          <w:lang w:val="zh-CN"/>
        </w:rPr>
        <w:t>（</w:t>
      </w:r>
      <w:r>
        <w:rPr>
          <w:rFonts w:hint="eastAsia" w:ascii="宋体" w:hAnsi="宋体" w:cs="宋体"/>
          <w:bCs/>
          <w:sz w:val="24"/>
        </w:rPr>
        <w:t>2</w:t>
      </w:r>
      <w:r>
        <w:rPr>
          <w:rFonts w:hint="eastAsia" w:ascii="宋体" w:hAnsi="宋体" w:cs="宋体"/>
          <w:bCs/>
          <w:sz w:val="24"/>
          <w:lang w:val="zh-CN"/>
        </w:rPr>
        <w:t>）本项目如涉及系统迁移，针对已经运行在政务云平台上的应用系统，为确保迁移过程中数据不丢失、系统业务不中断，</w:t>
      </w:r>
      <w:r>
        <w:rPr>
          <w:rFonts w:hint="eastAsia" w:ascii="宋体" w:hAnsi="宋体" w:cs="宋体"/>
          <w:bCs/>
          <w:sz w:val="24"/>
          <w:lang w:val="en-US" w:eastAsia="zh-CN"/>
        </w:rPr>
        <w:t>应确保迁移部署上线时间为5个工作日以内。</w:t>
      </w:r>
      <w:r>
        <w:rPr>
          <w:rFonts w:hint="eastAsia" w:ascii="宋体" w:hAnsi="宋体" w:cs="宋体"/>
          <w:bCs/>
          <w:sz w:val="24"/>
          <w:lang w:val="zh-CN"/>
        </w:rPr>
        <w:t>中标人负责与原政务云平台的服务商进行主动对接，中标人需承诺系统迁移涉及的所有费用（包括但不限于中标人迁移测试阶段的云资源费用，第三方对业务系统的部署、调试费用等）由中标人承担。</w:t>
      </w:r>
    </w:p>
    <w:p w14:paraId="759BAA9E">
      <w:pPr>
        <w:spacing w:line="360" w:lineRule="auto"/>
        <w:contextualSpacing/>
        <w:rPr>
          <w:rFonts w:ascii="宋体" w:hAnsi="宋体" w:cs="宋体"/>
          <w:sz w:val="24"/>
        </w:rPr>
      </w:pPr>
      <w:r>
        <w:rPr>
          <w:rFonts w:hint="eastAsia" w:ascii="宋体" w:hAnsi="宋体" w:cs="宋体"/>
          <w:sz w:val="24"/>
        </w:rPr>
        <w:t>8. 技术指标要求</w:t>
      </w:r>
    </w:p>
    <w:p w14:paraId="0EC478F0">
      <w:pPr>
        <w:snapToGrid w:val="0"/>
        <w:spacing w:line="400" w:lineRule="exact"/>
        <w:ind w:firstLine="480" w:firstLineChars="200"/>
        <w:rPr>
          <w:rFonts w:ascii="宋体" w:hAnsi="宋体" w:cs="宋体"/>
          <w:bCs/>
          <w:sz w:val="24"/>
          <w:lang w:val="zh-CN" w:eastAsia="zh-Hans"/>
        </w:rPr>
      </w:pPr>
      <w:r>
        <w:rPr>
          <w:rFonts w:hint="eastAsia" w:ascii="宋体" w:hAnsi="宋体" w:cs="宋体"/>
          <w:bCs/>
          <w:sz w:val="24"/>
          <w:lang w:val="zh-CN" w:eastAsia="zh-Hans"/>
        </w:rPr>
        <w:t>（</w:t>
      </w:r>
      <w:r>
        <w:rPr>
          <w:rFonts w:hint="eastAsia" w:ascii="宋体" w:hAnsi="宋体" w:cs="宋体"/>
          <w:bCs/>
          <w:sz w:val="24"/>
        </w:rPr>
        <w:t>1）</w:t>
      </w:r>
      <w:r>
        <w:rPr>
          <w:rFonts w:hint="eastAsia" w:ascii="宋体" w:hAnsi="宋体" w:cs="宋体"/>
          <w:bCs/>
          <w:sz w:val="24"/>
          <w:lang w:val="zh-CN" w:eastAsia="zh-Hans"/>
        </w:rPr>
        <w:t>云平台运行技术指标应符合国家法规、标准，云平台可用性不低于99.99%，数据可靠性不低于 99.9999%。</w:t>
      </w:r>
    </w:p>
    <w:p w14:paraId="537FB455">
      <w:pPr>
        <w:snapToGrid w:val="0"/>
        <w:spacing w:line="400" w:lineRule="exact"/>
        <w:ind w:firstLine="480" w:firstLineChars="200"/>
        <w:rPr>
          <w:rFonts w:ascii="宋体" w:hAnsi="宋体" w:cs="宋体"/>
          <w:bCs/>
          <w:sz w:val="24"/>
          <w:lang w:val="zh-CN" w:eastAsia="zh-Hans"/>
        </w:rPr>
      </w:pPr>
      <w:r>
        <w:rPr>
          <w:rFonts w:hint="eastAsia" w:ascii="宋体" w:hAnsi="宋体" w:cs="宋体"/>
          <w:bCs/>
          <w:sz w:val="24"/>
          <w:lang w:val="zh-CN" w:eastAsia="zh-Hans"/>
        </w:rPr>
        <w:t>（</w:t>
      </w:r>
      <w:r>
        <w:rPr>
          <w:rFonts w:hint="eastAsia" w:ascii="宋体" w:hAnsi="宋体" w:cs="宋体"/>
          <w:bCs/>
          <w:sz w:val="24"/>
        </w:rPr>
        <w:t>2</w:t>
      </w:r>
      <w:r>
        <w:rPr>
          <w:rFonts w:hint="eastAsia" w:ascii="宋体" w:hAnsi="宋体" w:cs="宋体"/>
          <w:bCs/>
          <w:sz w:val="24"/>
          <w:lang w:val="zh-CN" w:eastAsia="zh-Hans"/>
        </w:rPr>
        <w:t>）云平台具备高可用和动态迁移功能，发生物理设备故障后，虚拟机可以自动迁移到其他可用资源上运行，确保业务系统不受物理设备故障影响。</w:t>
      </w:r>
    </w:p>
    <w:p w14:paraId="673FB1FE">
      <w:pPr>
        <w:snapToGrid w:val="0"/>
        <w:spacing w:line="400" w:lineRule="exact"/>
        <w:ind w:firstLine="480" w:firstLineChars="200"/>
        <w:rPr>
          <w:rFonts w:ascii="宋体" w:hAnsi="宋体" w:cs="宋体"/>
          <w:bCs/>
          <w:sz w:val="24"/>
          <w:lang w:val="zh-CN" w:eastAsia="zh-Hans"/>
        </w:rPr>
      </w:pPr>
      <w:r>
        <w:rPr>
          <w:rFonts w:hint="eastAsia" w:ascii="宋体" w:hAnsi="宋体" w:cs="宋体"/>
          <w:bCs/>
          <w:sz w:val="24"/>
          <w:lang w:val="zh-CN" w:eastAsia="zh-Hans"/>
        </w:rPr>
        <w:t>（</w:t>
      </w:r>
      <w:r>
        <w:rPr>
          <w:rFonts w:hint="eastAsia" w:ascii="宋体" w:hAnsi="宋体" w:cs="宋体"/>
          <w:bCs/>
          <w:sz w:val="24"/>
        </w:rPr>
        <w:t>3</w:t>
      </w:r>
      <w:r>
        <w:rPr>
          <w:rFonts w:hint="eastAsia" w:ascii="宋体" w:hAnsi="宋体" w:cs="宋体"/>
          <w:bCs/>
          <w:sz w:val="24"/>
          <w:lang w:val="zh-CN" w:eastAsia="zh-Hans"/>
        </w:rPr>
        <w:t>）云平台支持对虚拟机CPU、内存、存储、带宽进行实时监控，并支持自定义告警规则。</w:t>
      </w:r>
    </w:p>
    <w:p w14:paraId="57C9C5A7">
      <w:pPr>
        <w:snapToGrid w:val="0"/>
        <w:spacing w:line="400" w:lineRule="exact"/>
        <w:ind w:firstLine="444" w:firstLineChars="185"/>
        <w:rPr>
          <w:rFonts w:ascii="宋体" w:hAnsi="宋体" w:cs="宋体"/>
          <w:bCs/>
          <w:sz w:val="24"/>
          <w:lang w:val="zh-CN" w:eastAsia="zh-Hans"/>
        </w:rPr>
      </w:pPr>
      <w:r>
        <w:rPr>
          <w:rFonts w:hint="eastAsia" w:ascii="宋体" w:hAnsi="宋体" w:cs="宋体"/>
          <w:bCs/>
          <w:sz w:val="24"/>
          <w:lang w:val="zh-CN" w:eastAsia="zh-Hans"/>
        </w:rPr>
        <w:t>（</w:t>
      </w:r>
      <w:r>
        <w:rPr>
          <w:rFonts w:hint="eastAsia" w:ascii="宋体" w:hAnsi="宋体" w:cs="宋体"/>
          <w:bCs/>
          <w:sz w:val="24"/>
        </w:rPr>
        <w:t>4</w:t>
      </w:r>
      <w:r>
        <w:rPr>
          <w:rFonts w:hint="eastAsia" w:ascii="宋体" w:hAnsi="宋体" w:cs="宋体"/>
          <w:bCs/>
          <w:sz w:val="24"/>
          <w:lang w:val="zh-CN" w:eastAsia="zh-Hans"/>
        </w:rPr>
        <w:t>）云平台提供备份/快照功能，能对云平台中的物理和虚拟服务器进行备份，防止存储故障导致数据丢失。</w:t>
      </w:r>
    </w:p>
    <w:p w14:paraId="28210ED6">
      <w:pPr>
        <w:snapToGrid w:val="0"/>
        <w:spacing w:line="400" w:lineRule="exact"/>
        <w:ind w:firstLine="444" w:firstLineChars="185"/>
        <w:rPr>
          <w:rFonts w:ascii="宋体" w:hAnsi="宋体" w:cs="宋体"/>
          <w:bCs/>
          <w:sz w:val="24"/>
          <w:lang w:val="zh-CN" w:eastAsia="zh-Hans"/>
        </w:rPr>
      </w:pPr>
      <w:r>
        <w:rPr>
          <w:rFonts w:hint="eastAsia" w:ascii="宋体" w:hAnsi="宋体" w:cs="宋体"/>
          <w:bCs/>
          <w:sz w:val="24"/>
          <w:lang w:val="zh-CN" w:eastAsia="zh-Hans"/>
        </w:rPr>
        <w:t>（</w:t>
      </w:r>
      <w:r>
        <w:rPr>
          <w:rFonts w:hint="eastAsia" w:ascii="宋体" w:hAnsi="宋体" w:cs="宋体"/>
          <w:bCs/>
          <w:sz w:val="24"/>
        </w:rPr>
        <w:t>5</w:t>
      </w:r>
      <w:r>
        <w:rPr>
          <w:rFonts w:hint="eastAsia" w:ascii="宋体" w:hAnsi="宋体" w:cs="宋体"/>
          <w:bCs/>
          <w:sz w:val="24"/>
          <w:lang w:val="zh-CN" w:eastAsia="zh-Hans"/>
        </w:rPr>
        <w:t>）云管平台支持图形化管理，支持自动生成资源使用的数据报表。</w:t>
      </w:r>
    </w:p>
    <w:p w14:paraId="63A44A10">
      <w:r>
        <w:rPr>
          <w:rFonts w:hint="eastAsia" w:ascii="宋体" w:hAnsi="宋体" w:cs="宋体"/>
          <w:bCs/>
          <w:sz w:val="24"/>
          <w:lang w:val="zh-CN" w:eastAsia="zh-Hans"/>
        </w:rPr>
        <w:t>（</w:t>
      </w:r>
      <w:r>
        <w:rPr>
          <w:rFonts w:hint="eastAsia" w:ascii="宋体" w:hAnsi="宋体" w:cs="宋体"/>
          <w:bCs/>
          <w:sz w:val="24"/>
        </w:rPr>
        <w:t>6</w:t>
      </w:r>
      <w:r>
        <w:rPr>
          <w:rFonts w:hint="eastAsia" w:ascii="宋体" w:hAnsi="宋体" w:cs="宋体"/>
          <w:bCs/>
          <w:sz w:val="24"/>
          <w:lang w:val="zh-CN" w:eastAsia="zh-Hans"/>
        </w:rPr>
        <w:t>）云平台应具备为计算单元提供授时时钟源的能力。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616772"/>
    <w:multiLevelType w:val="singleLevel"/>
    <w:tmpl w:val="DB616772"/>
    <w:lvl w:ilvl="0" w:tentative="0">
      <w:start w:val="1"/>
      <w:numFmt w:val="decimal"/>
      <w:suff w:val="space"/>
      <w:lvlText w:val="%1."/>
      <w:lvlJc w:val="left"/>
    </w:lvl>
  </w:abstractNum>
  <w:abstractNum w:abstractNumId="1">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8D4379"/>
    <w:rsid w:val="6AF61F0C"/>
    <w:rsid w:val="7D351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next w:val="1"/>
    <w:qFormat/>
    <w:uiPriority w:val="0"/>
    <w:pPr>
      <w:spacing w:line="360" w:lineRule="auto"/>
      <w:ind w:firstLine="570"/>
    </w:pPr>
    <w:rPr>
      <w:sz w:val="24"/>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
    <w:name w:val="List Paragraph"/>
    <w:basedOn w:val="1"/>
    <w:qFormat/>
    <w:uiPriority w:val="34"/>
    <w:pPr>
      <w:ind w:firstLine="420" w:firstLineChars="200"/>
    </w:pPr>
    <w:rPr>
      <w:rFonts w:ascii="Calibri" w:hAnsi="Calibri"/>
      <w:szCs w:val="22"/>
    </w:rPr>
  </w:style>
  <w:style w:type="paragraph" w:customStyle="1" w:styleId="9">
    <w:name w:val="*正文"/>
    <w:basedOn w:val="10"/>
    <w:qFormat/>
    <w:uiPriority w:val="0"/>
  </w:style>
  <w:style w:type="paragraph" w:customStyle="1" w:styleId="10">
    <w:name w:val="正文样式"/>
    <w:basedOn w:val="1"/>
    <w:next w:val="1"/>
    <w:qFormat/>
    <w:uiPriority w:val="7"/>
    <w:pPr>
      <w:ind w:firstLine="4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2025-07-21T10:26:00Z</dcterms:created>
  <dc:creator>zhhx</dc:creator>
  <cp:lastModifiedBy>高</cp:lastModifiedBy>
  <dcterms:modified xsi:type="dcterms:W3CDTF">2025-07-25T01:56:26Z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eyJoZGlkIjoiOTEwNzllZDM2ZTdkZjM5ZWQ4N2U5NWIyN2UyZWUyZGYiLCJ1c2VySWQiOiI0NjYwNDMyMDYifQ==</vt:lpwstr>
  </property>
  <property fmtid="{D5CDD505-2E9C-101B-9397-08002B2CF9AE}" pid="4" name="ICV">
    <vt:lpwstr>FDBDC4C86C554ADCA3578BC574E6AA71_12</vt:lpwstr>
  </property>
</Properties>
</file>