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FD8BB">
      <w:pPr>
        <w:spacing w:line="360" w:lineRule="auto"/>
        <w:jc w:val="center"/>
        <w:outlineLvl w:val="0"/>
        <w:rPr>
          <w:b/>
          <w:color w:val="auto"/>
          <w:sz w:val="36"/>
          <w:szCs w:val="36"/>
          <w:highlight w:val="none"/>
        </w:rPr>
      </w:pPr>
      <w:bookmarkStart w:id="0" w:name="_Toc99301424"/>
      <w:r>
        <w:rPr>
          <w:b/>
          <w:color w:val="auto"/>
          <w:sz w:val="36"/>
          <w:szCs w:val="36"/>
          <w:highlight w:val="none"/>
        </w:rPr>
        <w:t>第五章   采购需求</w:t>
      </w:r>
      <w:bookmarkEnd w:id="0"/>
    </w:p>
    <w:p w14:paraId="09AC1177">
      <w:pPr>
        <w:numPr>
          <w:ilvl w:val="255"/>
          <w:numId w:val="0"/>
        </w:numPr>
        <w:spacing w:line="400" w:lineRule="exact"/>
        <w:ind w:firstLine="422" w:firstLineChars="200"/>
        <w:rPr>
          <w:rFonts w:hint="eastAsia" w:asciiTheme="minorEastAsia" w:hAnsiTheme="minorEastAsia" w:cstheme="minorEastAsia"/>
          <w:b/>
          <w:szCs w:val="21"/>
        </w:rPr>
      </w:pPr>
      <w:r>
        <w:rPr>
          <w:rFonts w:hint="eastAsia" w:asciiTheme="minorEastAsia" w:hAnsiTheme="minorEastAsia" w:cstheme="minorEastAsia"/>
          <w:b/>
          <w:szCs w:val="21"/>
        </w:rPr>
        <w:t>一、采购清单</w:t>
      </w:r>
    </w:p>
    <w:tbl>
      <w:tblPr>
        <w:tblStyle w:val="5"/>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477"/>
        <w:gridCol w:w="1789"/>
        <w:gridCol w:w="1545"/>
        <w:gridCol w:w="2035"/>
      </w:tblGrid>
      <w:tr w14:paraId="1E6D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14:paraId="2AC5ECD9">
            <w:pPr>
              <w:spacing w:line="400" w:lineRule="exact"/>
              <w:jc w:val="center"/>
              <w:rPr>
                <w:rFonts w:hint="eastAsia" w:asciiTheme="minorEastAsia" w:hAnsiTheme="minorEastAsia" w:cstheme="minorEastAsia"/>
                <w:b/>
                <w:szCs w:val="21"/>
              </w:rPr>
            </w:pPr>
            <w:r>
              <w:rPr>
                <w:rFonts w:hint="eastAsia" w:asciiTheme="minorEastAsia" w:hAnsiTheme="minorEastAsia" w:cstheme="minorEastAsia"/>
                <w:b/>
                <w:szCs w:val="21"/>
              </w:rPr>
              <w:t>序号</w:t>
            </w:r>
          </w:p>
        </w:tc>
        <w:tc>
          <w:tcPr>
            <w:tcW w:w="2477" w:type="dxa"/>
            <w:tcBorders>
              <w:top w:val="single" w:color="auto" w:sz="4" w:space="0"/>
              <w:left w:val="single" w:color="auto" w:sz="4" w:space="0"/>
              <w:bottom w:val="single" w:color="auto" w:sz="4" w:space="0"/>
              <w:right w:val="single" w:color="auto" w:sz="4" w:space="0"/>
            </w:tcBorders>
            <w:vAlign w:val="center"/>
          </w:tcPr>
          <w:p w14:paraId="20EB1167">
            <w:pPr>
              <w:spacing w:line="400" w:lineRule="exact"/>
              <w:jc w:val="center"/>
              <w:rPr>
                <w:rFonts w:hint="eastAsia" w:asciiTheme="minorEastAsia" w:hAnsiTheme="minorEastAsia" w:cstheme="minorEastAsia"/>
                <w:b/>
                <w:szCs w:val="21"/>
              </w:rPr>
            </w:pPr>
            <w:r>
              <w:rPr>
                <w:rFonts w:hint="eastAsia" w:asciiTheme="minorEastAsia" w:hAnsiTheme="minorEastAsia" w:cstheme="minorEastAsia"/>
                <w:b/>
                <w:szCs w:val="21"/>
              </w:rPr>
              <w:t>服务名称</w:t>
            </w:r>
          </w:p>
        </w:tc>
        <w:tc>
          <w:tcPr>
            <w:tcW w:w="1789" w:type="dxa"/>
            <w:tcBorders>
              <w:top w:val="single" w:color="auto" w:sz="4" w:space="0"/>
              <w:left w:val="single" w:color="auto" w:sz="4" w:space="0"/>
              <w:bottom w:val="single" w:color="auto" w:sz="4" w:space="0"/>
              <w:right w:val="single" w:color="auto" w:sz="4" w:space="0"/>
            </w:tcBorders>
            <w:vAlign w:val="center"/>
          </w:tcPr>
          <w:p w14:paraId="7A118F68">
            <w:pPr>
              <w:spacing w:line="400" w:lineRule="exact"/>
              <w:jc w:val="center"/>
              <w:rPr>
                <w:rFonts w:hint="eastAsia" w:asciiTheme="minorEastAsia" w:hAnsiTheme="minorEastAsia" w:cstheme="minorEastAsia"/>
                <w:b/>
                <w:szCs w:val="21"/>
              </w:rPr>
            </w:pPr>
            <w:r>
              <w:rPr>
                <w:rFonts w:hint="eastAsia" w:asciiTheme="minorEastAsia" w:hAnsiTheme="minorEastAsia" w:cstheme="minorEastAsia"/>
                <w:b/>
                <w:szCs w:val="21"/>
              </w:rPr>
              <w:t>数量</w:t>
            </w:r>
          </w:p>
        </w:tc>
        <w:tc>
          <w:tcPr>
            <w:tcW w:w="1545" w:type="dxa"/>
            <w:tcBorders>
              <w:top w:val="single" w:color="auto" w:sz="4" w:space="0"/>
              <w:left w:val="single" w:color="auto" w:sz="4" w:space="0"/>
              <w:bottom w:val="single" w:color="auto" w:sz="4" w:space="0"/>
              <w:right w:val="single" w:color="auto" w:sz="4" w:space="0"/>
            </w:tcBorders>
            <w:vAlign w:val="center"/>
          </w:tcPr>
          <w:p w14:paraId="4E9084BF">
            <w:pPr>
              <w:spacing w:line="400" w:lineRule="exact"/>
              <w:jc w:val="center"/>
              <w:rPr>
                <w:rFonts w:hint="eastAsia" w:asciiTheme="minorEastAsia" w:hAnsiTheme="minorEastAsia" w:cstheme="minorEastAsia"/>
                <w:b/>
                <w:szCs w:val="21"/>
              </w:rPr>
            </w:pPr>
            <w:r>
              <w:rPr>
                <w:rFonts w:hint="eastAsia" w:asciiTheme="minorEastAsia" w:hAnsiTheme="minorEastAsia" w:cstheme="minorEastAsia"/>
                <w:b/>
                <w:szCs w:val="21"/>
              </w:rPr>
              <w:t>单位</w:t>
            </w:r>
          </w:p>
        </w:tc>
        <w:tc>
          <w:tcPr>
            <w:tcW w:w="2035" w:type="dxa"/>
            <w:tcBorders>
              <w:top w:val="single" w:color="auto" w:sz="4" w:space="0"/>
              <w:left w:val="single" w:color="auto" w:sz="4" w:space="0"/>
              <w:bottom w:val="single" w:color="auto" w:sz="4" w:space="0"/>
              <w:right w:val="single" w:color="auto" w:sz="4" w:space="0"/>
            </w:tcBorders>
            <w:vAlign w:val="center"/>
          </w:tcPr>
          <w:p w14:paraId="554AA701">
            <w:pPr>
              <w:spacing w:line="400" w:lineRule="exact"/>
              <w:jc w:val="center"/>
              <w:rPr>
                <w:rFonts w:hint="eastAsia" w:asciiTheme="minorEastAsia" w:hAnsiTheme="minorEastAsia" w:cstheme="minorEastAsia"/>
                <w:b/>
                <w:szCs w:val="21"/>
              </w:rPr>
            </w:pPr>
            <w:r>
              <w:rPr>
                <w:rFonts w:hint="eastAsia" w:asciiTheme="minorEastAsia" w:hAnsiTheme="minorEastAsia" w:cstheme="minorEastAsia"/>
                <w:b/>
                <w:szCs w:val="21"/>
              </w:rPr>
              <w:t>备注</w:t>
            </w:r>
          </w:p>
        </w:tc>
      </w:tr>
      <w:tr w14:paraId="1A96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14:paraId="5B451E73">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1</w:t>
            </w:r>
          </w:p>
        </w:tc>
        <w:tc>
          <w:tcPr>
            <w:tcW w:w="2477" w:type="dxa"/>
            <w:tcBorders>
              <w:top w:val="single" w:color="auto" w:sz="4" w:space="0"/>
              <w:left w:val="single" w:color="auto" w:sz="4" w:space="0"/>
              <w:bottom w:val="single" w:color="auto" w:sz="4" w:space="0"/>
              <w:right w:val="single" w:color="auto" w:sz="4" w:space="0"/>
            </w:tcBorders>
          </w:tcPr>
          <w:p w14:paraId="01FBCAAE">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北京市公安局公安交通管理局车辆管理所专网平台服务器租用和云服务项目</w:t>
            </w:r>
          </w:p>
        </w:tc>
        <w:tc>
          <w:tcPr>
            <w:tcW w:w="1789" w:type="dxa"/>
            <w:tcBorders>
              <w:top w:val="single" w:color="auto" w:sz="4" w:space="0"/>
              <w:left w:val="single" w:color="auto" w:sz="4" w:space="0"/>
              <w:bottom w:val="single" w:color="auto" w:sz="4" w:space="0"/>
              <w:right w:val="single" w:color="auto" w:sz="4" w:space="0"/>
            </w:tcBorders>
          </w:tcPr>
          <w:p w14:paraId="04777431">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1</w:t>
            </w:r>
          </w:p>
        </w:tc>
        <w:tc>
          <w:tcPr>
            <w:tcW w:w="1545" w:type="dxa"/>
            <w:tcBorders>
              <w:top w:val="single" w:color="auto" w:sz="4" w:space="0"/>
              <w:left w:val="single" w:color="auto" w:sz="4" w:space="0"/>
              <w:bottom w:val="single" w:color="auto" w:sz="4" w:space="0"/>
              <w:right w:val="single" w:color="auto" w:sz="4" w:space="0"/>
            </w:tcBorders>
          </w:tcPr>
          <w:p w14:paraId="74440480">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项</w:t>
            </w:r>
          </w:p>
        </w:tc>
        <w:tc>
          <w:tcPr>
            <w:tcW w:w="2035" w:type="dxa"/>
            <w:tcBorders>
              <w:top w:val="single" w:color="auto" w:sz="4" w:space="0"/>
              <w:left w:val="single" w:color="auto" w:sz="4" w:space="0"/>
              <w:bottom w:val="single" w:color="auto" w:sz="4" w:space="0"/>
              <w:right w:val="single" w:color="auto" w:sz="4" w:space="0"/>
            </w:tcBorders>
          </w:tcPr>
          <w:p w14:paraId="1DD369CD">
            <w:pPr>
              <w:spacing w:line="400" w:lineRule="exact"/>
              <w:jc w:val="center"/>
              <w:rPr>
                <w:rFonts w:hint="eastAsia" w:asciiTheme="minorEastAsia" w:hAnsiTheme="minorEastAsia" w:cstheme="minorEastAsia"/>
                <w:szCs w:val="21"/>
              </w:rPr>
            </w:pPr>
          </w:p>
        </w:tc>
      </w:tr>
    </w:tbl>
    <w:p w14:paraId="4B433BBC">
      <w:pPr>
        <w:spacing w:line="360" w:lineRule="auto"/>
        <w:ind w:left="420"/>
        <w:rPr>
          <w:rFonts w:hint="eastAsia" w:asciiTheme="minorEastAsia" w:hAnsiTheme="minorEastAsia" w:cstheme="minorEastAsia"/>
          <w:b/>
          <w:szCs w:val="21"/>
        </w:rPr>
      </w:pPr>
      <w:r>
        <w:rPr>
          <w:rFonts w:hint="eastAsia" w:asciiTheme="minorEastAsia" w:hAnsiTheme="minorEastAsia" w:cstheme="minorEastAsia"/>
          <w:b/>
          <w:szCs w:val="21"/>
        </w:rPr>
        <w:t>二、项目背景或简况</w:t>
      </w:r>
    </w:p>
    <w:p w14:paraId="3F859AF2">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北京市公安局公安交通管理局车辆管理所是北京市公安局公安交通管理局下属机构，负责办理机动车注册登记，变更登记，转让登记、抵押/解除抵押登记，注销登记，申请检验合格标志，行驶证、登记证书，申请临时行驶车号牌，补（换）领号牌等机动车业务；负责办理初次申请机动车驾驶证，期满换证及审验，补（换）领机动车驾驶证，机动车驾驶人联系方式变更备案等驾驶证业务。</w:t>
      </w:r>
    </w:p>
    <w:p w14:paraId="05F788F6">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目前，车辆管理所已实现业务上云，为保障专网平台、考试监管系统等云上业务的有序运行，需得到云平台云资源服务、运维服务、安全服务等服务支持。</w:t>
      </w:r>
    </w:p>
    <w:p w14:paraId="64D8FC47">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依据《北京市市级政务云管理办法（试行）》（京经信函[2019]150号）、《北京市经济和信息化局关于加快政务云工作的函》、《关于进一步做好政务信息系统入云工作的函》的政策要求，按照文件要求，本项目计划采购政务云相关资源以提供安全稳定高效的运行环境，通过配置各类安全防护和备份，解决业务系统可能存在的网络安全隐患，确保系统安全、稳定地运行，充分保证系统整体健壮性和可靠性。</w:t>
      </w:r>
    </w:p>
    <w:p w14:paraId="6B224633">
      <w:pPr>
        <w:spacing w:line="360" w:lineRule="auto"/>
        <w:ind w:left="420"/>
        <w:rPr>
          <w:rFonts w:hint="eastAsia" w:asciiTheme="minorEastAsia" w:hAnsiTheme="minorEastAsia" w:cstheme="minorEastAsia"/>
          <w:b/>
          <w:szCs w:val="21"/>
        </w:rPr>
      </w:pPr>
      <w:r>
        <w:rPr>
          <w:rFonts w:hint="eastAsia" w:asciiTheme="minorEastAsia" w:hAnsiTheme="minorEastAsia" w:cstheme="minorEastAsia"/>
          <w:b/>
          <w:szCs w:val="21"/>
        </w:rPr>
        <w:t>三、技术参数要求和服务要求</w:t>
      </w:r>
    </w:p>
    <w:p w14:paraId="4AF63254">
      <w:pPr>
        <w:pStyle w:val="8"/>
        <w:ind w:firstLine="422"/>
        <w:rPr>
          <w:rFonts w:hint="eastAsia" w:ascii="宋体" w:hAnsi="宋体" w:eastAsia="宋体" w:cs="宋体"/>
          <w:sz w:val="21"/>
          <w:szCs w:val="21"/>
        </w:rPr>
      </w:pPr>
      <w:r>
        <w:rPr>
          <w:rFonts w:hint="eastAsia" w:ascii="宋体" w:hAnsi="宋体" w:eastAsia="宋体" w:cs="宋体"/>
          <w:sz w:val="21"/>
          <w:szCs w:val="21"/>
        </w:rPr>
        <w:t>1.技术参数要求</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494"/>
        <w:gridCol w:w="3666"/>
        <w:gridCol w:w="976"/>
        <w:gridCol w:w="990"/>
        <w:gridCol w:w="939"/>
      </w:tblGrid>
      <w:tr w14:paraId="5015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57" w:type="dxa"/>
          </w:tcPr>
          <w:p w14:paraId="72E4142C">
            <w:pPr>
              <w:jc w:val="left"/>
              <w:rPr>
                <w:rFonts w:hint="eastAsia" w:ascii="宋体" w:hAnsi="宋体" w:eastAsia="宋体" w:cs="宋体"/>
                <w:szCs w:val="21"/>
              </w:rPr>
            </w:pPr>
            <w:r>
              <w:rPr>
                <w:rFonts w:hint="eastAsia" w:ascii="宋体" w:hAnsi="宋体" w:eastAsia="宋体" w:cs="宋体"/>
                <w:szCs w:val="21"/>
              </w:rPr>
              <w:t>编号</w:t>
            </w:r>
          </w:p>
        </w:tc>
        <w:tc>
          <w:tcPr>
            <w:tcW w:w="1494" w:type="dxa"/>
          </w:tcPr>
          <w:p w14:paraId="2D8F5943">
            <w:pPr>
              <w:jc w:val="left"/>
              <w:rPr>
                <w:rFonts w:hint="eastAsia" w:ascii="宋体" w:hAnsi="宋体" w:eastAsia="宋体" w:cs="宋体"/>
                <w:szCs w:val="21"/>
              </w:rPr>
            </w:pPr>
            <w:r>
              <w:rPr>
                <w:rFonts w:hint="eastAsia" w:ascii="宋体" w:hAnsi="宋体" w:eastAsia="宋体" w:cs="宋体"/>
                <w:szCs w:val="21"/>
              </w:rPr>
              <w:t>服务类别</w:t>
            </w:r>
          </w:p>
        </w:tc>
        <w:tc>
          <w:tcPr>
            <w:tcW w:w="3666" w:type="dxa"/>
          </w:tcPr>
          <w:p w14:paraId="3C10FE3D">
            <w:pPr>
              <w:jc w:val="left"/>
              <w:rPr>
                <w:rFonts w:hint="eastAsia" w:ascii="宋体" w:hAnsi="宋体" w:eastAsia="宋体" w:cs="宋体"/>
                <w:szCs w:val="21"/>
              </w:rPr>
            </w:pPr>
            <w:r>
              <w:rPr>
                <w:rFonts w:hint="eastAsia" w:ascii="宋体" w:hAnsi="宋体" w:eastAsia="宋体" w:cs="宋体"/>
                <w:szCs w:val="21"/>
              </w:rPr>
              <w:t>服务项</w:t>
            </w:r>
          </w:p>
        </w:tc>
        <w:tc>
          <w:tcPr>
            <w:tcW w:w="976" w:type="dxa"/>
          </w:tcPr>
          <w:p w14:paraId="6996BF4D">
            <w:pPr>
              <w:jc w:val="left"/>
              <w:rPr>
                <w:rFonts w:hint="eastAsia" w:ascii="宋体" w:hAnsi="宋体" w:eastAsia="宋体" w:cs="宋体"/>
                <w:szCs w:val="21"/>
              </w:rPr>
            </w:pPr>
            <w:r>
              <w:rPr>
                <w:rFonts w:hint="eastAsia" w:ascii="宋体" w:hAnsi="宋体" w:eastAsia="宋体" w:cs="宋体"/>
                <w:szCs w:val="21"/>
              </w:rPr>
              <w:t>报价</w:t>
            </w:r>
          </w:p>
          <w:p w14:paraId="075DB500">
            <w:pPr>
              <w:jc w:val="left"/>
              <w:rPr>
                <w:rFonts w:hint="eastAsia" w:ascii="宋体" w:hAnsi="宋体" w:eastAsia="宋体" w:cs="宋体"/>
                <w:szCs w:val="21"/>
              </w:rPr>
            </w:pPr>
            <w:r>
              <w:rPr>
                <w:rFonts w:hint="eastAsia" w:ascii="宋体" w:hAnsi="宋体" w:eastAsia="宋体" w:cs="宋体"/>
                <w:szCs w:val="21"/>
              </w:rPr>
              <w:t>单位</w:t>
            </w:r>
          </w:p>
        </w:tc>
        <w:tc>
          <w:tcPr>
            <w:tcW w:w="990" w:type="dxa"/>
            <w:vAlign w:val="center"/>
          </w:tcPr>
          <w:p w14:paraId="0861D125">
            <w:pPr>
              <w:jc w:val="left"/>
              <w:rPr>
                <w:rFonts w:hint="eastAsia" w:ascii="宋体" w:hAnsi="宋体" w:eastAsia="宋体" w:cs="宋体"/>
                <w:szCs w:val="21"/>
              </w:rPr>
            </w:pPr>
            <w:r>
              <w:rPr>
                <w:rFonts w:hint="eastAsia" w:ascii="宋体" w:hAnsi="宋体" w:eastAsia="宋体" w:cs="宋体"/>
                <w:szCs w:val="21"/>
              </w:rPr>
              <w:t>数量</w:t>
            </w:r>
          </w:p>
        </w:tc>
        <w:tc>
          <w:tcPr>
            <w:tcW w:w="939" w:type="dxa"/>
            <w:vAlign w:val="center"/>
          </w:tcPr>
          <w:p w14:paraId="31091020">
            <w:pPr>
              <w:jc w:val="left"/>
              <w:rPr>
                <w:rFonts w:hint="eastAsia" w:ascii="宋体" w:hAnsi="宋体" w:eastAsia="宋体" w:cs="宋体"/>
                <w:szCs w:val="21"/>
              </w:rPr>
            </w:pPr>
            <w:r>
              <w:rPr>
                <w:rFonts w:hint="eastAsia" w:ascii="宋体" w:hAnsi="宋体" w:eastAsia="宋体" w:cs="宋体"/>
                <w:szCs w:val="21"/>
              </w:rPr>
              <w:t>租用期限（月）</w:t>
            </w:r>
          </w:p>
        </w:tc>
      </w:tr>
      <w:tr w14:paraId="0979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57" w:type="dxa"/>
            <w:vAlign w:val="center"/>
          </w:tcPr>
          <w:p w14:paraId="166A897A">
            <w:pPr>
              <w:jc w:val="left"/>
              <w:rPr>
                <w:rFonts w:hint="eastAsia" w:ascii="宋体" w:hAnsi="宋体" w:eastAsia="宋体" w:cs="宋体"/>
                <w:szCs w:val="21"/>
              </w:rPr>
            </w:pPr>
            <w:r>
              <w:rPr>
                <w:rFonts w:hint="eastAsia" w:ascii="宋体" w:hAnsi="宋体" w:eastAsia="宋体" w:cs="宋体"/>
                <w:szCs w:val="21"/>
              </w:rPr>
              <w:t>1</w:t>
            </w:r>
          </w:p>
        </w:tc>
        <w:tc>
          <w:tcPr>
            <w:tcW w:w="1494" w:type="dxa"/>
            <w:vMerge w:val="restart"/>
            <w:vAlign w:val="center"/>
          </w:tcPr>
          <w:p w14:paraId="6EA758CE">
            <w:pPr>
              <w:jc w:val="left"/>
              <w:rPr>
                <w:rFonts w:hint="eastAsia" w:ascii="宋体" w:hAnsi="宋体" w:eastAsia="宋体" w:cs="宋体"/>
                <w:szCs w:val="21"/>
              </w:rPr>
            </w:pPr>
            <w:r>
              <w:rPr>
                <w:rFonts w:hint="eastAsia" w:ascii="宋体" w:hAnsi="宋体" w:eastAsia="宋体" w:cs="宋体"/>
                <w:szCs w:val="21"/>
              </w:rPr>
              <w:t>x86物理服务器租用服务</w:t>
            </w:r>
          </w:p>
        </w:tc>
        <w:tc>
          <w:tcPr>
            <w:tcW w:w="3666" w:type="dxa"/>
            <w:vAlign w:val="center"/>
          </w:tcPr>
          <w:p w14:paraId="2100CB66">
            <w:pPr>
              <w:jc w:val="left"/>
              <w:rPr>
                <w:rFonts w:hint="eastAsia" w:ascii="宋体" w:hAnsi="宋体" w:eastAsia="宋体" w:cs="宋体"/>
                <w:szCs w:val="21"/>
              </w:rPr>
            </w:pPr>
            <w:r>
              <w:rPr>
                <w:rFonts w:hint="eastAsia" w:ascii="宋体" w:hAnsi="宋体" w:eastAsia="宋体" w:cs="宋体"/>
                <w:szCs w:val="21"/>
              </w:rPr>
              <w:t>不低于x86 物理服务器配置1：2 路12 核2.0Ghz，64G内存，2 块600G SAS 硬盘,2 个HBA 卡，2 个万兆端口</w:t>
            </w:r>
          </w:p>
        </w:tc>
        <w:tc>
          <w:tcPr>
            <w:tcW w:w="976" w:type="dxa"/>
            <w:vAlign w:val="center"/>
          </w:tcPr>
          <w:p w14:paraId="2558A9BD">
            <w:pPr>
              <w:jc w:val="left"/>
              <w:rPr>
                <w:rFonts w:hint="eastAsia" w:ascii="宋体" w:hAnsi="宋体" w:eastAsia="宋体" w:cs="宋体"/>
                <w:szCs w:val="21"/>
              </w:rPr>
            </w:pPr>
            <w:r>
              <w:rPr>
                <w:rFonts w:hint="eastAsia" w:ascii="宋体" w:hAnsi="宋体" w:eastAsia="宋体" w:cs="宋体"/>
                <w:szCs w:val="21"/>
              </w:rPr>
              <w:t>台/月</w:t>
            </w:r>
          </w:p>
        </w:tc>
        <w:tc>
          <w:tcPr>
            <w:tcW w:w="990" w:type="dxa"/>
            <w:vAlign w:val="center"/>
          </w:tcPr>
          <w:p w14:paraId="221538DC">
            <w:pPr>
              <w:jc w:val="left"/>
              <w:rPr>
                <w:rFonts w:hint="eastAsia" w:ascii="宋体" w:hAnsi="宋体" w:eastAsia="宋体" w:cs="宋体"/>
                <w:szCs w:val="21"/>
              </w:rPr>
            </w:pPr>
            <w:r>
              <w:rPr>
                <w:rFonts w:hint="eastAsia" w:ascii="宋体" w:hAnsi="宋体" w:eastAsia="宋体" w:cs="宋体"/>
                <w:szCs w:val="21"/>
              </w:rPr>
              <w:t>11</w:t>
            </w:r>
          </w:p>
        </w:tc>
        <w:tc>
          <w:tcPr>
            <w:tcW w:w="939" w:type="dxa"/>
            <w:vAlign w:val="center"/>
          </w:tcPr>
          <w:p w14:paraId="0D3DE112">
            <w:pPr>
              <w:jc w:val="left"/>
              <w:rPr>
                <w:rFonts w:hint="eastAsia" w:ascii="宋体" w:hAnsi="宋体" w:eastAsia="宋体" w:cs="宋体"/>
                <w:szCs w:val="21"/>
              </w:rPr>
            </w:pPr>
            <w:r>
              <w:rPr>
                <w:rFonts w:hint="eastAsia" w:ascii="宋体" w:hAnsi="宋体" w:eastAsia="宋体" w:cs="宋体"/>
                <w:szCs w:val="21"/>
              </w:rPr>
              <w:t>12</w:t>
            </w:r>
          </w:p>
        </w:tc>
      </w:tr>
      <w:tr w14:paraId="3479B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57" w:type="dxa"/>
            <w:vAlign w:val="center"/>
          </w:tcPr>
          <w:p w14:paraId="7DBEFAB6">
            <w:pPr>
              <w:jc w:val="left"/>
              <w:rPr>
                <w:rFonts w:hint="eastAsia" w:ascii="宋体" w:hAnsi="宋体" w:eastAsia="宋体" w:cs="宋体"/>
                <w:szCs w:val="21"/>
              </w:rPr>
            </w:pPr>
            <w:r>
              <w:rPr>
                <w:rFonts w:hint="eastAsia" w:ascii="宋体" w:hAnsi="宋体" w:eastAsia="宋体" w:cs="宋体"/>
                <w:szCs w:val="21"/>
              </w:rPr>
              <w:t>2</w:t>
            </w:r>
          </w:p>
        </w:tc>
        <w:tc>
          <w:tcPr>
            <w:tcW w:w="1494" w:type="dxa"/>
            <w:vMerge w:val="continue"/>
          </w:tcPr>
          <w:p w14:paraId="563CCA04">
            <w:pPr>
              <w:jc w:val="left"/>
              <w:rPr>
                <w:rFonts w:hint="eastAsia" w:ascii="宋体" w:hAnsi="宋体" w:eastAsia="宋体" w:cs="宋体"/>
                <w:szCs w:val="21"/>
              </w:rPr>
            </w:pPr>
          </w:p>
        </w:tc>
        <w:tc>
          <w:tcPr>
            <w:tcW w:w="3666" w:type="dxa"/>
            <w:vAlign w:val="center"/>
          </w:tcPr>
          <w:p w14:paraId="4A086BE5">
            <w:pPr>
              <w:jc w:val="left"/>
              <w:rPr>
                <w:rFonts w:hint="eastAsia" w:ascii="宋体" w:hAnsi="宋体" w:eastAsia="宋体" w:cs="宋体"/>
                <w:szCs w:val="21"/>
              </w:rPr>
            </w:pPr>
            <w:r>
              <w:rPr>
                <w:rFonts w:hint="eastAsia" w:ascii="宋体" w:hAnsi="宋体" w:eastAsia="宋体" w:cs="宋体"/>
                <w:szCs w:val="21"/>
              </w:rPr>
              <w:t>不低于x86物理服务器配置2：4路12核2.0Ghz，128G内存，2块600G SAS硬盘，2个HBA卡，2个万兆端口</w:t>
            </w:r>
          </w:p>
        </w:tc>
        <w:tc>
          <w:tcPr>
            <w:tcW w:w="976" w:type="dxa"/>
            <w:vAlign w:val="center"/>
          </w:tcPr>
          <w:p w14:paraId="1EE8995A">
            <w:pPr>
              <w:jc w:val="left"/>
              <w:rPr>
                <w:rFonts w:hint="eastAsia" w:ascii="宋体" w:hAnsi="宋体" w:eastAsia="宋体" w:cs="宋体"/>
                <w:szCs w:val="21"/>
              </w:rPr>
            </w:pPr>
            <w:r>
              <w:rPr>
                <w:rFonts w:hint="eastAsia" w:ascii="宋体" w:hAnsi="宋体" w:eastAsia="宋体" w:cs="宋体"/>
                <w:szCs w:val="21"/>
              </w:rPr>
              <w:t>台/月</w:t>
            </w:r>
          </w:p>
        </w:tc>
        <w:tc>
          <w:tcPr>
            <w:tcW w:w="990" w:type="dxa"/>
            <w:vAlign w:val="center"/>
          </w:tcPr>
          <w:p w14:paraId="5B47FB3F">
            <w:pPr>
              <w:jc w:val="left"/>
              <w:rPr>
                <w:rFonts w:hint="eastAsia" w:ascii="宋体" w:hAnsi="宋体" w:eastAsia="宋体" w:cs="宋体"/>
                <w:szCs w:val="21"/>
              </w:rPr>
            </w:pPr>
            <w:r>
              <w:rPr>
                <w:rFonts w:hint="eastAsia" w:ascii="宋体" w:hAnsi="宋体" w:eastAsia="宋体" w:cs="宋体"/>
                <w:szCs w:val="21"/>
              </w:rPr>
              <w:t>10</w:t>
            </w:r>
          </w:p>
        </w:tc>
        <w:tc>
          <w:tcPr>
            <w:tcW w:w="939" w:type="dxa"/>
            <w:vAlign w:val="center"/>
          </w:tcPr>
          <w:p w14:paraId="4D05C4A2">
            <w:pPr>
              <w:jc w:val="left"/>
              <w:rPr>
                <w:rFonts w:hint="eastAsia" w:ascii="宋体" w:hAnsi="宋体" w:eastAsia="宋体" w:cs="宋体"/>
                <w:szCs w:val="21"/>
              </w:rPr>
            </w:pPr>
            <w:r>
              <w:rPr>
                <w:rFonts w:hint="eastAsia" w:ascii="宋体" w:hAnsi="宋体" w:eastAsia="宋体" w:cs="宋体"/>
                <w:szCs w:val="21"/>
              </w:rPr>
              <w:t>12</w:t>
            </w:r>
          </w:p>
        </w:tc>
      </w:tr>
      <w:tr w14:paraId="0258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57" w:type="dxa"/>
            <w:vAlign w:val="center"/>
          </w:tcPr>
          <w:p w14:paraId="5DC52437">
            <w:pPr>
              <w:jc w:val="left"/>
              <w:rPr>
                <w:rFonts w:hint="eastAsia" w:ascii="宋体" w:hAnsi="宋体" w:eastAsia="宋体" w:cs="宋体"/>
                <w:szCs w:val="21"/>
              </w:rPr>
            </w:pPr>
            <w:r>
              <w:rPr>
                <w:rFonts w:hint="eastAsia" w:ascii="宋体" w:hAnsi="宋体" w:eastAsia="宋体" w:cs="宋体"/>
                <w:szCs w:val="21"/>
              </w:rPr>
              <w:t>3</w:t>
            </w:r>
          </w:p>
        </w:tc>
        <w:tc>
          <w:tcPr>
            <w:tcW w:w="1494" w:type="dxa"/>
            <w:vMerge w:val="restart"/>
          </w:tcPr>
          <w:p w14:paraId="16637150">
            <w:pPr>
              <w:jc w:val="left"/>
              <w:rPr>
                <w:rFonts w:hint="eastAsia" w:ascii="宋体" w:hAnsi="宋体" w:eastAsia="宋体" w:cs="宋体"/>
                <w:szCs w:val="21"/>
              </w:rPr>
            </w:pPr>
            <w:r>
              <w:rPr>
                <w:rFonts w:hint="eastAsia" w:ascii="宋体" w:hAnsi="宋体" w:eastAsia="宋体" w:cs="宋体"/>
                <w:szCs w:val="21"/>
              </w:rPr>
              <w:t>小型机云计算（含操作系统）服务</w:t>
            </w:r>
          </w:p>
        </w:tc>
        <w:tc>
          <w:tcPr>
            <w:tcW w:w="3666" w:type="dxa"/>
            <w:vAlign w:val="center"/>
          </w:tcPr>
          <w:p w14:paraId="5155BCD2">
            <w:pPr>
              <w:jc w:val="left"/>
              <w:rPr>
                <w:rFonts w:hint="eastAsia" w:ascii="宋体" w:hAnsi="宋体" w:eastAsia="宋体" w:cs="宋体"/>
                <w:szCs w:val="21"/>
              </w:rPr>
            </w:pPr>
            <w:r>
              <w:rPr>
                <w:rFonts w:hint="eastAsia" w:ascii="宋体" w:hAnsi="宋体" w:eastAsia="宋体" w:cs="宋体"/>
                <w:szCs w:val="21"/>
              </w:rPr>
              <w:t>CPU（主频不低于2.0GHz）</w:t>
            </w:r>
          </w:p>
        </w:tc>
        <w:tc>
          <w:tcPr>
            <w:tcW w:w="976" w:type="dxa"/>
          </w:tcPr>
          <w:p w14:paraId="539AEDD4">
            <w:pPr>
              <w:jc w:val="left"/>
              <w:rPr>
                <w:rFonts w:hint="eastAsia" w:ascii="宋体" w:hAnsi="宋体" w:eastAsia="宋体" w:cs="宋体"/>
                <w:szCs w:val="21"/>
              </w:rPr>
            </w:pPr>
            <w:r>
              <w:rPr>
                <w:rFonts w:hint="eastAsia" w:ascii="宋体" w:hAnsi="宋体" w:eastAsia="宋体" w:cs="宋体"/>
                <w:szCs w:val="21"/>
              </w:rPr>
              <w:t>CPU/月</w:t>
            </w:r>
          </w:p>
        </w:tc>
        <w:tc>
          <w:tcPr>
            <w:tcW w:w="990" w:type="dxa"/>
            <w:vAlign w:val="center"/>
          </w:tcPr>
          <w:p w14:paraId="46B1E89F">
            <w:pPr>
              <w:jc w:val="left"/>
              <w:rPr>
                <w:rFonts w:hint="eastAsia" w:ascii="宋体" w:hAnsi="宋体" w:eastAsia="宋体" w:cs="宋体"/>
                <w:szCs w:val="21"/>
              </w:rPr>
            </w:pPr>
            <w:r>
              <w:rPr>
                <w:rFonts w:hint="eastAsia" w:ascii="宋体" w:hAnsi="宋体" w:eastAsia="宋体" w:cs="宋体"/>
                <w:szCs w:val="21"/>
              </w:rPr>
              <w:t>24</w:t>
            </w:r>
          </w:p>
        </w:tc>
        <w:tc>
          <w:tcPr>
            <w:tcW w:w="939" w:type="dxa"/>
            <w:vAlign w:val="center"/>
          </w:tcPr>
          <w:p w14:paraId="232C051A">
            <w:pPr>
              <w:jc w:val="left"/>
              <w:rPr>
                <w:rFonts w:hint="eastAsia" w:ascii="宋体" w:hAnsi="宋体" w:eastAsia="宋体" w:cs="宋体"/>
                <w:szCs w:val="21"/>
              </w:rPr>
            </w:pPr>
            <w:r>
              <w:rPr>
                <w:rFonts w:hint="eastAsia" w:ascii="宋体" w:hAnsi="宋体" w:eastAsia="宋体" w:cs="宋体"/>
                <w:szCs w:val="21"/>
              </w:rPr>
              <w:t>12</w:t>
            </w:r>
          </w:p>
        </w:tc>
      </w:tr>
      <w:tr w14:paraId="44342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57" w:type="dxa"/>
          </w:tcPr>
          <w:p w14:paraId="69106159">
            <w:pPr>
              <w:jc w:val="left"/>
              <w:rPr>
                <w:rFonts w:hint="eastAsia" w:ascii="宋体" w:hAnsi="宋体" w:eastAsia="宋体" w:cs="宋体"/>
                <w:szCs w:val="21"/>
              </w:rPr>
            </w:pPr>
            <w:r>
              <w:rPr>
                <w:rFonts w:hint="eastAsia" w:ascii="宋体" w:hAnsi="宋体" w:eastAsia="宋体" w:cs="宋体"/>
                <w:szCs w:val="21"/>
              </w:rPr>
              <w:t>4</w:t>
            </w:r>
          </w:p>
        </w:tc>
        <w:tc>
          <w:tcPr>
            <w:tcW w:w="1494" w:type="dxa"/>
            <w:vMerge w:val="continue"/>
          </w:tcPr>
          <w:p w14:paraId="0A30688F">
            <w:pPr>
              <w:jc w:val="left"/>
              <w:rPr>
                <w:rFonts w:hint="eastAsia" w:ascii="宋体" w:hAnsi="宋体" w:eastAsia="宋体" w:cs="宋体"/>
                <w:szCs w:val="21"/>
              </w:rPr>
            </w:pPr>
          </w:p>
        </w:tc>
        <w:tc>
          <w:tcPr>
            <w:tcW w:w="3666" w:type="dxa"/>
            <w:vAlign w:val="center"/>
          </w:tcPr>
          <w:p w14:paraId="34C2233F">
            <w:pPr>
              <w:jc w:val="left"/>
              <w:rPr>
                <w:rFonts w:hint="eastAsia" w:ascii="宋体" w:hAnsi="宋体" w:eastAsia="宋体" w:cs="宋体"/>
                <w:szCs w:val="21"/>
              </w:rPr>
            </w:pPr>
            <w:r>
              <w:rPr>
                <w:rFonts w:hint="eastAsia" w:ascii="宋体" w:hAnsi="宋体" w:eastAsia="宋体" w:cs="宋体"/>
                <w:szCs w:val="21"/>
              </w:rPr>
              <w:t>内存</w:t>
            </w:r>
          </w:p>
        </w:tc>
        <w:tc>
          <w:tcPr>
            <w:tcW w:w="976" w:type="dxa"/>
            <w:vAlign w:val="center"/>
          </w:tcPr>
          <w:p w14:paraId="33508960">
            <w:pPr>
              <w:jc w:val="left"/>
              <w:rPr>
                <w:rFonts w:hint="eastAsia" w:ascii="宋体" w:hAnsi="宋体" w:eastAsia="宋体" w:cs="宋体"/>
                <w:szCs w:val="21"/>
              </w:rPr>
            </w:pPr>
            <w:r>
              <w:rPr>
                <w:rFonts w:hint="eastAsia" w:ascii="宋体" w:hAnsi="宋体" w:eastAsia="宋体" w:cs="宋体"/>
                <w:szCs w:val="21"/>
              </w:rPr>
              <w:t>GB/月</w:t>
            </w:r>
          </w:p>
        </w:tc>
        <w:tc>
          <w:tcPr>
            <w:tcW w:w="990" w:type="dxa"/>
            <w:vAlign w:val="center"/>
          </w:tcPr>
          <w:p w14:paraId="0871E946">
            <w:pPr>
              <w:jc w:val="left"/>
              <w:rPr>
                <w:rFonts w:hint="eastAsia" w:ascii="宋体" w:hAnsi="宋体" w:eastAsia="宋体" w:cs="宋体"/>
                <w:szCs w:val="21"/>
              </w:rPr>
            </w:pPr>
            <w:r>
              <w:rPr>
                <w:rFonts w:hint="eastAsia" w:ascii="宋体" w:hAnsi="宋体" w:eastAsia="宋体" w:cs="宋体"/>
                <w:szCs w:val="21"/>
              </w:rPr>
              <w:t>256</w:t>
            </w:r>
          </w:p>
        </w:tc>
        <w:tc>
          <w:tcPr>
            <w:tcW w:w="939" w:type="dxa"/>
            <w:vAlign w:val="center"/>
          </w:tcPr>
          <w:p w14:paraId="31F245D3">
            <w:pPr>
              <w:jc w:val="left"/>
              <w:rPr>
                <w:rFonts w:hint="eastAsia" w:ascii="宋体" w:hAnsi="宋体" w:eastAsia="宋体" w:cs="宋体"/>
                <w:szCs w:val="21"/>
              </w:rPr>
            </w:pPr>
            <w:r>
              <w:rPr>
                <w:rFonts w:hint="eastAsia" w:ascii="宋体" w:hAnsi="宋体" w:eastAsia="宋体" w:cs="宋体"/>
                <w:szCs w:val="21"/>
              </w:rPr>
              <w:t>12</w:t>
            </w:r>
          </w:p>
        </w:tc>
      </w:tr>
      <w:tr w14:paraId="34CD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57" w:type="dxa"/>
          </w:tcPr>
          <w:p w14:paraId="4069395B">
            <w:pPr>
              <w:jc w:val="left"/>
              <w:rPr>
                <w:rFonts w:hint="eastAsia" w:ascii="宋体" w:hAnsi="宋体" w:eastAsia="宋体" w:cs="宋体"/>
                <w:szCs w:val="21"/>
              </w:rPr>
            </w:pPr>
            <w:r>
              <w:rPr>
                <w:rFonts w:hint="eastAsia" w:ascii="宋体" w:hAnsi="宋体" w:eastAsia="宋体" w:cs="宋体"/>
                <w:szCs w:val="21"/>
              </w:rPr>
              <w:t>5</w:t>
            </w:r>
          </w:p>
        </w:tc>
        <w:tc>
          <w:tcPr>
            <w:tcW w:w="1494" w:type="dxa"/>
          </w:tcPr>
          <w:p w14:paraId="1D5B73E1">
            <w:pPr>
              <w:jc w:val="left"/>
              <w:rPr>
                <w:rFonts w:hint="eastAsia" w:ascii="宋体" w:hAnsi="宋体" w:eastAsia="宋体" w:cs="宋体"/>
                <w:szCs w:val="21"/>
              </w:rPr>
            </w:pPr>
            <w:r>
              <w:rPr>
                <w:rFonts w:hint="eastAsia" w:ascii="宋体" w:hAnsi="宋体" w:eastAsia="宋体" w:cs="宋体"/>
                <w:szCs w:val="21"/>
              </w:rPr>
              <w:t>图形图像计算服务</w:t>
            </w:r>
          </w:p>
        </w:tc>
        <w:tc>
          <w:tcPr>
            <w:tcW w:w="3666" w:type="dxa"/>
          </w:tcPr>
          <w:p w14:paraId="0D9EA2A0">
            <w:pPr>
              <w:jc w:val="left"/>
              <w:rPr>
                <w:rFonts w:hint="eastAsia" w:ascii="宋体" w:hAnsi="宋体" w:eastAsia="宋体" w:cs="宋体"/>
                <w:szCs w:val="21"/>
              </w:rPr>
            </w:pPr>
            <w:r>
              <w:rPr>
                <w:rFonts w:hint="eastAsia" w:ascii="宋体" w:hAnsi="宋体" w:eastAsia="宋体" w:cs="宋体"/>
                <w:szCs w:val="21"/>
              </w:rPr>
              <w:t>GPU显存不低于16G，最大单精度浮点计算能力不低于7TFLOPS，最大双精度浮点计算能力0.2TFLOPS</w:t>
            </w:r>
          </w:p>
        </w:tc>
        <w:tc>
          <w:tcPr>
            <w:tcW w:w="976" w:type="dxa"/>
          </w:tcPr>
          <w:p w14:paraId="1CB282B8">
            <w:pPr>
              <w:jc w:val="left"/>
              <w:rPr>
                <w:rFonts w:hint="eastAsia" w:ascii="宋体" w:hAnsi="宋体" w:eastAsia="宋体" w:cs="宋体"/>
                <w:szCs w:val="21"/>
              </w:rPr>
            </w:pPr>
            <w:r>
              <w:rPr>
                <w:rFonts w:hint="eastAsia" w:ascii="宋体" w:hAnsi="宋体" w:eastAsia="宋体" w:cs="宋体"/>
                <w:szCs w:val="21"/>
              </w:rPr>
              <w:t>GPU/月</w:t>
            </w:r>
          </w:p>
        </w:tc>
        <w:tc>
          <w:tcPr>
            <w:tcW w:w="990" w:type="dxa"/>
          </w:tcPr>
          <w:p w14:paraId="4A6C52B7">
            <w:pPr>
              <w:jc w:val="left"/>
              <w:rPr>
                <w:rFonts w:hint="eastAsia" w:ascii="宋体" w:hAnsi="宋体" w:eastAsia="宋体" w:cs="宋体"/>
                <w:szCs w:val="21"/>
              </w:rPr>
            </w:pPr>
            <w:r>
              <w:rPr>
                <w:rFonts w:hint="eastAsia" w:ascii="宋体" w:hAnsi="宋体" w:eastAsia="宋体" w:cs="宋体"/>
                <w:szCs w:val="21"/>
              </w:rPr>
              <w:t>7</w:t>
            </w:r>
          </w:p>
        </w:tc>
        <w:tc>
          <w:tcPr>
            <w:tcW w:w="939" w:type="dxa"/>
          </w:tcPr>
          <w:p w14:paraId="5AAF651C">
            <w:pPr>
              <w:jc w:val="left"/>
              <w:rPr>
                <w:rFonts w:hint="eastAsia" w:ascii="宋体" w:hAnsi="宋体" w:eastAsia="宋体" w:cs="宋体"/>
                <w:szCs w:val="21"/>
              </w:rPr>
            </w:pPr>
            <w:r>
              <w:rPr>
                <w:rFonts w:hint="eastAsia" w:ascii="宋体" w:hAnsi="宋体" w:eastAsia="宋体" w:cs="宋体"/>
                <w:szCs w:val="21"/>
              </w:rPr>
              <w:t>12</w:t>
            </w:r>
          </w:p>
        </w:tc>
      </w:tr>
      <w:tr w14:paraId="3042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57" w:type="dxa"/>
          </w:tcPr>
          <w:p w14:paraId="65AC6938">
            <w:pPr>
              <w:jc w:val="left"/>
              <w:rPr>
                <w:rFonts w:hint="eastAsia" w:ascii="宋体" w:hAnsi="宋体" w:eastAsia="宋体" w:cs="宋体"/>
                <w:szCs w:val="21"/>
              </w:rPr>
            </w:pPr>
            <w:r>
              <w:rPr>
                <w:rFonts w:hint="eastAsia" w:ascii="宋体" w:hAnsi="宋体" w:eastAsia="宋体" w:cs="宋体"/>
                <w:szCs w:val="21"/>
              </w:rPr>
              <w:t>6</w:t>
            </w:r>
          </w:p>
        </w:tc>
        <w:tc>
          <w:tcPr>
            <w:tcW w:w="1494" w:type="dxa"/>
          </w:tcPr>
          <w:p w14:paraId="1559B295">
            <w:pPr>
              <w:jc w:val="left"/>
              <w:rPr>
                <w:rFonts w:hint="eastAsia" w:ascii="宋体" w:hAnsi="宋体" w:eastAsia="宋体" w:cs="宋体"/>
                <w:szCs w:val="21"/>
              </w:rPr>
            </w:pPr>
            <w:r>
              <w:rPr>
                <w:rFonts w:hint="eastAsia" w:ascii="宋体" w:hAnsi="宋体" w:eastAsia="宋体" w:cs="宋体"/>
                <w:szCs w:val="21"/>
              </w:rPr>
              <w:t>普通性能存储</w:t>
            </w:r>
          </w:p>
        </w:tc>
        <w:tc>
          <w:tcPr>
            <w:tcW w:w="3666" w:type="dxa"/>
          </w:tcPr>
          <w:p w14:paraId="141B5F24">
            <w:pPr>
              <w:jc w:val="left"/>
              <w:rPr>
                <w:rFonts w:hint="eastAsia" w:ascii="宋体" w:hAnsi="宋体" w:eastAsia="宋体" w:cs="宋体"/>
                <w:szCs w:val="21"/>
                <w:highlight w:val="none"/>
              </w:rPr>
            </w:pPr>
            <w:r>
              <w:rPr>
                <w:rFonts w:hint="eastAsia" w:ascii="宋体" w:hAnsi="宋体" w:eastAsia="宋体" w:cs="宋体"/>
                <w:szCs w:val="21"/>
                <w:highlight w:val="none"/>
              </w:rPr>
              <w:t>普通存储（单盘技术指标: 单盘IOPS1000-3000</w:t>
            </w:r>
            <w:r>
              <w:rPr>
                <w:rFonts w:hint="eastAsia" w:ascii="宋体" w:hAnsi="宋体" w:eastAsia="宋体" w:cs="宋体"/>
                <w:szCs w:val="21"/>
                <w:highlight w:val="none"/>
                <w:lang w:val="en-US" w:eastAsia="zh-CN"/>
              </w:rPr>
              <w:t>k/s</w:t>
            </w:r>
            <w:r>
              <w:rPr>
                <w:rFonts w:hint="eastAsia" w:ascii="宋体" w:hAnsi="宋体" w:eastAsia="宋体" w:cs="宋体"/>
                <w:szCs w:val="21"/>
                <w:highlight w:val="none"/>
              </w:rPr>
              <w:t xml:space="preserve"> ）</w:t>
            </w:r>
          </w:p>
        </w:tc>
        <w:tc>
          <w:tcPr>
            <w:tcW w:w="976" w:type="dxa"/>
          </w:tcPr>
          <w:p w14:paraId="14A8959F">
            <w:pPr>
              <w:jc w:val="left"/>
              <w:rPr>
                <w:rFonts w:hint="eastAsia" w:ascii="宋体" w:hAnsi="宋体" w:eastAsia="宋体" w:cs="宋体"/>
                <w:szCs w:val="21"/>
                <w:highlight w:val="none"/>
              </w:rPr>
            </w:pPr>
            <w:r>
              <w:rPr>
                <w:rFonts w:hint="eastAsia" w:ascii="宋体" w:hAnsi="宋体" w:eastAsia="宋体" w:cs="宋体"/>
                <w:szCs w:val="21"/>
                <w:highlight w:val="none"/>
              </w:rPr>
              <w:t>GB/月</w:t>
            </w:r>
          </w:p>
        </w:tc>
        <w:tc>
          <w:tcPr>
            <w:tcW w:w="990" w:type="dxa"/>
          </w:tcPr>
          <w:p w14:paraId="2BC8FAED">
            <w:pPr>
              <w:jc w:val="left"/>
              <w:rPr>
                <w:rFonts w:hint="eastAsia" w:ascii="宋体" w:hAnsi="宋体" w:eastAsia="宋体" w:cs="宋体"/>
                <w:szCs w:val="21"/>
                <w:highlight w:val="none"/>
              </w:rPr>
            </w:pPr>
            <w:r>
              <w:rPr>
                <w:rFonts w:hint="eastAsia" w:ascii="宋体" w:hAnsi="宋体" w:eastAsia="宋体" w:cs="宋体"/>
                <w:szCs w:val="21"/>
                <w:highlight w:val="none"/>
              </w:rPr>
              <w:t>55200</w:t>
            </w:r>
          </w:p>
        </w:tc>
        <w:tc>
          <w:tcPr>
            <w:tcW w:w="939" w:type="dxa"/>
          </w:tcPr>
          <w:p w14:paraId="0115F191">
            <w:pPr>
              <w:jc w:val="left"/>
              <w:rPr>
                <w:rFonts w:hint="eastAsia" w:ascii="宋体" w:hAnsi="宋体" w:eastAsia="宋体" w:cs="宋体"/>
                <w:szCs w:val="21"/>
              </w:rPr>
            </w:pPr>
            <w:r>
              <w:rPr>
                <w:rFonts w:hint="eastAsia" w:ascii="宋体" w:hAnsi="宋体" w:eastAsia="宋体" w:cs="宋体"/>
                <w:szCs w:val="21"/>
              </w:rPr>
              <w:t>12</w:t>
            </w:r>
          </w:p>
        </w:tc>
      </w:tr>
      <w:tr w14:paraId="3A84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57" w:type="dxa"/>
          </w:tcPr>
          <w:p w14:paraId="163A3BDD">
            <w:pPr>
              <w:jc w:val="left"/>
              <w:rPr>
                <w:rFonts w:hint="eastAsia" w:ascii="宋体" w:hAnsi="宋体" w:eastAsia="宋体" w:cs="宋体"/>
                <w:szCs w:val="21"/>
              </w:rPr>
            </w:pPr>
            <w:r>
              <w:rPr>
                <w:rFonts w:hint="eastAsia" w:ascii="宋体" w:hAnsi="宋体" w:eastAsia="宋体" w:cs="宋体"/>
                <w:szCs w:val="21"/>
              </w:rPr>
              <w:t>7</w:t>
            </w:r>
          </w:p>
        </w:tc>
        <w:tc>
          <w:tcPr>
            <w:tcW w:w="1494" w:type="dxa"/>
          </w:tcPr>
          <w:p w14:paraId="385FD823">
            <w:pPr>
              <w:jc w:val="left"/>
              <w:rPr>
                <w:rFonts w:hint="eastAsia" w:ascii="宋体" w:hAnsi="宋体" w:eastAsia="宋体" w:cs="宋体"/>
                <w:szCs w:val="21"/>
              </w:rPr>
            </w:pPr>
            <w:r>
              <w:rPr>
                <w:rFonts w:hint="eastAsia" w:ascii="宋体" w:hAnsi="宋体" w:eastAsia="宋体" w:cs="宋体"/>
                <w:szCs w:val="21"/>
              </w:rPr>
              <w:t>高性能存储</w:t>
            </w:r>
          </w:p>
        </w:tc>
        <w:tc>
          <w:tcPr>
            <w:tcW w:w="3666" w:type="dxa"/>
          </w:tcPr>
          <w:p w14:paraId="0962DE1B">
            <w:pPr>
              <w:jc w:val="left"/>
              <w:rPr>
                <w:rFonts w:hint="eastAsia" w:ascii="宋体" w:hAnsi="宋体" w:eastAsia="宋体" w:cs="宋体"/>
                <w:szCs w:val="21"/>
                <w:highlight w:val="none"/>
              </w:rPr>
            </w:pPr>
            <w:r>
              <w:rPr>
                <w:rFonts w:hint="eastAsia" w:ascii="宋体" w:hAnsi="宋体" w:eastAsia="宋体" w:cs="宋体"/>
                <w:szCs w:val="21"/>
                <w:highlight w:val="none"/>
              </w:rPr>
              <w:t>高性能存储（单盘技术指标：单盘IOPS3000-20000</w:t>
            </w:r>
            <w:r>
              <w:rPr>
                <w:rFonts w:hint="eastAsia" w:ascii="宋体" w:hAnsi="宋体" w:eastAsia="宋体" w:cs="宋体"/>
                <w:szCs w:val="21"/>
                <w:highlight w:val="none"/>
                <w:lang w:val="en-US" w:eastAsia="zh-CN"/>
              </w:rPr>
              <w:t>k/s</w:t>
            </w:r>
            <w:r>
              <w:rPr>
                <w:rFonts w:hint="eastAsia" w:ascii="宋体" w:hAnsi="宋体" w:eastAsia="宋体" w:cs="宋体"/>
                <w:szCs w:val="21"/>
                <w:highlight w:val="none"/>
              </w:rPr>
              <w:t xml:space="preserve"> ）</w:t>
            </w:r>
          </w:p>
        </w:tc>
        <w:tc>
          <w:tcPr>
            <w:tcW w:w="976" w:type="dxa"/>
          </w:tcPr>
          <w:p w14:paraId="722B4FBD">
            <w:pPr>
              <w:jc w:val="left"/>
              <w:rPr>
                <w:rFonts w:hint="eastAsia" w:ascii="宋体" w:hAnsi="宋体" w:eastAsia="宋体" w:cs="宋体"/>
                <w:szCs w:val="21"/>
                <w:highlight w:val="none"/>
              </w:rPr>
            </w:pPr>
            <w:r>
              <w:rPr>
                <w:rFonts w:hint="eastAsia" w:ascii="宋体" w:hAnsi="宋体" w:eastAsia="宋体" w:cs="宋体"/>
                <w:szCs w:val="21"/>
                <w:highlight w:val="none"/>
              </w:rPr>
              <w:t>GB/月</w:t>
            </w:r>
          </w:p>
        </w:tc>
        <w:tc>
          <w:tcPr>
            <w:tcW w:w="990" w:type="dxa"/>
          </w:tcPr>
          <w:p w14:paraId="60618FBC">
            <w:pPr>
              <w:jc w:val="left"/>
              <w:rPr>
                <w:rFonts w:hint="eastAsia" w:ascii="宋体" w:hAnsi="宋体" w:eastAsia="宋体" w:cs="宋体"/>
                <w:szCs w:val="21"/>
                <w:highlight w:val="none"/>
              </w:rPr>
            </w:pPr>
            <w:r>
              <w:rPr>
                <w:rFonts w:hint="eastAsia" w:ascii="宋体" w:hAnsi="宋体" w:eastAsia="宋体" w:cs="宋体"/>
                <w:szCs w:val="21"/>
                <w:highlight w:val="none"/>
              </w:rPr>
              <w:t>193776</w:t>
            </w:r>
          </w:p>
        </w:tc>
        <w:tc>
          <w:tcPr>
            <w:tcW w:w="939" w:type="dxa"/>
          </w:tcPr>
          <w:p w14:paraId="1D208283">
            <w:pPr>
              <w:jc w:val="left"/>
              <w:rPr>
                <w:rFonts w:hint="eastAsia" w:ascii="宋体" w:hAnsi="宋体" w:eastAsia="宋体" w:cs="宋体"/>
                <w:szCs w:val="21"/>
              </w:rPr>
            </w:pPr>
            <w:r>
              <w:rPr>
                <w:rFonts w:hint="eastAsia" w:ascii="宋体" w:hAnsi="宋体" w:eastAsia="宋体" w:cs="宋体"/>
                <w:szCs w:val="21"/>
              </w:rPr>
              <w:t>12</w:t>
            </w:r>
          </w:p>
        </w:tc>
      </w:tr>
      <w:tr w14:paraId="6525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57" w:type="dxa"/>
          </w:tcPr>
          <w:p w14:paraId="433AA883">
            <w:pPr>
              <w:jc w:val="left"/>
              <w:rPr>
                <w:rFonts w:hint="eastAsia" w:ascii="宋体" w:hAnsi="宋体" w:eastAsia="宋体" w:cs="宋体"/>
                <w:szCs w:val="21"/>
              </w:rPr>
            </w:pPr>
            <w:r>
              <w:rPr>
                <w:rFonts w:hint="eastAsia" w:ascii="宋体" w:hAnsi="宋体" w:eastAsia="宋体" w:cs="宋体"/>
                <w:szCs w:val="21"/>
              </w:rPr>
              <w:t>8</w:t>
            </w:r>
          </w:p>
        </w:tc>
        <w:tc>
          <w:tcPr>
            <w:tcW w:w="1494" w:type="dxa"/>
          </w:tcPr>
          <w:p w14:paraId="6F019BEA">
            <w:pPr>
              <w:jc w:val="left"/>
              <w:rPr>
                <w:rFonts w:hint="eastAsia" w:ascii="宋体" w:hAnsi="宋体" w:eastAsia="宋体" w:cs="宋体"/>
                <w:szCs w:val="21"/>
              </w:rPr>
            </w:pPr>
            <w:r>
              <w:rPr>
                <w:rFonts w:hint="eastAsia" w:ascii="宋体" w:hAnsi="宋体" w:eastAsia="宋体" w:cs="宋体"/>
                <w:szCs w:val="21"/>
              </w:rPr>
              <w:t>应用负载均衡</w:t>
            </w:r>
          </w:p>
        </w:tc>
        <w:tc>
          <w:tcPr>
            <w:tcW w:w="3666" w:type="dxa"/>
            <w:noWrap/>
            <w:vAlign w:val="center"/>
          </w:tcPr>
          <w:p w14:paraId="4A6F4BDF">
            <w:pPr>
              <w:jc w:val="left"/>
              <w:rPr>
                <w:rFonts w:hint="eastAsia" w:ascii="宋体" w:hAnsi="宋体" w:eastAsia="宋体" w:cs="宋体"/>
                <w:szCs w:val="21"/>
              </w:rPr>
            </w:pPr>
            <w:r>
              <w:rPr>
                <w:rFonts w:hint="eastAsia" w:ascii="宋体" w:hAnsi="宋体" w:eastAsia="宋体" w:cs="宋体"/>
                <w:szCs w:val="21"/>
              </w:rPr>
              <w:t>主机负载均衡服务</w:t>
            </w:r>
          </w:p>
        </w:tc>
        <w:tc>
          <w:tcPr>
            <w:tcW w:w="976" w:type="dxa"/>
          </w:tcPr>
          <w:p w14:paraId="70670B6F">
            <w:pPr>
              <w:jc w:val="left"/>
              <w:rPr>
                <w:rFonts w:hint="eastAsia" w:ascii="宋体" w:hAnsi="宋体" w:eastAsia="宋体" w:cs="宋体"/>
                <w:szCs w:val="21"/>
              </w:rPr>
            </w:pPr>
            <w:r>
              <w:rPr>
                <w:rFonts w:hint="eastAsia" w:ascii="宋体" w:hAnsi="宋体" w:eastAsia="宋体" w:cs="宋体"/>
                <w:szCs w:val="21"/>
              </w:rPr>
              <w:t>IP/月</w:t>
            </w:r>
          </w:p>
        </w:tc>
        <w:tc>
          <w:tcPr>
            <w:tcW w:w="990" w:type="dxa"/>
          </w:tcPr>
          <w:p w14:paraId="068DFC27">
            <w:pPr>
              <w:jc w:val="left"/>
              <w:rPr>
                <w:rFonts w:hint="eastAsia" w:ascii="宋体" w:hAnsi="宋体" w:eastAsia="宋体" w:cs="宋体"/>
                <w:szCs w:val="21"/>
              </w:rPr>
            </w:pPr>
            <w:r>
              <w:rPr>
                <w:rFonts w:hint="eastAsia" w:ascii="宋体" w:hAnsi="宋体" w:eastAsia="宋体" w:cs="宋体"/>
                <w:szCs w:val="21"/>
              </w:rPr>
              <w:t>4</w:t>
            </w:r>
          </w:p>
        </w:tc>
        <w:tc>
          <w:tcPr>
            <w:tcW w:w="939" w:type="dxa"/>
          </w:tcPr>
          <w:p w14:paraId="08922C42">
            <w:pPr>
              <w:jc w:val="left"/>
              <w:rPr>
                <w:rFonts w:hint="eastAsia" w:ascii="宋体" w:hAnsi="宋体" w:eastAsia="宋体" w:cs="宋体"/>
                <w:szCs w:val="21"/>
              </w:rPr>
            </w:pPr>
            <w:r>
              <w:rPr>
                <w:rFonts w:hint="eastAsia" w:ascii="宋体" w:hAnsi="宋体" w:eastAsia="宋体" w:cs="宋体"/>
                <w:szCs w:val="21"/>
              </w:rPr>
              <w:t>12</w:t>
            </w:r>
          </w:p>
        </w:tc>
      </w:tr>
      <w:tr w14:paraId="75831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57" w:type="dxa"/>
          </w:tcPr>
          <w:p w14:paraId="3DFF3E45">
            <w:pPr>
              <w:jc w:val="left"/>
              <w:rPr>
                <w:rFonts w:hint="eastAsia" w:ascii="宋体" w:hAnsi="宋体" w:eastAsia="宋体" w:cs="宋体"/>
                <w:szCs w:val="21"/>
              </w:rPr>
            </w:pPr>
            <w:r>
              <w:rPr>
                <w:rFonts w:hint="eastAsia" w:ascii="宋体" w:hAnsi="宋体" w:eastAsia="宋体" w:cs="宋体"/>
                <w:szCs w:val="21"/>
              </w:rPr>
              <w:t>9</w:t>
            </w:r>
          </w:p>
        </w:tc>
        <w:tc>
          <w:tcPr>
            <w:tcW w:w="1494" w:type="dxa"/>
          </w:tcPr>
          <w:p w14:paraId="58756419">
            <w:pPr>
              <w:jc w:val="left"/>
              <w:rPr>
                <w:rFonts w:hint="eastAsia" w:ascii="宋体" w:hAnsi="宋体" w:eastAsia="宋体" w:cs="宋体"/>
                <w:szCs w:val="21"/>
              </w:rPr>
            </w:pPr>
            <w:r>
              <w:rPr>
                <w:rFonts w:hint="eastAsia" w:ascii="宋体" w:hAnsi="宋体" w:eastAsia="宋体" w:cs="宋体"/>
                <w:szCs w:val="21"/>
              </w:rPr>
              <w:t>远程接入服务</w:t>
            </w:r>
          </w:p>
        </w:tc>
        <w:tc>
          <w:tcPr>
            <w:tcW w:w="3666" w:type="dxa"/>
          </w:tcPr>
          <w:p w14:paraId="3E669BE0">
            <w:pPr>
              <w:jc w:val="left"/>
              <w:rPr>
                <w:rFonts w:hint="eastAsia" w:ascii="宋体" w:hAnsi="宋体" w:eastAsia="宋体" w:cs="宋体"/>
                <w:szCs w:val="21"/>
              </w:rPr>
            </w:pPr>
            <w:r>
              <w:rPr>
                <w:rFonts w:hint="eastAsia" w:ascii="宋体" w:hAnsi="宋体" w:eastAsia="宋体" w:cs="宋体"/>
                <w:szCs w:val="21"/>
              </w:rPr>
              <w:t>每个账号结合身份验证通过VPN远程接入堡垒机进行维护</w:t>
            </w:r>
          </w:p>
        </w:tc>
        <w:tc>
          <w:tcPr>
            <w:tcW w:w="976" w:type="dxa"/>
          </w:tcPr>
          <w:p w14:paraId="49138E5C">
            <w:pPr>
              <w:jc w:val="left"/>
              <w:rPr>
                <w:rFonts w:hint="eastAsia" w:ascii="宋体" w:hAnsi="宋体" w:eastAsia="宋体" w:cs="宋体"/>
                <w:szCs w:val="21"/>
              </w:rPr>
            </w:pPr>
            <w:r>
              <w:rPr>
                <w:rFonts w:hint="eastAsia" w:ascii="宋体" w:hAnsi="宋体" w:eastAsia="宋体" w:cs="宋体"/>
                <w:szCs w:val="21"/>
              </w:rPr>
              <w:t>账号/月</w:t>
            </w:r>
          </w:p>
        </w:tc>
        <w:tc>
          <w:tcPr>
            <w:tcW w:w="990" w:type="dxa"/>
          </w:tcPr>
          <w:p w14:paraId="673FE72C">
            <w:pPr>
              <w:jc w:val="left"/>
              <w:rPr>
                <w:rFonts w:hint="eastAsia" w:ascii="宋体" w:hAnsi="宋体" w:eastAsia="宋体" w:cs="宋体"/>
                <w:szCs w:val="21"/>
              </w:rPr>
            </w:pPr>
            <w:r>
              <w:rPr>
                <w:rFonts w:hint="eastAsia" w:ascii="宋体" w:hAnsi="宋体" w:cs="宋体"/>
                <w:szCs w:val="21"/>
              </w:rPr>
              <w:t>1</w:t>
            </w:r>
          </w:p>
        </w:tc>
        <w:tc>
          <w:tcPr>
            <w:tcW w:w="939" w:type="dxa"/>
          </w:tcPr>
          <w:p w14:paraId="4C109B72">
            <w:pPr>
              <w:jc w:val="left"/>
              <w:rPr>
                <w:rFonts w:hint="eastAsia" w:ascii="宋体" w:hAnsi="宋体" w:eastAsia="宋体" w:cs="宋体"/>
                <w:szCs w:val="21"/>
              </w:rPr>
            </w:pPr>
            <w:r>
              <w:rPr>
                <w:rFonts w:hint="eastAsia" w:ascii="宋体" w:hAnsi="宋体" w:eastAsia="宋体" w:cs="宋体"/>
                <w:szCs w:val="21"/>
              </w:rPr>
              <w:t>12</w:t>
            </w:r>
          </w:p>
        </w:tc>
      </w:tr>
      <w:tr w14:paraId="3F03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57" w:type="dxa"/>
          </w:tcPr>
          <w:p w14:paraId="78863B07">
            <w:pPr>
              <w:jc w:val="left"/>
              <w:rPr>
                <w:rFonts w:hint="eastAsia" w:ascii="宋体" w:hAnsi="宋体" w:eastAsia="宋体" w:cs="宋体"/>
                <w:szCs w:val="21"/>
              </w:rPr>
            </w:pPr>
            <w:r>
              <w:rPr>
                <w:rFonts w:hint="eastAsia" w:ascii="宋体" w:hAnsi="宋体" w:eastAsia="宋体" w:cs="宋体"/>
                <w:szCs w:val="21"/>
              </w:rPr>
              <w:t>10</w:t>
            </w:r>
          </w:p>
        </w:tc>
        <w:tc>
          <w:tcPr>
            <w:tcW w:w="1494" w:type="dxa"/>
          </w:tcPr>
          <w:p w14:paraId="55EEA6B3">
            <w:pPr>
              <w:jc w:val="left"/>
              <w:rPr>
                <w:rFonts w:hint="eastAsia" w:ascii="宋体" w:hAnsi="宋体" w:eastAsia="宋体" w:cs="宋体"/>
                <w:szCs w:val="21"/>
              </w:rPr>
            </w:pPr>
            <w:r>
              <w:rPr>
                <w:rFonts w:hint="eastAsia" w:ascii="宋体" w:hAnsi="宋体" w:eastAsia="宋体" w:cs="宋体"/>
                <w:szCs w:val="21"/>
              </w:rPr>
              <w:t>云主机深度监控服务</w:t>
            </w:r>
          </w:p>
        </w:tc>
        <w:tc>
          <w:tcPr>
            <w:tcW w:w="3666" w:type="dxa"/>
          </w:tcPr>
          <w:p w14:paraId="4B821252">
            <w:pPr>
              <w:jc w:val="left"/>
              <w:rPr>
                <w:rFonts w:hint="eastAsia" w:ascii="宋体" w:hAnsi="宋体" w:eastAsia="宋体" w:cs="宋体"/>
                <w:szCs w:val="21"/>
              </w:rPr>
            </w:pPr>
            <w:r>
              <w:rPr>
                <w:rFonts w:hint="eastAsia" w:ascii="宋体" w:hAnsi="宋体" w:eastAsia="宋体" w:cs="宋体"/>
                <w:szCs w:val="21"/>
              </w:rPr>
              <w:t>7×24小时深度监测云主机资源、硬件设备监控、云平台层应急处置等内容</w:t>
            </w:r>
          </w:p>
        </w:tc>
        <w:tc>
          <w:tcPr>
            <w:tcW w:w="976" w:type="dxa"/>
          </w:tcPr>
          <w:p w14:paraId="0639DDD3">
            <w:pPr>
              <w:jc w:val="left"/>
              <w:rPr>
                <w:rFonts w:hint="eastAsia" w:ascii="宋体" w:hAnsi="宋体" w:eastAsia="宋体" w:cs="宋体"/>
                <w:szCs w:val="21"/>
              </w:rPr>
            </w:pPr>
            <w:r>
              <w:rPr>
                <w:rFonts w:hint="eastAsia" w:ascii="宋体" w:hAnsi="宋体" w:eastAsia="宋体" w:cs="宋体"/>
                <w:szCs w:val="21"/>
              </w:rPr>
              <w:t>台/月</w:t>
            </w:r>
          </w:p>
        </w:tc>
        <w:tc>
          <w:tcPr>
            <w:tcW w:w="990" w:type="dxa"/>
          </w:tcPr>
          <w:p w14:paraId="3A903947">
            <w:pPr>
              <w:jc w:val="left"/>
              <w:rPr>
                <w:rFonts w:hint="eastAsia" w:ascii="宋体" w:hAnsi="宋体" w:eastAsia="宋体" w:cs="宋体"/>
                <w:szCs w:val="21"/>
              </w:rPr>
            </w:pPr>
            <w:r>
              <w:rPr>
                <w:rFonts w:hint="eastAsia" w:ascii="宋体" w:hAnsi="宋体" w:eastAsia="宋体" w:cs="宋体"/>
                <w:szCs w:val="21"/>
              </w:rPr>
              <w:t>15</w:t>
            </w:r>
          </w:p>
        </w:tc>
        <w:tc>
          <w:tcPr>
            <w:tcW w:w="939" w:type="dxa"/>
          </w:tcPr>
          <w:p w14:paraId="2A338562">
            <w:pPr>
              <w:jc w:val="left"/>
              <w:rPr>
                <w:rFonts w:hint="eastAsia" w:ascii="宋体" w:hAnsi="宋体" w:eastAsia="宋体" w:cs="宋体"/>
                <w:szCs w:val="21"/>
              </w:rPr>
            </w:pPr>
            <w:r>
              <w:rPr>
                <w:rFonts w:hint="eastAsia" w:ascii="宋体" w:hAnsi="宋体" w:eastAsia="宋体" w:cs="宋体"/>
                <w:szCs w:val="21"/>
              </w:rPr>
              <w:t>12</w:t>
            </w:r>
          </w:p>
        </w:tc>
      </w:tr>
      <w:tr w14:paraId="108C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457" w:type="dxa"/>
          </w:tcPr>
          <w:p w14:paraId="30F939EE">
            <w:pPr>
              <w:jc w:val="left"/>
              <w:rPr>
                <w:rFonts w:hint="eastAsia" w:ascii="宋体" w:hAnsi="宋体" w:eastAsia="宋体" w:cs="宋体"/>
                <w:szCs w:val="21"/>
              </w:rPr>
            </w:pPr>
            <w:r>
              <w:rPr>
                <w:rFonts w:hint="eastAsia" w:ascii="宋体" w:hAnsi="宋体" w:eastAsia="宋体" w:cs="宋体"/>
                <w:szCs w:val="21"/>
              </w:rPr>
              <w:t>11</w:t>
            </w:r>
          </w:p>
        </w:tc>
        <w:tc>
          <w:tcPr>
            <w:tcW w:w="1494" w:type="dxa"/>
          </w:tcPr>
          <w:p w14:paraId="4DB69EA0">
            <w:pPr>
              <w:jc w:val="left"/>
              <w:rPr>
                <w:rFonts w:hint="eastAsia" w:ascii="宋体" w:hAnsi="宋体" w:eastAsia="宋体" w:cs="宋体"/>
                <w:szCs w:val="21"/>
              </w:rPr>
            </w:pPr>
            <w:r>
              <w:rPr>
                <w:rFonts w:hint="eastAsia" w:ascii="宋体" w:hAnsi="宋体" w:eastAsia="宋体" w:cs="宋体"/>
                <w:szCs w:val="21"/>
              </w:rPr>
              <w:t>重点保障-安全值守</w:t>
            </w:r>
          </w:p>
        </w:tc>
        <w:tc>
          <w:tcPr>
            <w:tcW w:w="3666" w:type="dxa"/>
          </w:tcPr>
          <w:p w14:paraId="0E883D9B">
            <w:pPr>
              <w:jc w:val="left"/>
              <w:rPr>
                <w:rFonts w:hint="eastAsia" w:ascii="宋体" w:hAnsi="宋体" w:eastAsia="宋体" w:cs="宋体"/>
                <w:szCs w:val="21"/>
              </w:rPr>
            </w:pPr>
            <w:r>
              <w:rPr>
                <w:rFonts w:hint="eastAsia" w:ascii="宋体" w:hAnsi="宋体" w:eastAsia="宋体" w:cs="宋体"/>
                <w:szCs w:val="21"/>
              </w:rPr>
              <w:t>在值守服务基础上增加每天至少10次人工巡检查看系统运行情况、应急处置、安全事件验证、分析、事件报告等内容，提供24小时的系统截图、安全事件分析报告、值班报告等。</w:t>
            </w:r>
          </w:p>
        </w:tc>
        <w:tc>
          <w:tcPr>
            <w:tcW w:w="976" w:type="dxa"/>
          </w:tcPr>
          <w:p w14:paraId="07EFC97A">
            <w:pPr>
              <w:jc w:val="left"/>
              <w:rPr>
                <w:rFonts w:hint="eastAsia" w:ascii="宋体" w:hAnsi="宋体" w:eastAsia="宋体" w:cs="宋体"/>
                <w:szCs w:val="21"/>
              </w:rPr>
            </w:pPr>
            <w:r>
              <w:rPr>
                <w:rFonts w:hint="eastAsia" w:ascii="宋体" w:hAnsi="宋体" w:eastAsia="宋体" w:cs="宋体"/>
                <w:szCs w:val="21"/>
              </w:rPr>
              <w:t>人天</w:t>
            </w:r>
          </w:p>
        </w:tc>
        <w:tc>
          <w:tcPr>
            <w:tcW w:w="990" w:type="dxa"/>
          </w:tcPr>
          <w:p w14:paraId="2F04EE71">
            <w:pPr>
              <w:jc w:val="left"/>
              <w:rPr>
                <w:rFonts w:hint="eastAsia" w:ascii="宋体" w:hAnsi="宋体" w:eastAsia="宋体" w:cs="宋体"/>
                <w:szCs w:val="21"/>
              </w:rPr>
            </w:pPr>
            <w:r>
              <w:rPr>
                <w:rFonts w:hint="eastAsia" w:ascii="宋体" w:hAnsi="宋体" w:eastAsia="宋体" w:cs="宋体"/>
                <w:szCs w:val="21"/>
              </w:rPr>
              <w:t>30</w:t>
            </w:r>
          </w:p>
        </w:tc>
        <w:tc>
          <w:tcPr>
            <w:tcW w:w="939" w:type="dxa"/>
          </w:tcPr>
          <w:p w14:paraId="653A2AAF">
            <w:pPr>
              <w:jc w:val="left"/>
              <w:rPr>
                <w:rFonts w:hint="eastAsia" w:ascii="宋体" w:hAnsi="宋体" w:eastAsia="宋体" w:cs="宋体"/>
                <w:szCs w:val="21"/>
              </w:rPr>
            </w:pPr>
            <w:r>
              <w:rPr>
                <w:rFonts w:hint="eastAsia" w:ascii="宋体" w:hAnsi="宋体" w:eastAsia="宋体" w:cs="宋体"/>
                <w:szCs w:val="21"/>
              </w:rPr>
              <w:t>12</w:t>
            </w:r>
          </w:p>
        </w:tc>
      </w:tr>
    </w:tbl>
    <w:p w14:paraId="7EA86121">
      <w:pPr>
        <w:pStyle w:val="9"/>
        <w:numPr>
          <w:ilvl w:val="0"/>
          <w:numId w:val="1"/>
        </w:numPr>
        <w:ind w:firstLineChars="0"/>
        <w:rPr>
          <w:rFonts w:hint="eastAsia" w:ascii="宋体" w:hAnsi="宋体" w:eastAsia="宋体" w:cs="宋体"/>
          <w:b/>
          <w:bCs/>
          <w:szCs w:val="21"/>
        </w:rPr>
      </w:pPr>
      <w:r>
        <w:rPr>
          <w:rFonts w:hint="eastAsia" w:ascii="宋体" w:hAnsi="宋体" w:eastAsia="宋体" w:cs="宋体"/>
          <w:b/>
          <w:bCs/>
          <w:szCs w:val="21"/>
        </w:rPr>
        <w:t>服务要求</w:t>
      </w:r>
    </w:p>
    <w:p w14:paraId="18E0CF90">
      <w:pPr>
        <w:rPr>
          <w:rFonts w:hint="eastAsia" w:ascii="宋体" w:hAnsi="宋体" w:eastAsia="宋体" w:cs="宋体"/>
          <w:szCs w:val="21"/>
        </w:rPr>
      </w:pPr>
      <w:r>
        <w:rPr>
          <w:rFonts w:hint="eastAsia" w:ascii="宋体" w:hAnsi="宋体" w:eastAsia="宋体" w:cs="宋体"/>
          <w:szCs w:val="21"/>
        </w:rPr>
        <w:t>（1）计算虚拟化技术要求</w:t>
      </w:r>
    </w:p>
    <w:tbl>
      <w:tblPr>
        <w:tblStyle w:val="5"/>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7360"/>
      </w:tblGrid>
      <w:tr w14:paraId="0EF8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25" w:type="dxa"/>
            <w:shd w:val="clear" w:color="auto" w:fill="auto"/>
            <w:vAlign w:val="center"/>
          </w:tcPr>
          <w:p w14:paraId="5FE05876">
            <w:pPr>
              <w:spacing w:line="360" w:lineRule="atLeast"/>
              <w:jc w:val="left"/>
              <w:rPr>
                <w:rFonts w:hint="eastAsia" w:ascii="宋体" w:hAnsi="宋体" w:eastAsia="宋体" w:cs="宋体"/>
                <w:szCs w:val="21"/>
              </w:rPr>
            </w:pPr>
            <w:r>
              <w:rPr>
                <w:rFonts w:hint="eastAsia" w:ascii="宋体" w:hAnsi="宋体" w:eastAsia="宋体" w:cs="宋体"/>
                <w:szCs w:val="21"/>
              </w:rPr>
              <w:t>指标项</w:t>
            </w:r>
          </w:p>
        </w:tc>
        <w:tc>
          <w:tcPr>
            <w:tcW w:w="7360" w:type="dxa"/>
            <w:shd w:val="clear" w:color="auto" w:fill="auto"/>
            <w:vAlign w:val="center"/>
          </w:tcPr>
          <w:p w14:paraId="5D22FD43">
            <w:pPr>
              <w:spacing w:line="360" w:lineRule="atLeast"/>
              <w:jc w:val="left"/>
              <w:rPr>
                <w:rFonts w:hint="eastAsia" w:ascii="宋体" w:hAnsi="宋体" w:eastAsia="宋体" w:cs="宋体"/>
                <w:szCs w:val="21"/>
              </w:rPr>
            </w:pPr>
            <w:r>
              <w:rPr>
                <w:rFonts w:hint="eastAsia" w:ascii="宋体" w:hAnsi="宋体" w:eastAsia="宋体" w:cs="宋体"/>
                <w:szCs w:val="21"/>
              </w:rPr>
              <w:t>技术参数</w:t>
            </w:r>
          </w:p>
        </w:tc>
      </w:tr>
      <w:tr w14:paraId="193E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25" w:type="dxa"/>
            <w:vMerge w:val="restart"/>
            <w:shd w:val="clear" w:color="auto" w:fill="auto"/>
            <w:vAlign w:val="center"/>
          </w:tcPr>
          <w:p w14:paraId="11832616">
            <w:pPr>
              <w:spacing w:line="360" w:lineRule="atLeast"/>
              <w:rPr>
                <w:rFonts w:hint="eastAsia" w:ascii="宋体" w:hAnsi="宋体" w:eastAsia="宋体" w:cs="宋体"/>
                <w:szCs w:val="21"/>
              </w:rPr>
            </w:pPr>
            <w:r>
              <w:rPr>
                <w:rFonts w:hint="eastAsia" w:ascii="宋体" w:hAnsi="宋体" w:eastAsia="宋体" w:cs="宋体"/>
                <w:szCs w:val="21"/>
              </w:rPr>
              <w:t>基础参数</w:t>
            </w:r>
          </w:p>
        </w:tc>
        <w:tc>
          <w:tcPr>
            <w:tcW w:w="7360" w:type="dxa"/>
            <w:shd w:val="clear" w:color="auto" w:fill="FFFFFF"/>
          </w:tcPr>
          <w:p w14:paraId="3DFDA800">
            <w:pPr>
              <w:spacing w:line="360" w:lineRule="atLeast"/>
              <w:rPr>
                <w:rFonts w:hint="eastAsia" w:ascii="宋体" w:hAnsi="宋体" w:eastAsia="宋体" w:cs="宋体"/>
                <w:szCs w:val="21"/>
              </w:rPr>
            </w:pPr>
            <w:r>
              <w:rPr>
                <w:rFonts w:hint="eastAsia" w:ascii="宋体" w:hAnsi="宋体" w:eastAsia="宋体" w:cs="宋体"/>
                <w:szCs w:val="21"/>
              </w:rPr>
              <w:t>云服务器规格支持在控制台界面直接选配预置模板和自定义配置两种方式，CPU配置最大不少于64核，内存不少于512G。</w:t>
            </w:r>
          </w:p>
        </w:tc>
      </w:tr>
      <w:tr w14:paraId="622E0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25" w:type="dxa"/>
            <w:vMerge w:val="continue"/>
            <w:shd w:val="clear" w:color="auto" w:fill="auto"/>
            <w:vAlign w:val="center"/>
          </w:tcPr>
          <w:p w14:paraId="7AC30FA2">
            <w:pPr>
              <w:spacing w:line="360" w:lineRule="atLeast"/>
              <w:rPr>
                <w:rFonts w:hint="eastAsia" w:ascii="宋体" w:hAnsi="宋体" w:eastAsia="宋体" w:cs="宋体"/>
                <w:szCs w:val="21"/>
              </w:rPr>
            </w:pPr>
          </w:p>
        </w:tc>
        <w:tc>
          <w:tcPr>
            <w:tcW w:w="7360" w:type="dxa"/>
            <w:shd w:val="clear" w:color="auto" w:fill="FFFFFF"/>
          </w:tcPr>
          <w:p w14:paraId="2887C8F2">
            <w:pPr>
              <w:spacing w:line="360" w:lineRule="atLeast"/>
              <w:rPr>
                <w:rFonts w:hint="eastAsia" w:ascii="宋体" w:hAnsi="宋体" w:eastAsia="宋体" w:cs="宋体"/>
                <w:szCs w:val="21"/>
              </w:rPr>
            </w:pPr>
            <w:r>
              <w:rPr>
                <w:rFonts w:hint="eastAsia" w:ascii="宋体" w:hAnsi="宋体" w:eastAsia="宋体" w:cs="宋体"/>
                <w:szCs w:val="21"/>
              </w:rPr>
              <w:t>云服务器支持安全加固登录，支持在控制台界面直接配置包括密码登录需符合密码复杂性策略、禁用密码登录启用密钥登录。</w:t>
            </w:r>
          </w:p>
        </w:tc>
      </w:tr>
      <w:tr w14:paraId="449F6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25" w:type="dxa"/>
            <w:vMerge w:val="continue"/>
            <w:shd w:val="clear" w:color="auto" w:fill="auto"/>
            <w:vAlign w:val="center"/>
          </w:tcPr>
          <w:p w14:paraId="67281596">
            <w:pPr>
              <w:spacing w:line="360" w:lineRule="atLeast"/>
              <w:rPr>
                <w:rFonts w:hint="eastAsia" w:ascii="宋体" w:hAnsi="宋体" w:eastAsia="宋体" w:cs="宋体"/>
                <w:szCs w:val="21"/>
              </w:rPr>
            </w:pPr>
          </w:p>
        </w:tc>
        <w:tc>
          <w:tcPr>
            <w:tcW w:w="7360" w:type="dxa"/>
            <w:shd w:val="clear" w:color="auto" w:fill="FFFFFF"/>
          </w:tcPr>
          <w:p w14:paraId="66B93F62">
            <w:pPr>
              <w:spacing w:line="360" w:lineRule="atLeast"/>
              <w:rPr>
                <w:rFonts w:hint="eastAsia" w:ascii="宋体" w:hAnsi="宋体" w:eastAsia="宋体" w:cs="宋体"/>
                <w:szCs w:val="21"/>
              </w:rPr>
            </w:pPr>
            <w:r>
              <w:rPr>
                <w:rFonts w:hint="eastAsia" w:ascii="宋体" w:hAnsi="宋体" w:eastAsia="宋体" w:cs="宋体"/>
                <w:szCs w:val="21"/>
              </w:rPr>
              <w:t>支持在控制台界面为云服务器配置绑定VIP(虚拟IP)和FIP(浮动IP)，支持在控制台界面的云服务器列表自定义中展示VIP和FIP、支持标签管理。</w:t>
            </w:r>
          </w:p>
        </w:tc>
      </w:tr>
      <w:tr w14:paraId="0093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425" w:type="dxa"/>
            <w:vMerge w:val="continue"/>
            <w:shd w:val="clear" w:color="auto" w:fill="auto"/>
            <w:vAlign w:val="center"/>
          </w:tcPr>
          <w:p w14:paraId="285DE419">
            <w:pPr>
              <w:spacing w:line="360" w:lineRule="atLeast"/>
              <w:rPr>
                <w:rFonts w:hint="eastAsia" w:ascii="宋体" w:hAnsi="宋体" w:eastAsia="宋体" w:cs="宋体"/>
                <w:szCs w:val="21"/>
              </w:rPr>
            </w:pPr>
          </w:p>
        </w:tc>
        <w:tc>
          <w:tcPr>
            <w:tcW w:w="7360" w:type="dxa"/>
            <w:shd w:val="clear" w:color="auto" w:fill="FFFFFF"/>
          </w:tcPr>
          <w:p w14:paraId="3D117852">
            <w:pPr>
              <w:spacing w:line="360" w:lineRule="atLeast"/>
              <w:rPr>
                <w:rFonts w:hint="eastAsia" w:ascii="宋体" w:hAnsi="宋体" w:eastAsia="宋体" w:cs="宋体"/>
                <w:szCs w:val="21"/>
              </w:rPr>
            </w:pPr>
            <w:r>
              <w:rPr>
                <w:rFonts w:hint="eastAsia" w:ascii="宋体" w:hAnsi="宋体" w:eastAsia="宋体" w:cs="宋体"/>
                <w:szCs w:val="21"/>
              </w:rPr>
              <w:t>支持云服务器救援处理，用于系统盘损坏时的救援恢复。支持在控制台界面配置云服务器系统盘的卸载、修复、挂载。</w:t>
            </w:r>
          </w:p>
        </w:tc>
      </w:tr>
      <w:tr w14:paraId="5A3A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425" w:type="dxa"/>
            <w:vMerge w:val="continue"/>
            <w:shd w:val="clear" w:color="auto" w:fill="auto"/>
            <w:vAlign w:val="center"/>
          </w:tcPr>
          <w:p w14:paraId="312B4D90">
            <w:pPr>
              <w:spacing w:line="360" w:lineRule="atLeast"/>
              <w:rPr>
                <w:rFonts w:hint="eastAsia" w:ascii="宋体" w:hAnsi="宋体" w:eastAsia="宋体" w:cs="宋体"/>
                <w:szCs w:val="21"/>
              </w:rPr>
            </w:pPr>
          </w:p>
        </w:tc>
        <w:tc>
          <w:tcPr>
            <w:tcW w:w="7360" w:type="dxa"/>
            <w:shd w:val="clear" w:color="auto" w:fill="FFFFFF"/>
          </w:tcPr>
          <w:p w14:paraId="1A93DC42">
            <w:pPr>
              <w:spacing w:line="360" w:lineRule="atLeast"/>
              <w:rPr>
                <w:rFonts w:hint="eastAsia" w:ascii="宋体" w:hAnsi="宋体" w:eastAsia="宋体" w:cs="宋体"/>
                <w:szCs w:val="21"/>
              </w:rPr>
            </w:pPr>
            <w:r>
              <w:rPr>
                <w:rFonts w:hint="eastAsia" w:ascii="宋体" w:hAnsi="宋体" w:eastAsia="宋体" w:cs="宋体"/>
                <w:szCs w:val="21"/>
              </w:rPr>
              <w:t>云服务器磁盘类型支持普通云硬盘、高效云硬盘、SSD云硬盘、普通共享云硬盘、SSD共享云硬盘，系统盘容量≥40G，最大可挂载数据盘数量不少于20个。</w:t>
            </w:r>
          </w:p>
        </w:tc>
      </w:tr>
      <w:tr w14:paraId="4B0D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5" w:type="dxa"/>
            <w:vMerge w:val="continue"/>
            <w:shd w:val="clear" w:color="auto" w:fill="auto"/>
            <w:vAlign w:val="center"/>
          </w:tcPr>
          <w:p w14:paraId="37D5D461">
            <w:pPr>
              <w:spacing w:line="360" w:lineRule="atLeast"/>
              <w:rPr>
                <w:rFonts w:hint="eastAsia" w:ascii="宋体" w:hAnsi="宋体" w:eastAsia="宋体" w:cs="宋体"/>
                <w:szCs w:val="21"/>
              </w:rPr>
            </w:pPr>
          </w:p>
        </w:tc>
        <w:tc>
          <w:tcPr>
            <w:tcW w:w="7360" w:type="dxa"/>
            <w:shd w:val="clear" w:color="auto" w:fill="FFFFFF"/>
          </w:tcPr>
          <w:p w14:paraId="6376EC67">
            <w:pPr>
              <w:spacing w:line="360" w:lineRule="atLeast"/>
              <w:rPr>
                <w:rFonts w:hint="eastAsia" w:ascii="宋体" w:hAnsi="宋体" w:eastAsia="宋体" w:cs="宋体"/>
                <w:szCs w:val="21"/>
              </w:rPr>
            </w:pPr>
            <w:r>
              <w:rPr>
                <w:rFonts w:hint="eastAsia" w:ascii="宋体" w:hAnsi="宋体" w:eastAsia="宋体" w:cs="宋体"/>
                <w:szCs w:val="21"/>
              </w:rPr>
              <w:t>云服务器的创建支持自定义网络区域、可用区、规格、镜像、系统盘大小、数据盘大小、私有网络、子网、安全组、开通弹性IP、设置操作系统密码等。</w:t>
            </w:r>
          </w:p>
        </w:tc>
      </w:tr>
    </w:tbl>
    <w:p w14:paraId="523AA05C">
      <w:pPr>
        <w:pStyle w:val="4"/>
        <w:rPr>
          <w:rFonts w:hint="eastAsia" w:ascii="宋体" w:hAnsi="宋体" w:eastAsia="宋体" w:cs="宋体"/>
          <w:szCs w:val="21"/>
        </w:rPr>
      </w:pPr>
    </w:p>
    <w:p w14:paraId="2C7B2D0B">
      <w:pPr>
        <w:rPr>
          <w:rFonts w:hint="eastAsia" w:ascii="宋体" w:hAnsi="宋体" w:eastAsia="宋体" w:cs="宋体"/>
          <w:szCs w:val="21"/>
        </w:rPr>
      </w:pPr>
      <w:r>
        <w:rPr>
          <w:rFonts w:hint="eastAsia" w:ascii="宋体" w:hAnsi="宋体" w:eastAsia="宋体" w:cs="宋体"/>
          <w:szCs w:val="21"/>
        </w:rPr>
        <w:t>（2）网络虚拟化技术要求</w:t>
      </w: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7424"/>
      </w:tblGrid>
      <w:tr w14:paraId="32364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60" w:type="dxa"/>
            <w:shd w:val="clear" w:color="auto" w:fill="auto"/>
            <w:vAlign w:val="center"/>
          </w:tcPr>
          <w:p w14:paraId="6E7909A0">
            <w:pPr>
              <w:spacing w:line="360" w:lineRule="atLeast"/>
              <w:jc w:val="left"/>
              <w:rPr>
                <w:rFonts w:hint="eastAsia" w:ascii="宋体" w:hAnsi="宋体" w:eastAsia="宋体" w:cs="宋体"/>
                <w:szCs w:val="21"/>
              </w:rPr>
            </w:pPr>
            <w:r>
              <w:rPr>
                <w:rFonts w:hint="eastAsia" w:ascii="宋体" w:hAnsi="宋体" w:eastAsia="宋体" w:cs="宋体"/>
                <w:szCs w:val="21"/>
              </w:rPr>
              <w:t>指标项</w:t>
            </w:r>
          </w:p>
        </w:tc>
        <w:tc>
          <w:tcPr>
            <w:tcW w:w="7424" w:type="dxa"/>
            <w:shd w:val="clear" w:color="auto" w:fill="auto"/>
            <w:vAlign w:val="center"/>
          </w:tcPr>
          <w:p w14:paraId="36B6EECE">
            <w:pPr>
              <w:spacing w:line="360" w:lineRule="atLeast"/>
              <w:jc w:val="left"/>
              <w:rPr>
                <w:rFonts w:hint="eastAsia" w:ascii="宋体" w:hAnsi="宋体" w:eastAsia="宋体" w:cs="宋体"/>
                <w:szCs w:val="21"/>
              </w:rPr>
            </w:pPr>
            <w:r>
              <w:rPr>
                <w:rFonts w:hint="eastAsia" w:ascii="宋体" w:hAnsi="宋体" w:eastAsia="宋体" w:cs="宋体"/>
                <w:szCs w:val="21"/>
              </w:rPr>
              <w:t>技术参数</w:t>
            </w:r>
          </w:p>
        </w:tc>
      </w:tr>
      <w:tr w14:paraId="5EEE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60" w:type="dxa"/>
            <w:vMerge w:val="restart"/>
            <w:shd w:val="clear" w:color="auto" w:fill="auto"/>
            <w:vAlign w:val="center"/>
          </w:tcPr>
          <w:p w14:paraId="306EB496">
            <w:pPr>
              <w:spacing w:line="360" w:lineRule="atLeast"/>
              <w:jc w:val="left"/>
              <w:rPr>
                <w:rFonts w:hint="eastAsia" w:ascii="宋体" w:hAnsi="宋体" w:eastAsia="宋体" w:cs="宋体"/>
                <w:szCs w:val="21"/>
              </w:rPr>
            </w:pPr>
            <w:r>
              <w:rPr>
                <w:rFonts w:hint="eastAsia" w:ascii="宋体" w:hAnsi="宋体" w:eastAsia="宋体" w:cs="宋体"/>
                <w:szCs w:val="21"/>
              </w:rPr>
              <w:t>基础参数</w:t>
            </w:r>
          </w:p>
        </w:tc>
        <w:tc>
          <w:tcPr>
            <w:tcW w:w="7424" w:type="dxa"/>
            <w:shd w:val="clear" w:color="auto" w:fill="FFFFFF"/>
            <w:vAlign w:val="center"/>
          </w:tcPr>
          <w:p w14:paraId="0249280D">
            <w:pPr>
              <w:spacing w:line="360" w:lineRule="atLeast"/>
              <w:rPr>
                <w:rFonts w:hint="eastAsia" w:ascii="宋体" w:hAnsi="宋体" w:eastAsia="宋体" w:cs="宋体"/>
                <w:szCs w:val="21"/>
              </w:rPr>
            </w:pPr>
            <w:r>
              <w:rPr>
                <w:rFonts w:hint="eastAsia" w:ascii="宋体" w:hAnsi="宋体" w:eastAsia="宋体" w:cs="宋体"/>
                <w:szCs w:val="21"/>
              </w:rPr>
              <w:t>提供网络虚拟化功能，实现集中化网络控制和按需管理，具备弹性扩展能力，支持自动化网络部署。</w:t>
            </w:r>
          </w:p>
        </w:tc>
      </w:tr>
      <w:tr w14:paraId="6124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60" w:type="dxa"/>
            <w:vMerge w:val="continue"/>
            <w:shd w:val="clear" w:color="auto" w:fill="auto"/>
            <w:vAlign w:val="center"/>
          </w:tcPr>
          <w:p w14:paraId="0E663880">
            <w:pPr>
              <w:spacing w:line="360" w:lineRule="atLeast"/>
              <w:rPr>
                <w:rFonts w:hint="eastAsia" w:ascii="宋体" w:hAnsi="宋体" w:eastAsia="宋体" w:cs="宋体"/>
                <w:szCs w:val="21"/>
              </w:rPr>
            </w:pPr>
          </w:p>
        </w:tc>
        <w:tc>
          <w:tcPr>
            <w:tcW w:w="7424" w:type="dxa"/>
            <w:shd w:val="clear" w:color="auto" w:fill="FFFFFF"/>
            <w:vAlign w:val="center"/>
          </w:tcPr>
          <w:p w14:paraId="318150BB">
            <w:pPr>
              <w:spacing w:line="360" w:lineRule="atLeast"/>
              <w:rPr>
                <w:rFonts w:hint="eastAsia" w:ascii="宋体" w:hAnsi="宋体" w:eastAsia="宋体" w:cs="宋体"/>
                <w:szCs w:val="21"/>
              </w:rPr>
            </w:pPr>
            <w:r>
              <w:rPr>
                <w:rFonts w:hint="eastAsia" w:ascii="宋体" w:hAnsi="宋体" w:eastAsia="宋体" w:cs="宋体"/>
                <w:szCs w:val="21"/>
              </w:rPr>
              <w:t>★云平台划分独立的业务网络、存储网络、服务产品管理调度网络、宿主机运维网络、物理节点带外管理网络等，不同网络之间逻辑隔离；业务网络和存储网络采用万兆冗余链路。云平台</w:t>
            </w:r>
            <w:r>
              <w:rPr>
                <w:rFonts w:hint="eastAsia" w:ascii="宋体" w:hAnsi="宋体" w:eastAsia="宋体" w:cs="宋体"/>
                <w:szCs w:val="21"/>
                <w:lang w:eastAsia="zh-CN"/>
              </w:rPr>
              <w:t>是独立的公安专网，</w:t>
            </w:r>
            <w:r>
              <w:rPr>
                <w:rFonts w:hint="eastAsia" w:ascii="宋体" w:hAnsi="宋体" w:eastAsia="宋体" w:cs="宋体"/>
                <w:szCs w:val="21"/>
              </w:rPr>
              <w:t>须与互联网、政务外网等其他外网之间物理隔离。（须提供承诺函，并加盖投标人公章。）</w:t>
            </w:r>
          </w:p>
        </w:tc>
      </w:tr>
      <w:tr w14:paraId="230A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60" w:type="dxa"/>
            <w:vMerge w:val="continue"/>
            <w:shd w:val="clear" w:color="auto" w:fill="auto"/>
            <w:vAlign w:val="center"/>
          </w:tcPr>
          <w:p w14:paraId="37BDF9A4">
            <w:pPr>
              <w:spacing w:line="360" w:lineRule="atLeast"/>
              <w:rPr>
                <w:rFonts w:hint="eastAsia" w:ascii="宋体" w:hAnsi="宋体" w:eastAsia="宋体" w:cs="宋体"/>
                <w:szCs w:val="21"/>
              </w:rPr>
            </w:pPr>
          </w:p>
        </w:tc>
        <w:tc>
          <w:tcPr>
            <w:tcW w:w="7424" w:type="dxa"/>
            <w:shd w:val="clear" w:color="auto" w:fill="FFFFFF"/>
            <w:vAlign w:val="center"/>
          </w:tcPr>
          <w:p w14:paraId="1CA91BE3">
            <w:pPr>
              <w:widowControl/>
              <w:rPr>
                <w:rFonts w:hint="eastAsia" w:ascii="宋体" w:hAnsi="宋体" w:eastAsia="宋体" w:cs="宋体"/>
                <w:szCs w:val="21"/>
              </w:rPr>
            </w:pPr>
            <w:r>
              <w:rPr>
                <w:rFonts w:hint="eastAsia" w:ascii="宋体" w:hAnsi="宋体" w:eastAsia="宋体" w:cs="宋体"/>
                <w:b/>
                <w:bCs/>
                <w:szCs w:val="21"/>
              </w:rPr>
              <w:t>#</w:t>
            </w:r>
            <w:r>
              <w:rPr>
                <w:rFonts w:hint="eastAsia" w:ascii="宋体" w:hAnsi="宋体" w:eastAsia="宋体" w:cs="宋体"/>
                <w:szCs w:val="21"/>
              </w:rPr>
              <w:t>安全组支持平滑的由iptables切换到ovs防火墙，并且用户数据流量不中断，或中断时间在1min以内。需提供</w:t>
            </w:r>
            <w:r>
              <w:rPr>
                <w:rFonts w:hint="eastAsia" w:ascii="宋体" w:hAnsi="宋体" w:eastAsia="宋体" w:cs="宋体"/>
                <w:color w:val="000000"/>
                <w:kern w:val="0"/>
                <w:sz w:val="22"/>
                <w:szCs w:val="22"/>
                <w:lang w:bidi="ar"/>
              </w:rPr>
              <w:t>国家认可认证（检测）机构</w:t>
            </w:r>
            <w:r>
              <w:rPr>
                <w:rFonts w:hint="eastAsia" w:ascii="宋体" w:hAnsi="宋体" w:cs="宋体"/>
                <w:color w:val="000000"/>
                <w:kern w:val="0"/>
                <w:sz w:val="22"/>
                <w:szCs w:val="22"/>
                <w:lang w:bidi="ar"/>
              </w:rPr>
              <w:t>出具的认证（检测）报告</w:t>
            </w:r>
            <w:r>
              <w:rPr>
                <w:rFonts w:hint="eastAsia" w:ascii="宋体" w:hAnsi="宋体" w:eastAsia="宋体" w:cs="宋体"/>
                <w:szCs w:val="21"/>
              </w:rPr>
              <w:t>，并加盖投标人公章</w:t>
            </w:r>
            <w:r>
              <w:rPr>
                <w:rFonts w:hint="eastAsia" w:ascii="宋体" w:hAnsi="宋体" w:cs="宋体"/>
                <w:color w:val="000000"/>
                <w:kern w:val="0"/>
                <w:sz w:val="22"/>
                <w:szCs w:val="22"/>
                <w:lang w:bidi="ar"/>
              </w:rPr>
              <w:t>。</w:t>
            </w:r>
          </w:p>
        </w:tc>
      </w:tr>
      <w:tr w14:paraId="335B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60" w:type="dxa"/>
            <w:vMerge w:val="continue"/>
            <w:shd w:val="clear" w:color="auto" w:fill="auto"/>
            <w:vAlign w:val="center"/>
          </w:tcPr>
          <w:p w14:paraId="7D160F90">
            <w:pPr>
              <w:spacing w:line="360" w:lineRule="atLeast"/>
              <w:rPr>
                <w:rFonts w:hint="eastAsia" w:ascii="宋体" w:hAnsi="宋体" w:eastAsia="宋体" w:cs="宋体"/>
                <w:szCs w:val="21"/>
              </w:rPr>
            </w:pPr>
          </w:p>
        </w:tc>
        <w:tc>
          <w:tcPr>
            <w:tcW w:w="7424" w:type="dxa"/>
            <w:tcBorders>
              <w:bottom w:val="single" w:color="auto" w:sz="4" w:space="0"/>
            </w:tcBorders>
            <w:shd w:val="clear" w:color="auto" w:fill="FFFFFF"/>
            <w:vAlign w:val="center"/>
          </w:tcPr>
          <w:p w14:paraId="6AFE703A">
            <w:pPr>
              <w:spacing w:line="360" w:lineRule="atLeast"/>
              <w:rPr>
                <w:rFonts w:hint="eastAsia" w:ascii="宋体" w:hAnsi="宋体" w:eastAsia="宋体" w:cs="宋体"/>
                <w:szCs w:val="21"/>
              </w:rPr>
            </w:pPr>
            <w:r>
              <w:rPr>
                <w:rFonts w:hint="eastAsia" w:ascii="宋体" w:hAnsi="宋体" w:eastAsia="宋体" w:cs="宋体"/>
                <w:szCs w:val="21"/>
              </w:rPr>
              <w:t>支持网络拓扑管理功能，通过拓扑自定义网络结构，创建路由、创建网络和虚拟机实例。</w:t>
            </w:r>
          </w:p>
        </w:tc>
      </w:tr>
      <w:tr w14:paraId="7F3D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60" w:type="dxa"/>
            <w:vMerge w:val="continue"/>
            <w:shd w:val="clear" w:color="auto" w:fill="auto"/>
            <w:vAlign w:val="center"/>
          </w:tcPr>
          <w:p w14:paraId="5D2E8E8B">
            <w:pPr>
              <w:spacing w:line="360" w:lineRule="atLeast"/>
              <w:rPr>
                <w:rFonts w:hint="eastAsia" w:ascii="宋体" w:hAnsi="宋体" w:eastAsia="宋体" w:cs="宋体"/>
                <w:szCs w:val="21"/>
              </w:rPr>
            </w:pPr>
          </w:p>
        </w:tc>
        <w:tc>
          <w:tcPr>
            <w:tcW w:w="7424" w:type="dxa"/>
            <w:shd w:val="clear" w:color="auto" w:fill="auto"/>
            <w:vAlign w:val="center"/>
          </w:tcPr>
          <w:p w14:paraId="6D4A3676">
            <w:pPr>
              <w:spacing w:line="360" w:lineRule="atLeast"/>
              <w:rPr>
                <w:rFonts w:hint="eastAsia" w:ascii="宋体" w:hAnsi="宋体" w:eastAsia="宋体" w:cs="宋体"/>
                <w:szCs w:val="21"/>
              </w:rPr>
            </w:pPr>
            <w:r>
              <w:rPr>
                <w:rFonts w:hint="eastAsia" w:ascii="宋体" w:hAnsi="宋体" w:eastAsia="宋体" w:cs="宋体"/>
                <w:b/>
                <w:bCs/>
                <w:szCs w:val="21"/>
              </w:rPr>
              <w:t>#</w:t>
            </w:r>
            <w:r>
              <w:rPr>
                <w:rFonts w:hint="eastAsia" w:ascii="宋体" w:hAnsi="宋体" w:eastAsia="宋体" w:cs="宋体"/>
                <w:szCs w:val="21"/>
              </w:rPr>
              <w:t>负载均衡支持负载均衡实例绑定安全组，可以设置允许、拒绝策略，只有匹配允许策略的数据流可以访问负载均衡。需提供产品功能截图，并加盖投标人公章。</w:t>
            </w:r>
          </w:p>
        </w:tc>
      </w:tr>
      <w:tr w14:paraId="0FBF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60" w:type="dxa"/>
            <w:vMerge w:val="continue"/>
            <w:shd w:val="clear" w:color="auto" w:fill="auto"/>
            <w:vAlign w:val="center"/>
          </w:tcPr>
          <w:p w14:paraId="7D26FB6B">
            <w:pPr>
              <w:spacing w:line="360" w:lineRule="atLeast"/>
              <w:rPr>
                <w:rFonts w:hint="eastAsia" w:ascii="宋体" w:hAnsi="宋体" w:eastAsia="宋体" w:cs="宋体"/>
                <w:szCs w:val="21"/>
              </w:rPr>
            </w:pPr>
          </w:p>
        </w:tc>
        <w:tc>
          <w:tcPr>
            <w:tcW w:w="7424" w:type="dxa"/>
            <w:shd w:val="clear" w:color="auto" w:fill="auto"/>
            <w:vAlign w:val="center"/>
          </w:tcPr>
          <w:p w14:paraId="425C3C1B">
            <w:pPr>
              <w:spacing w:line="360" w:lineRule="atLeast"/>
              <w:rPr>
                <w:rFonts w:hint="eastAsia" w:ascii="宋体" w:hAnsi="宋体" w:eastAsia="宋体" w:cs="宋体"/>
                <w:szCs w:val="21"/>
              </w:rPr>
            </w:pPr>
            <w:r>
              <w:rPr>
                <w:rFonts w:hint="eastAsia" w:ascii="宋体" w:hAnsi="宋体" w:eastAsia="宋体" w:cs="宋体"/>
                <w:b/>
                <w:bCs/>
                <w:szCs w:val="21"/>
              </w:rPr>
              <w:t>#</w:t>
            </w:r>
            <w:r>
              <w:rPr>
                <w:rFonts w:hint="eastAsia" w:ascii="宋体" w:hAnsi="宋体" w:eastAsia="宋体" w:cs="宋体"/>
                <w:szCs w:val="21"/>
              </w:rPr>
              <w:t>负载均衡支持日志服务，可查询创建、修改、删除等操作日志数据和至少24小时以内的访问日志数据。需提供产品功能截图，并加盖投标人公章。</w:t>
            </w:r>
          </w:p>
        </w:tc>
      </w:tr>
      <w:tr w14:paraId="79406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60" w:type="dxa"/>
            <w:vMerge w:val="continue"/>
            <w:shd w:val="clear" w:color="auto" w:fill="auto"/>
            <w:vAlign w:val="center"/>
          </w:tcPr>
          <w:p w14:paraId="2F281B09">
            <w:pPr>
              <w:spacing w:line="360" w:lineRule="atLeast"/>
              <w:rPr>
                <w:rFonts w:hint="eastAsia" w:ascii="宋体" w:hAnsi="宋体" w:eastAsia="宋体" w:cs="宋体"/>
                <w:szCs w:val="21"/>
              </w:rPr>
            </w:pPr>
          </w:p>
        </w:tc>
        <w:tc>
          <w:tcPr>
            <w:tcW w:w="7424" w:type="dxa"/>
            <w:shd w:val="clear" w:color="auto" w:fill="auto"/>
            <w:vAlign w:val="center"/>
          </w:tcPr>
          <w:p w14:paraId="04A9E63E">
            <w:pPr>
              <w:spacing w:line="360" w:lineRule="atLeast"/>
              <w:rPr>
                <w:rFonts w:hint="eastAsia" w:ascii="宋体" w:hAnsi="宋体" w:eastAsia="宋体" w:cs="宋体"/>
                <w:szCs w:val="21"/>
              </w:rPr>
            </w:pPr>
            <w:r>
              <w:rPr>
                <w:rFonts w:hint="eastAsia" w:ascii="宋体" w:hAnsi="宋体" w:eastAsia="宋体" w:cs="宋体"/>
                <w:szCs w:val="21"/>
              </w:rPr>
              <w:t>负载均衡支持会话保持，将相同来源的访问转发至同一后端服务器，7层监听需支持基于cookie植入和重写两种方式。</w:t>
            </w:r>
          </w:p>
        </w:tc>
      </w:tr>
      <w:tr w14:paraId="0858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60" w:type="dxa"/>
            <w:vMerge w:val="continue"/>
            <w:shd w:val="clear" w:color="auto" w:fill="auto"/>
            <w:vAlign w:val="center"/>
          </w:tcPr>
          <w:p w14:paraId="19735F26">
            <w:pPr>
              <w:spacing w:line="360" w:lineRule="atLeast"/>
              <w:rPr>
                <w:rFonts w:hint="eastAsia" w:ascii="宋体" w:hAnsi="宋体" w:eastAsia="宋体" w:cs="宋体"/>
                <w:szCs w:val="21"/>
              </w:rPr>
            </w:pPr>
          </w:p>
        </w:tc>
        <w:tc>
          <w:tcPr>
            <w:tcW w:w="7424" w:type="dxa"/>
            <w:shd w:val="clear" w:color="auto" w:fill="auto"/>
            <w:vAlign w:val="center"/>
          </w:tcPr>
          <w:p w14:paraId="0B36E064">
            <w:pPr>
              <w:spacing w:line="360" w:lineRule="atLeast"/>
              <w:rPr>
                <w:rFonts w:hint="eastAsia" w:ascii="宋体" w:hAnsi="宋体" w:eastAsia="宋体" w:cs="宋体"/>
                <w:szCs w:val="21"/>
              </w:rPr>
            </w:pPr>
            <w:r>
              <w:rPr>
                <w:rFonts w:hint="eastAsia" w:ascii="宋体" w:hAnsi="宋体" w:eastAsia="宋体" w:cs="宋体"/>
                <w:szCs w:val="21"/>
              </w:rPr>
              <w:t>负载均衡支持指定ip地址创建负载均衡实例，保证业务迁移前后的负载均衡地址不变，尽可能降低对业务的影响。</w:t>
            </w:r>
          </w:p>
        </w:tc>
      </w:tr>
      <w:tr w14:paraId="4F53E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60" w:type="dxa"/>
            <w:vMerge w:val="continue"/>
            <w:shd w:val="clear" w:color="auto" w:fill="auto"/>
            <w:vAlign w:val="center"/>
          </w:tcPr>
          <w:p w14:paraId="1E4541EA">
            <w:pPr>
              <w:spacing w:line="360" w:lineRule="atLeast"/>
              <w:rPr>
                <w:rFonts w:hint="eastAsia" w:ascii="宋体" w:hAnsi="宋体" w:eastAsia="宋体" w:cs="宋体"/>
                <w:szCs w:val="21"/>
              </w:rPr>
            </w:pPr>
          </w:p>
        </w:tc>
        <w:tc>
          <w:tcPr>
            <w:tcW w:w="7424" w:type="dxa"/>
            <w:shd w:val="clear" w:color="auto" w:fill="auto"/>
          </w:tcPr>
          <w:p w14:paraId="57CD6172">
            <w:pPr>
              <w:spacing w:line="360" w:lineRule="atLeast"/>
              <w:rPr>
                <w:rFonts w:hint="eastAsia" w:ascii="宋体" w:hAnsi="宋体" w:eastAsia="宋体" w:cs="宋体"/>
                <w:szCs w:val="21"/>
              </w:rPr>
            </w:pPr>
            <w:r>
              <w:rPr>
                <w:rFonts w:hint="eastAsia" w:ascii="宋体" w:hAnsi="宋体" w:eastAsia="宋体" w:cs="宋体"/>
                <w:szCs w:val="21"/>
              </w:rPr>
              <w:t>虚拟私有网络支持软件定义网络技术，可自定义网络范围、路由规则、安全访问策略等，可以根据采购人业务需求进行弹性扩缩容、按需取用，资源即开即用。</w:t>
            </w:r>
          </w:p>
        </w:tc>
      </w:tr>
      <w:tr w14:paraId="7041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60" w:type="dxa"/>
            <w:vMerge w:val="continue"/>
            <w:shd w:val="clear" w:color="auto" w:fill="auto"/>
            <w:vAlign w:val="center"/>
          </w:tcPr>
          <w:p w14:paraId="34D9964B">
            <w:pPr>
              <w:spacing w:line="360" w:lineRule="atLeast"/>
              <w:rPr>
                <w:rFonts w:hint="eastAsia" w:ascii="宋体" w:hAnsi="宋体" w:eastAsia="宋体" w:cs="宋体"/>
                <w:szCs w:val="21"/>
              </w:rPr>
            </w:pPr>
          </w:p>
        </w:tc>
        <w:tc>
          <w:tcPr>
            <w:tcW w:w="7424" w:type="dxa"/>
            <w:shd w:val="clear" w:color="auto" w:fill="auto"/>
          </w:tcPr>
          <w:p w14:paraId="04E183E0">
            <w:pPr>
              <w:spacing w:line="360" w:lineRule="atLeast"/>
              <w:rPr>
                <w:rFonts w:hint="eastAsia" w:ascii="宋体" w:hAnsi="宋体" w:eastAsia="宋体" w:cs="宋体"/>
                <w:szCs w:val="21"/>
              </w:rPr>
            </w:pPr>
            <w:r>
              <w:rPr>
                <w:rFonts w:hint="eastAsia" w:ascii="宋体" w:hAnsi="宋体" w:eastAsia="宋体" w:cs="宋体"/>
                <w:b/>
                <w:bCs/>
                <w:szCs w:val="21"/>
              </w:rPr>
              <w:t>#</w:t>
            </w:r>
            <w:r>
              <w:rPr>
                <w:rFonts w:hint="eastAsia" w:ascii="宋体" w:hAnsi="宋体" w:eastAsia="宋体" w:cs="宋体"/>
                <w:szCs w:val="21"/>
              </w:rPr>
              <w:t>虚拟私有网络支持安全组，提供云服务器粒度的网络安全访问控制功能，支持设置允许、拒绝策略。需提供产品功能截图，并加盖投标人公章。</w:t>
            </w:r>
          </w:p>
        </w:tc>
      </w:tr>
      <w:tr w14:paraId="7166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60" w:type="dxa"/>
            <w:vMerge w:val="continue"/>
            <w:shd w:val="clear" w:color="auto" w:fill="auto"/>
            <w:vAlign w:val="center"/>
          </w:tcPr>
          <w:p w14:paraId="755A29E8">
            <w:pPr>
              <w:spacing w:line="360" w:lineRule="atLeast"/>
              <w:rPr>
                <w:rFonts w:hint="eastAsia" w:ascii="宋体" w:hAnsi="宋体" w:eastAsia="宋体" w:cs="宋体"/>
                <w:szCs w:val="21"/>
              </w:rPr>
            </w:pPr>
          </w:p>
        </w:tc>
        <w:tc>
          <w:tcPr>
            <w:tcW w:w="7424" w:type="dxa"/>
            <w:shd w:val="clear" w:color="auto" w:fill="FFFFFF"/>
          </w:tcPr>
          <w:p w14:paraId="3583722E">
            <w:pPr>
              <w:spacing w:line="360" w:lineRule="atLeast"/>
              <w:rPr>
                <w:rFonts w:hint="eastAsia" w:ascii="宋体" w:hAnsi="宋体" w:eastAsia="宋体" w:cs="宋体"/>
                <w:szCs w:val="21"/>
              </w:rPr>
            </w:pPr>
            <w:r>
              <w:rPr>
                <w:rFonts w:hint="eastAsia" w:ascii="宋体" w:hAnsi="宋体" w:eastAsia="宋体" w:cs="宋体"/>
                <w:szCs w:val="21"/>
              </w:rPr>
              <w:t>支持网络ACL，提供子网级别的安全防护能力，支持设置允许、拒绝策略。</w:t>
            </w:r>
          </w:p>
        </w:tc>
      </w:tr>
      <w:tr w14:paraId="768F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60" w:type="dxa"/>
            <w:vMerge w:val="continue"/>
            <w:shd w:val="clear" w:color="auto" w:fill="auto"/>
            <w:vAlign w:val="center"/>
          </w:tcPr>
          <w:p w14:paraId="0C3B6039">
            <w:pPr>
              <w:spacing w:line="360" w:lineRule="atLeast"/>
              <w:rPr>
                <w:rFonts w:hint="eastAsia" w:ascii="宋体" w:hAnsi="宋体" w:eastAsia="宋体" w:cs="宋体"/>
                <w:szCs w:val="21"/>
              </w:rPr>
            </w:pPr>
          </w:p>
        </w:tc>
        <w:tc>
          <w:tcPr>
            <w:tcW w:w="7424" w:type="dxa"/>
            <w:shd w:val="clear" w:color="auto" w:fill="FFFFFF"/>
          </w:tcPr>
          <w:p w14:paraId="7FF44CB5">
            <w:pPr>
              <w:spacing w:line="360" w:lineRule="atLeast"/>
              <w:rPr>
                <w:rFonts w:hint="eastAsia" w:ascii="宋体" w:hAnsi="宋体" w:eastAsia="宋体" w:cs="宋体"/>
                <w:szCs w:val="21"/>
              </w:rPr>
            </w:pPr>
            <w:r>
              <w:rPr>
                <w:rFonts w:hint="eastAsia" w:ascii="宋体" w:hAnsi="宋体" w:eastAsia="宋体" w:cs="宋体"/>
                <w:szCs w:val="21"/>
              </w:rPr>
              <w:t>可提供弹性网卡功能，云服务器支持绑定和解绑多个弹性网卡，每个网卡支持配置独立的安全组。</w:t>
            </w:r>
          </w:p>
        </w:tc>
      </w:tr>
      <w:tr w14:paraId="437F6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60" w:type="dxa"/>
            <w:vMerge w:val="continue"/>
            <w:shd w:val="clear" w:color="auto" w:fill="auto"/>
            <w:vAlign w:val="center"/>
          </w:tcPr>
          <w:p w14:paraId="771C4BDA">
            <w:pPr>
              <w:spacing w:line="360" w:lineRule="atLeast"/>
              <w:rPr>
                <w:rFonts w:hint="eastAsia" w:ascii="宋体" w:hAnsi="宋体" w:eastAsia="宋体" w:cs="宋体"/>
                <w:szCs w:val="21"/>
              </w:rPr>
            </w:pPr>
          </w:p>
        </w:tc>
        <w:tc>
          <w:tcPr>
            <w:tcW w:w="7424" w:type="dxa"/>
            <w:shd w:val="clear" w:color="auto" w:fill="FFFFFF"/>
          </w:tcPr>
          <w:p w14:paraId="1C92D3FB">
            <w:pPr>
              <w:spacing w:line="360" w:lineRule="atLeast"/>
              <w:rPr>
                <w:rFonts w:hint="eastAsia" w:ascii="宋体" w:hAnsi="宋体" w:eastAsia="宋体" w:cs="宋体"/>
                <w:szCs w:val="21"/>
              </w:rPr>
            </w:pPr>
            <w:r>
              <w:rPr>
                <w:rFonts w:hint="eastAsia" w:ascii="宋体" w:hAnsi="宋体" w:eastAsia="宋体" w:cs="宋体"/>
                <w:szCs w:val="21"/>
              </w:rPr>
              <w:t>支持IPv6双栈服务，可创建同时支持IPv6、IPv4地址的VPC、子网。</w:t>
            </w:r>
          </w:p>
        </w:tc>
      </w:tr>
    </w:tbl>
    <w:p w14:paraId="55972429">
      <w:pPr>
        <w:pStyle w:val="4"/>
        <w:rPr>
          <w:rFonts w:hint="eastAsia" w:ascii="宋体" w:hAnsi="宋体" w:eastAsia="宋体" w:cs="宋体"/>
          <w:szCs w:val="21"/>
        </w:rPr>
      </w:pPr>
    </w:p>
    <w:p w14:paraId="4A81E911">
      <w:pPr>
        <w:pStyle w:val="4"/>
        <w:rPr>
          <w:rFonts w:hint="eastAsia" w:ascii="宋体" w:hAnsi="宋体" w:eastAsia="宋体" w:cs="宋体"/>
          <w:szCs w:val="21"/>
        </w:rPr>
      </w:pPr>
      <w:r>
        <w:rPr>
          <w:rFonts w:hint="eastAsia" w:ascii="宋体" w:hAnsi="宋体" w:eastAsia="宋体" w:cs="宋体"/>
          <w:szCs w:val="21"/>
        </w:rPr>
        <w:t>（3）存储虚拟化技术要求</w:t>
      </w:r>
    </w:p>
    <w:tbl>
      <w:tblPr>
        <w:tblStyle w:val="5"/>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427"/>
      </w:tblGrid>
      <w:tr w14:paraId="494A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shd w:val="clear" w:color="auto" w:fill="auto"/>
            <w:vAlign w:val="center"/>
          </w:tcPr>
          <w:p w14:paraId="1E733A4C">
            <w:pPr>
              <w:spacing w:line="360" w:lineRule="atLeast"/>
              <w:jc w:val="left"/>
              <w:rPr>
                <w:rFonts w:hint="eastAsia" w:ascii="宋体" w:hAnsi="宋体" w:eastAsia="宋体" w:cs="宋体"/>
                <w:szCs w:val="21"/>
              </w:rPr>
            </w:pPr>
            <w:r>
              <w:rPr>
                <w:rFonts w:hint="eastAsia" w:ascii="宋体" w:hAnsi="宋体" w:eastAsia="宋体" w:cs="宋体"/>
                <w:szCs w:val="21"/>
              </w:rPr>
              <w:t>指标项</w:t>
            </w:r>
          </w:p>
        </w:tc>
        <w:tc>
          <w:tcPr>
            <w:tcW w:w="7427" w:type="dxa"/>
            <w:shd w:val="clear" w:color="auto" w:fill="auto"/>
            <w:vAlign w:val="center"/>
          </w:tcPr>
          <w:p w14:paraId="1268F0F0">
            <w:pPr>
              <w:spacing w:line="360" w:lineRule="atLeast"/>
              <w:jc w:val="left"/>
              <w:rPr>
                <w:rFonts w:hint="eastAsia" w:ascii="宋体" w:hAnsi="宋体" w:eastAsia="宋体" w:cs="宋体"/>
                <w:szCs w:val="21"/>
              </w:rPr>
            </w:pPr>
            <w:r>
              <w:rPr>
                <w:rFonts w:hint="eastAsia" w:ascii="宋体" w:hAnsi="宋体" w:eastAsia="宋体" w:cs="宋体"/>
                <w:szCs w:val="21"/>
              </w:rPr>
              <w:t>技术参数</w:t>
            </w:r>
          </w:p>
        </w:tc>
      </w:tr>
      <w:tr w14:paraId="1D301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13" w:type="dxa"/>
            <w:vMerge w:val="restart"/>
            <w:shd w:val="clear" w:color="auto" w:fill="auto"/>
            <w:vAlign w:val="center"/>
          </w:tcPr>
          <w:p w14:paraId="386E0CF9">
            <w:pPr>
              <w:spacing w:line="360" w:lineRule="atLeast"/>
              <w:jc w:val="left"/>
              <w:rPr>
                <w:rFonts w:hint="eastAsia" w:ascii="宋体" w:hAnsi="宋体" w:eastAsia="宋体" w:cs="宋体"/>
                <w:szCs w:val="21"/>
              </w:rPr>
            </w:pPr>
            <w:r>
              <w:rPr>
                <w:rFonts w:hint="eastAsia" w:ascii="宋体" w:hAnsi="宋体" w:eastAsia="宋体" w:cs="宋体"/>
                <w:szCs w:val="21"/>
              </w:rPr>
              <w:t>基本要求</w:t>
            </w:r>
          </w:p>
        </w:tc>
        <w:tc>
          <w:tcPr>
            <w:tcW w:w="7427" w:type="dxa"/>
            <w:shd w:val="clear" w:color="auto" w:fill="FFFFFF"/>
            <w:vAlign w:val="center"/>
          </w:tcPr>
          <w:p w14:paraId="41E862B3">
            <w:pPr>
              <w:spacing w:line="360" w:lineRule="atLeast"/>
              <w:rPr>
                <w:rFonts w:hint="eastAsia" w:ascii="宋体" w:hAnsi="宋体" w:eastAsia="宋体" w:cs="宋体"/>
                <w:szCs w:val="21"/>
                <w:highlight w:val="none"/>
              </w:rPr>
            </w:pPr>
            <w:r>
              <w:rPr>
                <w:rFonts w:hint="eastAsia" w:ascii="宋体" w:hAnsi="宋体" w:eastAsia="宋体" w:cs="宋体"/>
                <w:szCs w:val="21"/>
                <w:highlight w:val="none"/>
              </w:rPr>
              <w:t>提供块存储服务：普通性能存储，读写IOPS：1000-3000</w:t>
            </w:r>
            <w:r>
              <w:rPr>
                <w:rFonts w:hint="eastAsia" w:ascii="宋体" w:hAnsi="宋体" w:eastAsia="宋体" w:cs="宋体"/>
                <w:szCs w:val="21"/>
                <w:highlight w:val="none"/>
                <w:lang w:val="en-US" w:eastAsia="zh-CN"/>
              </w:rPr>
              <w:t>k/s</w:t>
            </w:r>
            <w:r>
              <w:rPr>
                <w:rFonts w:hint="eastAsia" w:ascii="宋体" w:hAnsi="宋体" w:eastAsia="宋体" w:cs="宋体"/>
                <w:szCs w:val="21"/>
                <w:highlight w:val="none"/>
              </w:rPr>
              <w:t>。</w:t>
            </w:r>
          </w:p>
        </w:tc>
      </w:tr>
      <w:tr w14:paraId="30E0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13" w:type="dxa"/>
            <w:vMerge w:val="continue"/>
            <w:shd w:val="clear" w:color="auto" w:fill="auto"/>
            <w:vAlign w:val="center"/>
          </w:tcPr>
          <w:p w14:paraId="255D6449">
            <w:pPr>
              <w:spacing w:line="360" w:lineRule="atLeast"/>
              <w:rPr>
                <w:rFonts w:hint="eastAsia" w:ascii="宋体" w:hAnsi="宋体" w:eastAsia="宋体" w:cs="宋体"/>
                <w:szCs w:val="21"/>
              </w:rPr>
            </w:pPr>
          </w:p>
        </w:tc>
        <w:tc>
          <w:tcPr>
            <w:tcW w:w="7427" w:type="dxa"/>
            <w:tcBorders>
              <w:bottom w:val="single" w:color="auto" w:sz="4" w:space="0"/>
            </w:tcBorders>
            <w:shd w:val="clear" w:color="auto" w:fill="FFFFFF"/>
            <w:vAlign w:val="center"/>
          </w:tcPr>
          <w:p w14:paraId="132E5887">
            <w:pPr>
              <w:spacing w:line="360" w:lineRule="atLeast"/>
              <w:rPr>
                <w:rFonts w:hint="eastAsia" w:ascii="宋体" w:hAnsi="宋体" w:eastAsia="宋体" w:cs="宋体"/>
                <w:szCs w:val="21"/>
                <w:highlight w:val="none"/>
              </w:rPr>
            </w:pPr>
            <w:r>
              <w:rPr>
                <w:rFonts w:hint="eastAsia" w:ascii="宋体" w:hAnsi="宋体" w:eastAsia="宋体" w:cs="宋体"/>
                <w:szCs w:val="21"/>
                <w:highlight w:val="none"/>
              </w:rPr>
              <w:t>提供块存储服务：高性能存储，读写IOPS：3000-20000</w:t>
            </w:r>
            <w:r>
              <w:rPr>
                <w:rFonts w:hint="eastAsia" w:ascii="宋体" w:hAnsi="宋体" w:eastAsia="宋体" w:cs="宋体"/>
                <w:szCs w:val="21"/>
                <w:highlight w:val="none"/>
                <w:lang w:val="en-US" w:eastAsia="zh-CN"/>
              </w:rPr>
              <w:t>k/s</w:t>
            </w:r>
            <w:r>
              <w:rPr>
                <w:rFonts w:hint="eastAsia" w:ascii="宋体" w:hAnsi="宋体" w:eastAsia="宋体" w:cs="宋体"/>
                <w:szCs w:val="21"/>
                <w:highlight w:val="none"/>
              </w:rPr>
              <w:t>。</w:t>
            </w:r>
          </w:p>
        </w:tc>
      </w:tr>
      <w:tr w14:paraId="5850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13" w:type="dxa"/>
            <w:vMerge w:val="continue"/>
            <w:shd w:val="clear" w:color="auto" w:fill="auto"/>
            <w:vAlign w:val="center"/>
          </w:tcPr>
          <w:p w14:paraId="5987147C">
            <w:pPr>
              <w:spacing w:line="360" w:lineRule="atLeast"/>
              <w:rPr>
                <w:rFonts w:hint="eastAsia" w:ascii="宋体" w:hAnsi="宋体" w:eastAsia="宋体" w:cs="宋体"/>
                <w:szCs w:val="21"/>
              </w:rPr>
            </w:pPr>
          </w:p>
        </w:tc>
        <w:tc>
          <w:tcPr>
            <w:tcW w:w="7427" w:type="dxa"/>
            <w:tcBorders>
              <w:bottom w:val="single" w:color="auto" w:sz="4" w:space="0"/>
            </w:tcBorders>
            <w:shd w:val="clear" w:color="auto" w:fill="FFFFFF"/>
            <w:vAlign w:val="center"/>
          </w:tcPr>
          <w:p w14:paraId="0E0F6360">
            <w:pPr>
              <w:spacing w:line="360" w:lineRule="atLeast"/>
              <w:rPr>
                <w:rFonts w:hint="eastAsia" w:ascii="宋体" w:hAnsi="宋体" w:eastAsia="宋体" w:cs="宋体"/>
                <w:szCs w:val="21"/>
              </w:rPr>
            </w:pPr>
            <w:r>
              <w:rPr>
                <w:rFonts w:hint="eastAsia" w:ascii="宋体" w:hAnsi="宋体" w:eastAsia="宋体" w:cs="宋体"/>
                <w:szCs w:val="21"/>
              </w:rPr>
              <w:t>云硬盘存储容量支持动态扩展，单数据盘最大容量≥32T。</w:t>
            </w:r>
          </w:p>
        </w:tc>
      </w:tr>
      <w:tr w14:paraId="773E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13" w:type="dxa"/>
            <w:vMerge w:val="continue"/>
            <w:shd w:val="clear" w:color="auto" w:fill="auto"/>
            <w:vAlign w:val="center"/>
          </w:tcPr>
          <w:p w14:paraId="64FA35B4">
            <w:pPr>
              <w:spacing w:line="360" w:lineRule="atLeast"/>
              <w:rPr>
                <w:rFonts w:hint="eastAsia" w:ascii="宋体" w:hAnsi="宋体" w:eastAsia="宋体" w:cs="宋体"/>
                <w:szCs w:val="21"/>
              </w:rPr>
            </w:pPr>
          </w:p>
        </w:tc>
        <w:tc>
          <w:tcPr>
            <w:tcW w:w="7427" w:type="dxa"/>
            <w:shd w:val="clear" w:color="auto" w:fill="auto"/>
            <w:vAlign w:val="center"/>
          </w:tcPr>
          <w:p w14:paraId="72810D17">
            <w:pPr>
              <w:spacing w:line="360" w:lineRule="atLeast"/>
              <w:rPr>
                <w:rFonts w:hint="eastAsia" w:ascii="宋体" w:hAnsi="宋体" w:eastAsia="宋体" w:cs="宋体"/>
                <w:szCs w:val="21"/>
              </w:rPr>
            </w:pPr>
            <w:r>
              <w:rPr>
                <w:rFonts w:hint="eastAsia" w:ascii="宋体" w:hAnsi="宋体" w:eastAsia="宋体" w:cs="宋体"/>
                <w:b/>
                <w:bCs/>
                <w:szCs w:val="21"/>
              </w:rPr>
              <w:t>#</w:t>
            </w:r>
            <w:r>
              <w:rPr>
                <w:rFonts w:hint="eastAsia" w:ascii="宋体" w:hAnsi="宋体" w:eastAsia="宋体" w:cs="宋体"/>
                <w:szCs w:val="21"/>
              </w:rPr>
              <w:t>为了保障数据安全，提供手动和自动备份功能，支持备份自定义策略；同时在备份删除时，通过增量备份技术，减少备份空间浪费。需提供产品功能截图，并加盖投标人公章。</w:t>
            </w:r>
          </w:p>
        </w:tc>
      </w:tr>
      <w:tr w14:paraId="35C1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13" w:type="dxa"/>
            <w:vMerge w:val="continue"/>
            <w:shd w:val="clear" w:color="auto" w:fill="auto"/>
            <w:vAlign w:val="center"/>
          </w:tcPr>
          <w:p w14:paraId="298CFFEC">
            <w:pPr>
              <w:spacing w:line="360" w:lineRule="atLeast"/>
              <w:rPr>
                <w:rFonts w:hint="eastAsia" w:ascii="宋体" w:hAnsi="宋体" w:eastAsia="宋体" w:cs="宋体"/>
                <w:szCs w:val="21"/>
              </w:rPr>
            </w:pPr>
          </w:p>
        </w:tc>
        <w:tc>
          <w:tcPr>
            <w:tcW w:w="7427" w:type="dxa"/>
            <w:shd w:val="clear" w:color="auto" w:fill="auto"/>
          </w:tcPr>
          <w:p w14:paraId="5D8DA428">
            <w:pPr>
              <w:spacing w:line="360" w:lineRule="atLeast"/>
              <w:rPr>
                <w:rFonts w:hint="eastAsia" w:ascii="宋体" w:hAnsi="宋体" w:eastAsia="宋体" w:cs="宋体"/>
                <w:szCs w:val="21"/>
              </w:rPr>
            </w:pPr>
            <w:r>
              <w:rPr>
                <w:rFonts w:hint="eastAsia" w:ascii="宋体" w:hAnsi="宋体" w:eastAsia="宋体" w:cs="宋体"/>
                <w:b/>
                <w:bCs/>
                <w:szCs w:val="21"/>
              </w:rPr>
              <w:t>#</w:t>
            </w:r>
            <w:r>
              <w:rPr>
                <w:rFonts w:hint="eastAsia" w:ascii="宋体" w:hAnsi="宋体" w:eastAsia="宋体" w:cs="宋体"/>
                <w:szCs w:val="21"/>
              </w:rPr>
              <w:t>为了防止误删除数据，支持回收站功能，放入回收站的云盘可以在有效期内恢复该云盘数据。需提供产品功能截图，并加盖投标人公章。</w:t>
            </w:r>
          </w:p>
        </w:tc>
      </w:tr>
      <w:tr w14:paraId="7E81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13" w:type="dxa"/>
            <w:vMerge w:val="continue"/>
            <w:shd w:val="clear" w:color="auto" w:fill="auto"/>
            <w:vAlign w:val="center"/>
          </w:tcPr>
          <w:p w14:paraId="09D2F5F6">
            <w:pPr>
              <w:spacing w:line="360" w:lineRule="atLeast"/>
              <w:rPr>
                <w:rFonts w:hint="eastAsia" w:ascii="宋体" w:hAnsi="宋体" w:eastAsia="宋体" w:cs="宋体"/>
                <w:szCs w:val="21"/>
              </w:rPr>
            </w:pPr>
          </w:p>
        </w:tc>
        <w:tc>
          <w:tcPr>
            <w:tcW w:w="7427" w:type="dxa"/>
            <w:shd w:val="clear" w:color="auto" w:fill="FFFFFF"/>
          </w:tcPr>
          <w:p w14:paraId="305FB3B4">
            <w:pPr>
              <w:spacing w:line="360" w:lineRule="atLeast"/>
              <w:rPr>
                <w:rFonts w:hint="eastAsia" w:ascii="宋体" w:hAnsi="宋体" w:eastAsia="宋体" w:cs="宋体"/>
                <w:szCs w:val="21"/>
              </w:rPr>
            </w:pPr>
            <w:r>
              <w:rPr>
                <w:rFonts w:hint="eastAsia" w:ascii="宋体" w:hAnsi="宋体" w:eastAsia="宋体" w:cs="宋体"/>
                <w:szCs w:val="21"/>
              </w:rPr>
              <w:t>支持对备份数据的去重，可以做到按照一定重删粒度，如1M，相同数据完成去重，在使用同一个镜像创建的两个系统盘，在没有其它数据改变的情况下，数据重删率需达到90%以上。</w:t>
            </w:r>
          </w:p>
        </w:tc>
      </w:tr>
      <w:tr w14:paraId="4E1F8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13" w:type="dxa"/>
            <w:vMerge w:val="continue"/>
            <w:shd w:val="clear" w:color="auto" w:fill="auto"/>
            <w:vAlign w:val="center"/>
          </w:tcPr>
          <w:p w14:paraId="05DFA468">
            <w:pPr>
              <w:spacing w:line="360" w:lineRule="atLeast"/>
              <w:rPr>
                <w:rFonts w:hint="eastAsia" w:ascii="宋体" w:hAnsi="宋体" w:eastAsia="宋体" w:cs="宋体"/>
                <w:szCs w:val="21"/>
              </w:rPr>
            </w:pPr>
          </w:p>
        </w:tc>
        <w:tc>
          <w:tcPr>
            <w:tcW w:w="7427" w:type="dxa"/>
            <w:shd w:val="clear" w:color="auto" w:fill="FFFFFF"/>
          </w:tcPr>
          <w:p w14:paraId="4B4CEBCB">
            <w:pPr>
              <w:spacing w:line="360" w:lineRule="atLeast"/>
              <w:rPr>
                <w:rFonts w:hint="eastAsia" w:ascii="宋体" w:hAnsi="宋体" w:eastAsia="宋体" w:cs="宋体"/>
                <w:szCs w:val="21"/>
              </w:rPr>
            </w:pPr>
            <w:r>
              <w:rPr>
                <w:rFonts w:hint="eastAsia" w:ascii="宋体" w:hAnsi="宋体" w:eastAsia="宋体" w:cs="宋体"/>
                <w:szCs w:val="21"/>
              </w:rPr>
              <w:t>存储组件支持NVME部署。</w:t>
            </w:r>
          </w:p>
        </w:tc>
      </w:tr>
      <w:tr w14:paraId="2698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13" w:type="dxa"/>
            <w:vMerge w:val="continue"/>
            <w:shd w:val="clear" w:color="auto" w:fill="auto"/>
            <w:vAlign w:val="center"/>
          </w:tcPr>
          <w:p w14:paraId="36CA136F">
            <w:pPr>
              <w:spacing w:line="360" w:lineRule="atLeast"/>
              <w:rPr>
                <w:rFonts w:hint="eastAsia" w:ascii="宋体" w:hAnsi="宋体" w:eastAsia="宋体" w:cs="宋体"/>
                <w:szCs w:val="21"/>
              </w:rPr>
            </w:pPr>
          </w:p>
        </w:tc>
        <w:tc>
          <w:tcPr>
            <w:tcW w:w="7427" w:type="dxa"/>
            <w:shd w:val="clear" w:color="auto" w:fill="FFFFFF"/>
          </w:tcPr>
          <w:p w14:paraId="6C74F195">
            <w:pPr>
              <w:spacing w:line="360" w:lineRule="atLeast"/>
              <w:rPr>
                <w:rFonts w:hint="eastAsia" w:ascii="宋体" w:hAnsi="宋体" w:eastAsia="宋体" w:cs="宋体"/>
                <w:szCs w:val="21"/>
              </w:rPr>
            </w:pPr>
            <w:r>
              <w:rPr>
                <w:rFonts w:hint="eastAsia" w:ascii="宋体" w:hAnsi="宋体" w:eastAsia="宋体" w:cs="宋体"/>
                <w:szCs w:val="21"/>
              </w:rPr>
              <w:t>平台支持分布式存储和集中存储两种存储架构，具备为数据提供多份副本（不少于三副本）或冗余磁盘阵列的功能，支持基于副本数据进行还原操作。</w:t>
            </w:r>
          </w:p>
        </w:tc>
      </w:tr>
      <w:tr w14:paraId="25EF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13" w:type="dxa"/>
            <w:vMerge w:val="continue"/>
            <w:shd w:val="clear" w:color="auto" w:fill="auto"/>
            <w:vAlign w:val="center"/>
          </w:tcPr>
          <w:p w14:paraId="4041B0A3">
            <w:pPr>
              <w:spacing w:line="360" w:lineRule="atLeast"/>
              <w:rPr>
                <w:rFonts w:hint="eastAsia" w:ascii="宋体" w:hAnsi="宋体" w:eastAsia="宋体" w:cs="宋体"/>
                <w:szCs w:val="21"/>
              </w:rPr>
            </w:pPr>
          </w:p>
        </w:tc>
        <w:tc>
          <w:tcPr>
            <w:tcW w:w="7427" w:type="dxa"/>
            <w:shd w:val="clear" w:color="auto" w:fill="FFFFFF"/>
          </w:tcPr>
          <w:p w14:paraId="273F25BC">
            <w:pPr>
              <w:spacing w:line="360" w:lineRule="atLeast"/>
              <w:rPr>
                <w:rFonts w:hint="eastAsia" w:ascii="宋体" w:hAnsi="宋体" w:eastAsia="宋体" w:cs="宋体"/>
                <w:szCs w:val="21"/>
              </w:rPr>
            </w:pPr>
            <w:r>
              <w:rPr>
                <w:rFonts w:hint="eastAsia" w:ascii="宋体" w:hAnsi="宋体" w:eastAsia="宋体" w:cs="宋体"/>
                <w:szCs w:val="21"/>
              </w:rPr>
              <w:t>为了满足不同的存储类型需求，支持对块、文件、对象三种存储类型的统一管理；存储资源池单盘IOPS指标不得少于1000</w:t>
            </w:r>
            <w:r>
              <w:rPr>
                <w:rFonts w:hint="eastAsia" w:ascii="宋体" w:hAnsi="宋体" w:eastAsia="宋体" w:cs="宋体"/>
                <w:szCs w:val="21"/>
                <w:highlight w:val="none"/>
                <w:lang w:val="en-US" w:eastAsia="zh-CN"/>
              </w:rPr>
              <w:t>k/s</w:t>
            </w:r>
            <w:r>
              <w:rPr>
                <w:rFonts w:hint="eastAsia" w:ascii="宋体" w:hAnsi="宋体" w:eastAsia="宋体" w:cs="宋体"/>
                <w:szCs w:val="21"/>
                <w:highlight w:val="none"/>
              </w:rPr>
              <w:t>。</w:t>
            </w:r>
          </w:p>
        </w:tc>
      </w:tr>
      <w:tr w14:paraId="6EA3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13" w:type="dxa"/>
            <w:vMerge w:val="continue"/>
            <w:shd w:val="clear" w:color="auto" w:fill="auto"/>
            <w:vAlign w:val="center"/>
          </w:tcPr>
          <w:p w14:paraId="257FE992">
            <w:pPr>
              <w:spacing w:line="360" w:lineRule="atLeast"/>
              <w:rPr>
                <w:rFonts w:hint="eastAsia" w:ascii="宋体" w:hAnsi="宋体" w:eastAsia="宋体" w:cs="宋体"/>
                <w:szCs w:val="21"/>
              </w:rPr>
            </w:pPr>
          </w:p>
        </w:tc>
        <w:tc>
          <w:tcPr>
            <w:tcW w:w="7427" w:type="dxa"/>
            <w:shd w:val="clear" w:color="auto" w:fill="FFFFFF"/>
          </w:tcPr>
          <w:p w14:paraId="36DDFBE5">
            <w:pPr>
              <w:spacing w:line="360" w:lineRule="atLeast"/>
              <w:rPr>
                <w:rFonts w:hint="eastAsia" w:ascii="宋体" w:hAnsi="宋体" w:eastAsia="宋体" w:cs="宋体"/>
                <w:szCs w:val="21"/>
              </w:rPr>
            </w:pPr>
            <w:r>
              <w:rPr>
                <w:rFonts w:hint="eastAsia" w:ascii="宋体" w:hAnsi="宋体" w:eastAsia="宋体" w:cs="宋体"/>
                <w:szCs w:val="21"/>
              </w:rPr>
              <w:t>虚拟机数据盘支持跨存储迁移功能，适用于不同存储之间、同一存储不同介质之间的离线迁移，在线也支持。</w:t>
            </w:r>
          </w:p>
        </w:tc>
      </w:tr>
      <w:tr w14:paraId="3E59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13" w:type="dxa"/>
            <w:vMerge w:val="continue"/>
            <w:shd w:val="clear" w:color="auto" w:fill="auto"/>
            <w:vAlign w:val="center"/>
          </w:tcPr>
          <w:p w14:paraId="15AF25C8">
            <w:pPr>
              <w:spacing w:line="360" w:lineRule="atLeast"/>
              <w:rPr>
                <w:rFonts w:hint="eastAsia" w:ascii="宋体" w:hAnsi="宋体" w:eastAsia="宋体" w:cs="宋体"/>
                <w:szCs w:val="21"/>
              </w:rPr>
            </w:pPr>
          </w:p>
        </w:tc>
        <w:tc>
          <w:tcPr>
            <w:tcW w:w="7427" w:type="dxa"/>
            <w:shd w:val="clear" w:color="auto" w:fill="FFFFFF"/>
          </w:tcPr>
          <w:p w14:paraId="29706A1F">
            <w:pPr>
              <w:spacing w:line="360" w:lineRule="atLeast"/>
              <w:rPr>
                <w:rFonts w:hint="eastAsia" w:ascii="宋体" w:hAnsi="宋体" w:eastAsia="宋体" w:cs="宋体"/>
                <w:szCs w:val="21"/>
              </w:rPr>
            </w:pPr>
            <w:r>
              <w:rPr>
                <w:rFonts w:hint="eastAsia" w:ascii="宋体" w:hAnsi="宋体" w:eastAsia="宋体" w:cs="宋体"/>
                <w:szCs w:val="21"/>
              </w:rPr>
              <w:t>为了快速查找云盘信息，支持高级的筛选（如：根据云盘id，云盘名称、云盘属性、云盘类型、云硬盘容量范围等）功能。</w:t>
            </w:r>
          </w:p>
        </w:tc>
      </w:tr>
    </w:tbl>
    <w:p w14:paraId="5C3BD104">
      <w:pPr>
        <w:rPr>
          <w:rFonts w:hint="eastAsia" w:ascii="宋体" w:hAnsi="宋体" w:eastAsia="宋体" w:cs="宋体"/>
          <w:szCs w:val="21"/>
        </w:rPr>
      </w:pPr>
    </w:p>
    <w:p w14:paraId="06B3D98B">
      <w:pPr>
        <w:pStyle w:val="4"/>
        <w:rPr>
          <w:rFonts w:hint="eastAsia" w:ascii="宋体" w:hAnsi="宋体" w:eastAsia="宋体" w:cs="宋体"/>
          <w:szCs w:val="21"/>
        </w:rPr>
      </w:pPr>
      <w:r>
        <w:rPr>
          <w:rFonts w:hint="eastAsia" w:ascii="宋体" w:hAnsi="宋体" w:eastAsia="宋体" w:cs="宋体"/>
          <w:szCs w:val="21"/>
        </w:rPr>
        <w:t>（4）云平台技术要求</w:t>
      </w:r>
    </w:p>
    <w:tbl>
      <w:tblPr>
        <w:tblStyle w:val="5"/>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7498"/>
      </w:tblGrid>
      <w:tr w14:paraId="16F69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98" w:type="dxa"/>
            <w:shd w:val="clear" w:color="auto" w:fill="auto"/>
            <w:vAlign w:val="center"/>
          </w:tcPr>
          <w:p w14:paraId="1FD9563A">
            <w:pPr>
              <w:spacing w:line="360" w:lineRule="atLeast"/>
              <w:jc w:val="left"/>
              <w:rPr>
                <w:rFonts w:hint="eastAsia" w:ascii="宋体" w:hAnsi="宋体" w:eastAsia="宋体" w:cs="宋体"/>
                <w:szCs w:val="21"/>
              </w:rPr>
            </w:pPr>
            <w:r>
              <w:rPr>
                <w:rFonts w:hint="eastAsia" w:ascii="宋体" w:hAnsi="宋体" w:eastAsia="宋体" w:cs="宋体"/>
                <w:szCs w:val="21"/>
              </w:rPr>
              <w:t>指标项</w:t>
            </w:r>
          </w:p>
        </w:tc>
        <w:tc>
          <w:tcPr>
            <w:tcW w:w="7498" w:type="dxa"/>
            <w:shd w:val="clear" w:color="auto" w:fill="auto"/>
            <w:vAlign w:val="center"/>
          </w:tcPr>
          <w:p w14:paraId="14D91EB6">
            <w:pPr>
              <w:spacing w:line="360" w:lineRule="atLeast"/>
              <w:jc w:val="left"/>
              <w:rPr>
                <w:rFonts w:hint="eastAsia" w:ascii="宋体" w:hAnsi="宋体" w:eastAsia="宋体" w:cs="宋体"/>
                <w:szCs w:val="21"/>
              </w:rPr>
            </w:pPr>
            <w:r>
              <w:rPr>
                <w:rFonts w:hint="eastAsia" w:ascii="宋体" w:hAnsi="宋体" w:eastAsia="宋体" w:cs="宋体"/>
                <w:szCs w:val="21"/>
              </w:rPr>
              <w:t>服务要求</w:t>
            </w:r>
          </w:p>
        </w:tc>
      </w:tr>
      <w:tr w14:paraId="440D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98" w:type="dxa"/>
            <w:vMerge w:val="restart"/>
            <w:vAlign w:val="center"/>
          </w:tcPr>
          <w:p w14:paraId="2702FFBA">
            <w:pPr>
              <w:spacing w:line="360" w:lineRule="atLeast"/>
              <w:rPr>
                <w:rFonts w:hint="eastAsia" w:ascii="宋体" w:hAnsi="宋体" w:eastAsia="宋体" w:cs="宋体"/>
                <w:szCs w:val="21"/>
              </w:rPr>
            </w:pPr>
            <w:r>
              <w:rPr>
                <w:rFonts w:hint="eastAsia" w:ascii="宋体" w:hAnsi="宋体" w:eastAsia="宋体" w:cs="宋体"/>
                <w:szCs w:val="21"/>
              </w:rPr>
              <w:t>基本要求</w:t>
            </w:r>
          </w:p>
        </w:tc>
        <w:tc>
          <w:tcPr>
            <w:tcW w:w="7498" w:type="dxa"/>
            <w:tcBorders>
              <w:bottom w:val="single" w:color="auto" w:sz="4" w:space="0"/>
            </w:tcBorders>
            <w:vAlign w:val="center"/>
          </w:tcPr>
          <w:p w14:paraId="2F9F5689">
            <w:pPr>
              <w:spacing w:line="360" w:lineRule="atLeast"/>
              <w:rPr>
                <w:rFonts w:hint="eastAsia" w:ascii="宋体" w:hAnsi="宋体" w:eastAsia="宋体" w:cs="宋体"/>
                <w:szCs w:val="21"/>
              </w:rPr>
            </w:pPr>
            <w:r>
              <w:rPr>
                <w:rFonts w:hint="eastAsia" w:ascii="宋体" w:hAnsi="宋体" w:eastAsia="宋体" w:cs="宋体"/>
                <w:szCs w:val="21"/>
              </w:rPr>
              <w:t>云操作系统所有组件和服务均采用分布式技术架构，采用Openstack+KVM的虚拟化技术路线，保证平台的成熟度、稳定性和开放性。</w:t>
            </w:r>
          </w:p>
        </w:tc>
      </w:tr>
      <w:tr w14:paraId="5513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98" w:type="dxa"/>
            <w:vMerge w:val="continue"/>
            <w:vAlign w:val="center"/>
          </w:tcPr>
          <w:p w14:paraId="319756A2">
            <w:pPr>
              <w:spacing w:line="360" w:lineRule="atLeast"/>
              <w:rPr>
                <w:rFonts w:hint="eastAsia" w:ascii="宋体" w:hAnsi="宋体" w:eastAsia="宋体" w:cs="宋体"/>
                <w:szCs w:val="21"/>
              </w:rPr>
            </w:pPr>
          </w:p>
        </w:tc>
        <w:tc>
          <w:tcPr>
            <w:tcW w:w="7498" w:type="dxa"/>
            <w:shd w:val="clear" w:color="auto" w:fill="auto"/>
            <w:vAlign w:val="center"/>
          </w:tcPr>
          <w:p w14:paraId="5171E81A">
            <w:pPr>
              <w:spacing w:line="360" w:lineRule="atLeast"/>
              <w:rPr>
                <w:rFonts w:hint="eastAsia" w:ascii="宋体" w:hAnsi="宋体" w:eastAsia="宋体" w:cs="宋体"/>
                <w:szCs w:val="21"/>
              </w:rPr>
            </w:pPr>
            <w:r>
              <w:rPr>
                <w:rFonts w:hint="eastAsia" w:ascii="宋体" w:hAnsi="宋体" w:eastAsia="宋体" w:cs="宋体"/>
                <w:szCs w:val="21"/>
              </w:rPr>
              <w:t>为保证采购人业务连续性，云平台需支持跨CPU型号进行热迁移，保证存量虚拟机由CPU特性少的往CPU特性多的计算节点热迁移并迁回。</w:t>
            </w:r>
          </w:p>
        </w:tc>
      </w:tr>
      <w:tr w14:paraId="4B363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198" w:type="dxa"/>
            <w:vMerge w:val="continue"/>
            <w:shd w:val="clear" w:color="auto" w:fill="auto"/>
            <w:vAlign w:val="center"/>
          </w:tcPr>
          <w:p w14:paraId="08871CCA">
            <w:pPr>
              <w:spacing w:line="360" w:lineRule="atLeast"/>
              <w:rPr>
                <w:rFonts w:hint="eastAsia" w:ascii="宋体" w:hAnsi="宋体" w:eastAsia="宋体" w:cs="宋体"/>
                <w:szCs w:val="21"/>
              </w:rPr>
            </w:pPr>
          </w:p>
        </w:tc>
        <w:tc>
          <w:tcPr>
            <w:tcW w:w="7498" w:type="dxa"/>
            <w:shd w:val="clear" w:color="auto" w:fill="auto"/>
            <w:vAlign w:val="center"/>
          </w:tcPr>
          <w:p w14:paraId="3DC1AE82">
            <w:pPr>
              <w:spacing w:line="360" w:lineRule="atLeast"/>
              <w:rPr>
                <w:rFonts w:hint="eastAsia" w:ascii="宋体" w:hAnsi="宋体" w:eastAsia="宋体" w:cs="宋体"/>
                <w:szCs w:val="21"/>
              </w:rPr>
            </w:pPr>
            <w:r>
              <w:rPr>
                <w:rFonts w:hint="eastAsia" w:ascii="宋体" w:hAnsi="宋体" w:eastAsia="宋体" w:cs="宋体"/>
                <w:b/>
                <w:bCs/>
                <w:szCs w:val="21"/>
              </w:rPr>
              <w:t>#</w:t>
            </w:r>
            <w:r>
              <w:rPr>
                <w:rFonts w:hint="eastAsia" w:ascii="宋体" w:hAnsi="宋体" w:eastAsia="宋体" w:cs="宋体"/>
                <w:szCs w:val="21"/>
              </w:rPr>
              <w:t>云平台应提供统一的标准接口，包含但不限于虚拟化平台、运营管理平台、运维管理平台、服务产品等标准接口，具备与云监管部门和第三方平台对接的能力。</w:t>
            </w:r>
            <w:r>
              <w:rPr>
                <w:rFonts w:hint="eastAsia" w:ascii="宋体" w:hAnsi="宋体" w:cs="宋体"/>
                <w:szCs w:val="21"/>
              </w:rPr>
              <w:t>要求</w:t>
            </w:r>
            <w:r>
              <w:rPr>
                <w:rFonts w:hint="eastAsia" w:ascii="宋体" w:hAnsi="宋体" w:eastAsia="宋体" w:cs="宋体"/>
                <w:szCs w:val="21"/>
              </w:rPr>
              <w:t>提供标准OpenApi文档</w:t>
            </w:r>
            <w:r>
              <w:rPr>
                <w:rFonts w:hint="eastAsia" w:ascii="宋体" w:hAnsi="宋体" w:cs="宋体"/>
                <w:szCs w:val="21"/>
              </w:rPr>
              <w:t>截图</w:t>
            </w:r>
            <w:r>
              <w:rPr>
                <w:rFonts w:hint="eastAsia" w:ascii="宋体" w:hAnsi="宋体" w:eastAsia="宋体" w:cs="宋体"/>
                <w:szCs w:val="21"/>
              </w:rPr>
              <w:t>，并加盖投标人公章</w:t>
            </w:r>
            <w:r>
              <w:rPr>
                <w:rFonts w:hint="eastAsia" w:ascii="宋体" w:hAnsi="宋体" w:eastAsia="宋体" w:cs="宋体"/>
                <w:szCs w:val="21"/>
                <w:lang w:val="en"/>
              </w:rPr>
              <w:t>。</w:t>
            </w:r>
          </w:p>
        </w:tc>
      </w:tr>
    </w:tbl>
    <w:p w14:paraId="705EBCD2">
      <w:pPr>
        <w:pStyle w:val="4"/>
        <w:rPr>
          <w:rFonts w:hint="eastAsia" w:ascii="宋体" w:hAnsi="宋体" w:eastAsia="宋体" w:cs="宋体"/>
          <w:szCs w:val="21"/>
        </w:rPr>
      </w:pPr>
    </w:p>
    <w:p w14:paraId="2084BAB4">
      <w:pPr>
        <w:rPr>
          <w:rFonts w:hint="eastAsia" w:ascii="宋体" w:hAnsi="宋体" w:eastAsia="宋体" w:cs="宋体"/>
          <w:szCs w:val="21"/>
        </w:rPr>
      </w:pPr>
      <w:r>
        <w:rPr>
          <w:rFonts w:hint="eastAsia" w:ascii="宋体" w:hAnsi="宋体" w:eastAsia="宋体" w:cs="宋体"/>
          <w:szCs w:val="21"/>
        </w:rPr>
        <w:t>（5）其他技术要求</w:t>
      </w:r>
    </w:p>
    <w:tbl>
      <w:tblPr>
        <w:tblStyle w:val="5"/>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7586"/>
      </w:tblGrid>
      <w:tr w14:paraId="6E7F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shd w:val="clear" w:color="auto" w:fill="auto"/>
            <w:vAlign w:val="center"/>
          </w:tcPr>
          <w:p w14:paraId="18B6972B">
            <w:pPr>
              <w:spacing w:line="360" w:lineRule="atLeast"/>
              <w:jc w:val="left"/>
              <w:rPr>
                <w:rFonts w:hint="eastAsia" w:ascii="宋体" w:hAnsi="宋体" w:eastAsia="宋体" w:cs="宋体"/>
                <w:szCs w:val="21"/>
              </w:rPr>
            </w:pPr>
            <w:r>
              <w:rPr>
                <w:rFonts w:hint="eastAsia" w:ascii="宋体" w:hAnsi="宋体" w:eastAsia="宋体" w:cs="宋体"/>
                <w:szCs w:val="21"/>
              </w:rPr>
              <w:t>指标项</w:t>
            </w:r>
          </w:p>
        </w:tc>
        <w:tc>
          <w:tcPr>
            <w:tcW w:w="7586" w:type="dxa"/>
            <w:shd w:val="clear" w:color="auto" w:fill="auto"/>
            <w:vAlign w:val="center"/>
          </w:tcPr>
          <w:p w14:paraId="028B2CCB">
            <w:pPr>
              <w:spacing w:line="360" w:lineRule="atLeast"/>
              <w:jc w:val="left"/>
              <w:rPr>
                <w:rFonts w:hint="eastAsia" w:ascii="宋体" w:hAnsi="宋体" w:eastAsia="宋体" w:cs="宋体"/>
                <w:szCs w:val="21"/>
              </w:rPr>
            </w:pPr>
            <w:r>
              <w:rPr>
                <w:rFonts w:hint="eastAsia" w:ascii="宋体" w:hAnsi="宋体" w:eastAsia="宋体" w:cs="宋体"/>
                <w:szCs w:val="21"/>
              </w:rPr>
              <w:t>服务要求</w:t>
            </w:r>
          </w:p>
        </w:tc>
      </w:tr>
      <w:tr w14:paraId="25CF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restart"/>
            <w:shd w:val="clear" w:color="auto" w:fill="FFFFFF"/>
            <w:vAlign w:val="center"/>
          </w:tcPr>
          <w:p w14:paraId="74558144">
            <w:pPr>
              <w:spacing w:line="360" w:lineRule="atLeast"/>
              <w:rPr>
                <w:rFonts w:hint="eastAsia" w:ascii="宋体" w:hAnsi="宋体" w:eastAsia="宋体" w:cs="宋体"/>
                <w:szCs w:val="21"/>
              </w:rPr>
            </w:pPr>
            <w:r>
              <w:rPr>
                <w:rFonts w:hint="eastAsia" w:ascii="宋体" w:hAnsi="宋体" w:eastAsia="宋体" w:cs="宋体"/>
                <w:szCs w:val="21"/>
              </w:rPr>
              <w:t>运营能力</w:t>
            </w:r>
          </w:p>
        </w:tc>
        <w:tc>
          <w:tcPr>
            <w:tcW w:w="7586" w:type="dxa"/>
            <w:shd w:val="clear" w:color="auto" w:fill="FFFFFF"/>
            <w:vAlign w:val="center"/>
          </w:tcPr>
          <w:p w14:paraId="3AD00007">
            <w:pPr>
              <w:spacing w:line="360" w:lineRule="atLeast"/>
              <w:rPr>
                <w:rFonts w:hint="eastAsia" w:ascii="宋体" w:hAnsi="宋体" w:eastAsia="宋体" w:cs="宋体"/>
                <w:szCs w:val="21"/>
              </w:rPr>
            </w:pPr>
            <w:r>
              <w:rPr>
                <w:rFonts w:hint="eastAsia" w:ascii="宋体" w:hAnsi="宋体" w:eastAsia="宋体" w:cs="宋体"/>
                <w:szCs w:val="21"/>
              </w:rPr>
              <w:t>云平台提供统一运营管理、运维管理、计费计量服务、网络服务，支持多租户且各租户可独立配置策略和权限。计量报表，提供包括云资源明细、基于云服务维度的统计、基于租户维度的统计报表，支持订阅报表和自定义报表维度。</w:t>
            </w:r>
          </w:p>
        </w:tc>
      </w:tr>
      <w:tr w14:paraId="2741F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shd w:val="clear" w:color="auto" w:fill="FFFFFF"/>
            <w:vAlign w:val="center"/>
          </w:tcPr>
          <w:p w14:paraId="5DEC1DB9">
            <w:pPr>
              <w:spacing w:line="360" w:lineRule="atLeast"/>
              <w:rPr>
                <w:rFonts w:hint="eastAsia" w:ascii="宋体" w:hAnsi="宋体" w:eastAsia="宋体" w:cs="宋体"/>
                <w:szCs w:val="21"/>
              </w:rPr>
            </w:pPr>
          </w:p>
        </w:tc>
        <w:tc>
          <w:tcPr>
            <w:tcW w:w="7586" w:type="dxa"/>
            <w:shd w:val="clear" w:color="auto" w:fill="FFFFFF"/>
            <w:vAlign w:val="center"/>
          </w:tcPr>
          <w:p w14:paraId="42A0E167">
            <w:pPr>
              <w:spacing w:line="360" w:lineRule="atLeast"/>
              <w:rPr>
                <w:rFonts w:hint="eastAsia" w:ascii="宋体" w:hAnsi="宋体" w:eastAsia="宋体" w:cs="宋体"/>
                <w:szCs w:val="21"/>
              </w:rPr>
            </w:pPr>
            <w:r>
              <w:rPr>
                <w:rFonts w:hint="eastAsia" w:ascii="宋体" w:hAnsi="宋体" w:eastAsia="宋体" w:cs="宋体"/>
                <w:szCs w:val="21"/>
              </w:rPr>
              <w:t>支持自定义服务目录，提供配置产品类、产品类型（规格）以及该产品售卖的区域功能，并且支持针对不同用户设置不同的服务目录，可以对用户可使用的服务产品进行授权管理，满足采购人灵活的云服务扩展诉求以及精细化管理需求。</w:t>
            </w:r>
          </w:p>
        </w:tc>
      </w:tr>
      <w:tr w14:paraId="7918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restart"/>
            <w:shd w:val="clear" w:color="auto" w:fill="FFFFFF"/>
            <w:vAlign w:val="center"/>
          </w:tcPr>
          <w:p w14:paraId="6B155481">
            <w:pPr>
              <w:spacing w:line="360" w:lineRule="atLeast"/>
              <w:rPr>
                <w:rFonts w:hint="eastAsia" w:ascii="宋体" w:hAnsi="宋体" w:eastAsia="宋体" w:cs="宋体"/>
                <w:szCs w:val="21"/>
              </w:rPr>
            </w:pPr>
            <w:r>
              <w:rPr>
                <w:rFonts w:hint="eastAsia" w:ascii="宋体" w:hAnsi="宋体" w:eastAsia="宋体" w:cs="宋体"/>
                <w:szCs w:val="21"/>
              </w:rPr>
              <w:t>运维能力</w:t>
            </w:r>
          </w:p>
        </w:tc>
        <w:tc>
          <w:tcPr>
            <w:tcW w:w="7586" w:type="dxa"/>
            <w:shd w:val="clear" w:color="auto" w:fill="auto"/>
            <w:vAlign w:val="center"/>
          </w:tcPr>
          <w:p w14:paraId="1DCDF40F">
            <w:pPr>
              <w:rPr>
                <w:rFonts w:hint="eastAsia" w:ascii="宋体" w:hAnsi="宋体" w:eastAsia="宋体" w:cs="宋体"/>
                <w:szCs w:val="21"/>
              </w:rPr>
            </w:pPr>
            <w:r>
              <w:rPr>
                <w:rFonts w:hint="eastAsia" w:ascii="宋体" w:hAnsi="宋体" w:eastAsia="宋体" w:cs="宋体"/>
                <w:szCs w:val="21"/>
              </w:rPr>
              <w:t>投标人针对本项目配备一名项目经理，项目经理须同时具有信息系统项目管理师证书（高级）、数据库系统工程师（中级或以上）、国家注册信息安全专业人员证书。</w:t>
            </w:r>
          </w:p>
          <w:p w14:paraId="20AFD2B6">
            <w:pPr>
              <w:rPr>
                <w:rFonts w:hint="eastAsia" w:ascii="宋体" w:hAnsi="宋体" w:eastAsia="宋体" w:cs="宋体"/>
                <w:szCs w:val="21"/>
              </w:rPr>
            </w:pPr>
            <w:r>
              <w:rPr>
                <w:rFonts w:hint="eastAsia" w:ascii="宋体" w:hAnsi="宋体" w:eastAsia="宋体" w:cs="宋体"/>
                <w:szCs w:val="21"/>
              </w:rPr>
              <w:t>项目团队人员需具备国家注册信息安全专业人员、系统架构设计师、信息系统项目管理师和信息安全保障人员认证证书至少1项，每项证书至少有1名团队人员持有。</w:t>
            </w:r>
          </w:p>
          <w:p w14:paraId="4C924F3D">
            <w:pPr>
              <w:rPr>
                <w:rFonts w:hint="eastAsia" w:ascii="宋体" w:hAnsi="宋体" w:eastAsia="宋体" w:cs="宋体"/>
                <w:szCs w:val="21"/>
              </w:rPr>
            </w:pPr>
            <w:r>
              <w:rPr>
                <w:rFonts w:hint="eastAsia" w:ascii="宋体" w:hAnsi="宋体" w:eastAsia="宋体" w:cs="宋体"/>
                <w:szCs w:val="21"/>
              </w:rPr>
              <w:t>项目团队人员同类项目实施经验丰富，为采购人上云系统提供专职运维保障。每月或定期召开项目管理例会，汇总云资源使用情况、系统安全情况等。</w:t>
            </w:r>
          </w:p>
        </w:tc>
      </w:tr>
      <w:tr w14:paraId="54FC1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shd w:val="clear" w:color="auto" w:fill="FFFFFF"/>
            <w:vAlign w:val="center"/>
          </w:tcPr>
          <w:p w14:paraId="6BB6E1FC">
            <w:pPr>
              <w:spacing w:line="360" w:lineRule="atLeast"/>
              <w:rPr>
                <w:rFonts w:hint="eastAsia" w:ascii="宋体" w:hAnsi="宋体" w:eastAsia="宋体" w:cs="宋体"/>
                <w:szCs w:val="21"/>
              </w:rPr>
            </w:pPr>
          </w:p>
        </w:tc>
        <w:tc>
          <w:tcPr>
            <w:tcW w:w="7586" w:type="dxa"/>
            <w:shd w:val="clear" w:color="auto" w:fill="auto"/>
            <w:vAlign w:val="center"/>
          </w:tcPr>
          <w:p w14:paraId="3AED2CA7">
            <w:pPr>
              <w:spacing w:line="360" w:lineRule="atLeast"/>
              <w:rPr>
                <w:rFonts w:hint="eastAsia" w:ascii="宋体" w:hAnsi="宋体" w:eastAsia="宋体" w:cs="宋体"/>
                <w:szCs w:val="21"/>
                <w:lang w:val="en"/>
              </w:rPr>
            </w:pPr>
            <w:r>
              <w:rPr>
                <w:rFonts w:hint="eastAsia" w:ascii="宋体" w:hAnsi="宋体" w:eastAsia="宋体" w:cs="宋体"/>
                <w:b/>
                <w:bCs/>
                <w:szCs w:val="21"/>
              </w:rPr>
              <w:t>#</w:t>
            </w:r>
            <w:r>
              <w:rPr>
                <w:rFonts w:hint="eastAsia" w:ascii="宋体" w:hAnsi="宋体" w:eastAsia="宋体" w:cs="宋体"/>
                <w:szCs w:val="21"/>
                <w:lang w:val="en"/>
              </w:rPr>
              <w:t>云管平台应可以查看云平台的内置告警，查看告警详情，并提供告警的静默操作，避免扩容或人工检查问题时产生迷惑性告警。提供功能截图</w:t>
            </w:r>
            <w:r>
              <w:rPr>
                <w:rFonts w:hint="eastAsia" w:ascii="宋体" w:hAnsi="宋体" w:eastAsia="宋体" w:cs="宋体"/>
                <w:szCs w:val="21"/>
              </w:rPr>
              <w:t>，并加盖投标人公章</w:t>
            </w:r>
            <w:r>
              <w:rPr>
                <w:rFonts w:hint="eastAsia" w:ascii="宋体" w:hAnsi="宋体" w:eastAsia="宋体" w:cs="宋体"/>
                <w:szCs w:val="21"/>
                <w:lang w:val="en"/>
              </w:rPr>
              <w:t>。</w:t>
            </w:r>
          </w:p>
        </w:tc>
      </w:tr>
      <w:tr w14:paraId="31F7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shd w:val="clear" w:color="auto" w:fill="FFFFFF"/>
            <w:vAlign w:val="center"/>
          </w:tcPr>
          <w:p w14:paraId="6BF32024">
            <w:pPr>
              <w:spacing w:line="360" w:lineRule="atLeast"/>
              <w:rPr>
                <w:rFonts w:hint="eastAsia" w:ascii="宋体" w:hAnsi="宋体" w:eastAsia="宋体" w:cs="宋体"/>
                <w:szCs w:val="21"/>
              </w:rPr>
            </w:pPr>
          </w:p>
        </w:tc>
        <w:tc>
          <w:tcPr>
            <w:tcW w:w="7586" w:type="dxa"/>
            <w:shd w:val="clear" w:color="auto" w:fill="auto"/>
            <w:vAlign w:val="center"/>
          </w:tcPr>
          <w:p w14:paraId="6471657A">
            <w:pPr>
              <w:spacing w:line="360" w:lineRule="atLeast"/>
              <w:rPr>
                <w:rFonts w:hint="eastAsia" w:ascii="宋体" w:hAnsi="宋体" w:eastAsia="宋体" w:cs="宋体"/>
                <w:szCs w:val="21"/>
                <w:lang w:val="en"/>
              </w:rPr>
            </w:pPr>
            <w:r>
              <w:rPr>
                <w:rFonts w:hint="eastAsia" w:ascii="宋体" w:hAnsi="宋体" w:eastAsia="宋体" w:cs="宋体"/>
                <w:szCs w:val="21"/>
                <w:lang w:val="en"/>
              </w:rPr>
              <w:t>提供平台资源及告警综合大屏功能，展示内容包括但不限于:集群概览、平台资源使用情况、服务产品实例、主机资源使用排行、告警趋势、告警信息等。</w:t>
            </w:r>
          </w:p>
        </w:tc>
      </w:tr>
      <w:tr w14:paraId="5E0B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shd w:val="clear" w:color="auto" w:fill="FFFFFF"/>
            <w:vAlign w:val="center"/>
          </w:tcPr>
          <w:p w14:paraId="370921D5">
            <w:pPr>
              <w:spacing w:line="360" w:lineRule="atLeast"/>
              <w:rPr>
                <w:rFonts w:hint="eastAsia" w:ascii="宋体" w:hAnsi="宋体" w:eastAsia="宋体" w:cs="宋体"/>
                <w:szCs w:val="21"/>
              </w:rPr>
            </w:pPr>
          </w:p>
        </w:tc>
        <w:tc>
          <w:tcPr>
            <w:tcW w:w="7586" w:type="dxa"/>
            <w:shd w:val="clear" w:color="auto" w:fill="FFFFFF"/>
            <w:vAlign w:val="center"/>
          </w:tcPr>
          <w:p w14:paraId="2633EBE4">
            <w:pPr>
              <w:spacing w:line="360" w:lineRule="atLeast"/>
              <w:rPr>
                <w:rFonts w:hint="eastAsia" w:ascii="宋体" w:hAnsi="宋体" w:eastAsia="宋体" w:cs="宋体"/>
                <w:szCs w:val="21"/>
                <w:lang w:val="en"/>
              </w:rPr>
            </w:pPr>
            <w:r>
              <w:rPr>
                <w:rFonts w:hint="eastAsia" w:ascii="宋体" w:hAnsi="宋体" w:eastAsia="宋体" w:cs="宋体"/>
                <w:szCs w:val="21"/>
                <w:lang w:val="en"/>
              </w:rPr>
              <w:t>支持周期性生成运维报表，包括但不限于主机监控报表、日志报表、告警报表、虚机监控报表；立即生成报表，周期类型包括天、周、月、季度。只需要设置一次报表参数，即可周期提供报表数据。</w:t>
            </w:r>
          </w:p>
        </w:tc>
      </w:tr>
      <w:tr w14:paraId="086A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shd w:val="clear" w:color="auto" w:fill="FFFFFF"/>
            <w:vAlign w:val="center"/>
          </w:tcPr>
          <w:p w14:paraId="36376B75">
            <w:pPr>
              <w:spacing w:line="360" w:lineRule="atLeast"/>
              <w:rPr>
                <w:rFonts w:hint="eastAsia" w:ascii="宋体" w:hAnsi="宋体" w:eastAsia="宋体" w:cs="宋体"/>
                <w:szCs w:val="21"/>
              </w:rPr>
            </w:pPr>
          </w:p>
        </w:tc>
        <w:tc>
          <w:tcPr>
            <w:tcW w:w="7586" w:type="dxa"/>
            <w:shd w:val="clear" w:color="auto" w:fill="FFFFFF"/>
            <w:vAlign w:val="center"/>
          </w:tcPr>
          <w:p w14:paraId="28AEC0FE">
            <w:pPr>
              <w:spacing w:line="360" w:lineRule="atLeast"/>
              <w:rPr>
                <w:rFonts w:hint="eastAsia" w:ascii="宋体" w:hAnsi="宋体" w:eastAsia="宋体" w:cs="宋体"/>
                <w:szCs w:val="21"/>
                <w:lang w:val="en"/>
              </w:rPr>
            </w:pPr>
            <w:r>
              <w:rPr>
                <w:rFonts w:hint="eastAsia" w:ascii="宋体" w:hAnsi="宋体" w:eastAsia="宋体" w:cs="宋体"/>
                <w:szCs w:val="21"/>
                <w:lang w:val="en"/>
              </w:rPr>
              <w:t>云平台厂商具备专业的售后运维支持团队，提供回接OpsCenter统一运维代管服务，具备</w:t>
            </w:r>
            <w:r>
              <w:rPr>
                <w:rFonts w:hint="eastAsia" w:ascii="宋体" w:hAnsi="宋体" w:eastAsia="宋体" w:cs="宋体"/>
                <w:szCs w:val="21"/>
              </w:rPr>
              <w:t>7×24</w:t>
            </w:r>
            <w:r>
              <w:rPr>
                <w:rFonts w:hint="eastAsia" w:ascii="宋体" w:hAnsi="宋体" w:eastAsia="宋体" w:cs="宋体"/>
                <w:szCs w:val="21"/>
                <w:lang w:val="en"/>
              </w:rPr>
              <w:t>小时全生命周期管理能力。</w:t>
            </w:r>
          </w:p>
        </w:tc>
      </w:tr>
      <w:tr w14:paraId="5146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shd w:val="clear" w:color="auto" w:fill="FFFFFF"/>
            <w:vAlign w:val="center"/>
          </w:tcPr>
          <w:p w14:paraId="44E0BA63">
            <w:pPr>
              <w:spacing w:line="360" w:lineRule="atLeast"/>
              <w:rPr>
                <w:rFonts w:hint="eastAsia" w:ascii="宋体" w:hAnsi="宋体" w:eastAsia="宋体" w:cs="宋体"/>
                <w:szCs w:val="21"/>
              </w:rPr>
            </w:pPr>
          </w:p>
        </w:tc>
        <w:tc>
          <w:tcPr>
            <w:tcW w:w="7586" w:type="dxa"/>
            <w:shd w:val="clear" w:color="auto" w:fill="FFFFFF"/>
            <w:vAlign w:val="center"/>
          </w:tcPr>
          <w:p w14:paraId="68BF7C80">
            <w:pPr>
              <w:spacing w:line="360" w:lineRule="atLeast"/>
              <w:rPr>
                <w:rFonts w:hint="eastAsia" w:ascii="宋体" w:hAnsi="宋体" w:eastAsia="宋体" w:cs="宋体"/>
                <w:szCs w:val="21"/>
                <w:lang w:val="en"/>
              </w:rPr>
            </w:pPr>
            <w:r>
              <w:rPr>
                <w:rFonts w:hint="eastAsia" w:ascii="宋体" w:hAnsi="宋体" w:eastAsia="宋体" w:cs="宋体"/>
                <w:szCs w:val="21"/>
                <w:lang w:val="en"/>
              </w:rPr>
              <w:t>投标人应当提供高效的系统维护服务，有效防范系统风险，对应负责人每周7</w:t>
            </w:r>
            <w:r>
              <w:rPr>
                <w:rFonts w:hint="eastAsia" w:ascii="宋体" w:hAnsi="宋体" w:eastAsia="宋体" w:cs="宋体"/>
                <w:szCs w:val="21"/>
              </w:rPr>
              <w:t>×</w:t>
            </w:r>
            <w:r>
              <w:rPr>
                <w:rFonts w:hint="eastAsia" w:ascii="宋体" w:hAnsi="宋体" w:eastAsia="宋体" w:cs="宋体"/>
                <w:szCs w:val="21"/>
                <w:lang w:val="en"/>
              </w:rPr>
              <w:t>24小时电话畅通，能够在系统发生除宕机外的其他故障问题时，能够协调人力资源在1小时内到达运维现场提供服务。</w:t>
            </w:r>
          </w:p>
        </w:tc>
      </w:tr>
      <w:tr w14:paraId="29D8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shd w:val="clear" w:color="auto" w:fill="FFFFFF"/>
            <w:vAlign w:val="center"/>
          </w:tcPr>
          <w:p w14:paraId="2A0088B5">
            <w:pPr>
              <w:spacing w:line="360" w:lineRule="atLeast"/>
              <w:rPr>
                <w:rFonts w:hint="eastAsia" w:ascii="宋体" w:hAnsi="宋体" w:eastAsia="宋体" w:cs="宋体"/>
                <w:szCs w:val="21"/>
              </w:rPr>
            </w:pPr>
            <w:r>
              <w:rPr>
                <w:rFonts w:hint="eastAsia" w:ascii="宋体" w:hAnsi="宋体" w:eastAsia="宋体" w:cs="宋体"/>
                <w:b/>
                <w:bCs/>
                <w:szCs w:val="21"/>
              </w:rPr>
              <w:t>#</w:t>
            </w:r>
            <w:r>
              <w:rPr>
                <w:rFonts w:hint="eastAsia" w:ascii="宋体" w:hAnsi="宋体" w:eastAsia="宋体" w:cs="宋体"/>
                <w:szCs w:val="21"/>
              </w:rPr>
              <w:t>迁移要求</w:t>
            </w:r>
          </w:p>
        </w:tc>
        <w:tc>
          <w:tcPr>
            <w:tcW w:w="7586" w:type="dxa"/>
            <w:shd w:val="clear" w:color="auto" w:fill="FFFFFF"/>
            <w:vAlign w:val="center"/>
          </w:tcPr>
          <w:p w14:paraId="2D920ECE">
            <w:pPr>
              <w:spacing w:line="360" w:lineRule="atLeast"/>
              <w:rPr>
                <w:rFonts w:hint="eastAsia" w:ascii="宋体" w:hAnsi="宋体" w:eastAsia="宋体" w:cs="宋体"/>
                <w:szCs w:val="21"/>
              </w:rPr>
            </w:pPr>
            <w:r>
              <w:rPr>
                <w:rFonts w:hint="eastAsia" w:ascii="宋体" w:hAnsi="宋体" w:eastAsia="宋体" w:cs="宋体"/>
                <w:szCs w:val="21"/>
              </w:rPr>
              <w:t>本项目如涉及云平台上应用系统迁移部署、数据迁移，此项工作产生的相关费用由中标人自行承担，包括迁移期间系统在原云平台运行费用，并与原云服务商做好交接。</w:t>
            </w:r>
          </w:p>
          <w:p w14:paraId="6612802B">
            <w:pPr>
              <w:spacing w:line="360" w:lineRule="atLeast"/>
              <w:rPr>
                <w:rFonts w:hint="eastAsia" w:ascii="宋体" w:hAnsi="宋体" w:eastAsia="宋体" w:cs="宋体"/>
                <w:szCs w:val="21"/>
                <w:lang w:val="en"/>
              </w:rPr>
            </w:pPr>
            <w:r>
              <w:rPr>
                <w:rFonts w:hint="eastAsia" w:ascii="宋体" w:hAnsi="宋体" w:eastAsia="宋体" w:cs="宋体"/>
                <w:szCs w:val="21"/>
              </w:rPr>
              <w:t>投标人应提供详细的、具备可行性的迁移部署方案，投标人应承诺中标后以最低的风险，完成所有应用系统、数据迁移部署工作，无法完成采购人有权解除合同。（需提供迁移部署方案及承诺函，并加盖投标人公章。）</w:t>
            </w:r>
          </w:p>
        </w:tc>
      </w:tr>
      <w:tr w14:paraId="2A3A0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shd w:val="clear" w:color="auto" w:fill="FFFFFF"/>
            <w:vAlign w:val="center"/>
          </w:tcPr>
          <w:p w14:paraId="1C1F47A0">
            <w:pPr>
              <w:spacing w:line="360" w:lineRule="atLeast"/>
              <w:rPr>
                <w:rFonts w:hint="eastAsia" w:ascii="宋体" w:hAnsi="宋体" w:eastAsia="宋体" w:cs="宋体"/>
                <w:color w:val="000000"/>
                <w:szCs w:val="21"/>
              </w:rPr>
            </w:pPr>
            <w:r>
              <w:rPr>
                <w:rFonts w:hint="eastAsia" w:ascii="宋体" w:hAnsi="宋体" w:eastAsia="宋体" w:cs="宋体"/>
                <w:b/>
                <w:bCs/>
                <w:szCs w:val="21"/>
              </w:rPr>
              <w:t>#</w:t>
            </w:r>
            <w:r>
              <w:rPr>
                <w:rFonts w:hint="eastAsia" w:ascii="宋体" w:hAnsi="宋体" w:eastAsia="宋体" w:cs="宋体"/>
                <w:szCs w:val="21"/>
              </w:rPr>
              <w:t>重要时期保障</w:t>
            </w:r>
          </w:p>
        </w:tc>
        <w:tc>
          <w:tcPr>
            <w:tcW w:w="7586" w:type="dxa"/>
            <w:shd w:val="clear" w:color="auto" w:fill="FFFFFF"/>
            <w:vAlign w:val="center"/>
          </w:tcPr>
          <w:p w14:paraId="7AD47A4D">
            <w:pPr>
              <w:spacing w:line="360" w:lineRule="atLeast"/>
              <w:rPr>
                <w:rFonts w:hint="eastAsia" w:ascii="宋体" w:hAnsi="宋体" w:eastAsia="宋体" w:cs="宋体"/>
                <w:szCs w:val="21"/>
              </w:rPr>
            </w:pPr>
            <w:r>
              <w:rPr>
                <w:rFonts w:hint="eastAsia" w:ascii="宋体" w:hAnsi="宋体" w:eastAsia="宋体" w:cs="宋体"/>
                <w:szCs w:val="21"/>
              </w:rPr>
              <w:t>投标人应按照采购人提出的重要时期组织开展重保相关工作，开展重保期间值守。</w:t>
            </w:r>
          </w:p>
          <w:p w14:paraId="076D85F6">
            <w:pPr>
              <w:spacing w:line="360" w:lineRule="atLeast"/>
              <w:rPr>
                <w:rFonts w:hint="eastAsia" w:ascii="宋体" w:hAnsi="宋体" w:eastAsia="宋体" w:cs="宋体"/>
                <w:szCs w:val="21"/>
                <w:lang w:val="en"/>
              </w:rPr>
            </w:pPr>
            <w:r>
              <w:rPr>
                <w:rFonts w:hint="eastAsia" w:ascii="宋体" w:hAnsi="宋体" w:eastAsia="宋体" w:cs="宋体"/>
                <w:szCs w:val="21"/>
                <w:lang w:val="en"/>
              </w:rPr>
              <w:t>（需提供重保期间的重保方案及承诺函，并加盖投标人公章。）</w:t>
            </w:r>
          </w:p>
        </w:tc>
      </w:tr>
      <w:tr w14:paraId="1097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restart"/>
            <w:shd w:val="clear" w:color="auto" w:fill="FFFFFF"/>
            <w:vAlign w:val="center"/>
          </w:tcPr>
          <w:p w14:paraId="3BDC4873">
            <w:pPr>
              <w:spacing w:line="360" w:lineRule="atLeast"/>
              <w:rPr>
                <w:rFonts w:hint="eastAsia" w:ascii="宋体" w:hAnsi="宋体" w:eastAsia="宋体" w:cs="宋体"/>
                <w:szCs w:val="21"/>
              </w:rPr>
            </w:pPr>
            <w:r>
              <w:rPr>
                <w:rFonts w:hint="eastAsia" w:ascii="宋体" w:hAnsi="宋体" w:eastAsia="宋体" w:cs="宋体"/>
                <w:szCs w:val="21"/>
              </w:rPr>
              <w:t>其他要求</w:t>
            </w:r>
          </w:p>
        </w:tc>
        <w:tc>
          <w:tcPr>
            <w:tcW w:w="7586" w:type="dxa"/>
            <w:shd w:val="clear" w:color="auto" w:fill="FFFFFF"/>
            <w:vAlign w:val="center"/>
          </w:tcPr>
          <w:p w14:paraId="2CFC76D2">
            <w:pPr>
              <w:spacing w:line="360" w:lineRule="atLeast"/>
              <w:rPr>
                <w:rFonts w:hint="eastAsia" w:ascii="宋体" w:hAnsi="宋体" w:eastAsia="宋体" w:cs="宋体"/>
                <w:szCs w:val="21"/>
              </w:rPr>
            </w:pPr>
            <w:r>
              <w:rPr>
                <w:rFonts w:hint="eastAsia" w:ascii="宋体" w:hAnsi="宋体" w:eastAsia="宋体" w:cs="宋体"/>
                <w:szCs w:val="21"/>
              </w:rPr>
              <w:t>投标人应保证各业务应用系统的支撑环境，包括但不限于服务器、网络、存储以及相关物理环境，能满足安全三级等保要求，并积极配合采购人根据各业务系统具体等保需求，开展相应等保评估、检查、整改等工作。</w:t>
            </w:r>
          </w:p>
        </w:tc>
      </w:tr>
      <w:tr w14:paraId="7B4F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shd w:val="clear" w:color="auto" w:fill="FFFFFF"/>
            <w:vAlign w:val="center"/>
          </w:tcPr>
          <w:p w14:paraId="14BADFF0">
            <w:pPr>
              <w:spacing w:line="360" w:lineRule="atLeast"/>
              <w:rPr>
                <w:rFonts w:hint="eastAsia" w:ascii="宋体" w:hAnsi="宋体" w:eastAsia="宋体" w:cs="宋体"/>
                <w:szCs w:val="21"/>
              </w:rPr>
            </w:pPr>
          </w:p>
        </w:tc>
        <w:tc>
          <w:tcPr>
            <w:tcW w:w="7586" w:type="dxa"/>
            <w:shd w:val="clear" w:color="auto" w:fill="FFFFFF"/>
            <w:vAlign w:val="center"/>
          </w:tcPr>
          <w:p w14:paraId="556305D4">
            <w:pPr>
              <w:spacing w:line="360" w:lineRule="atLeast"/>
              <w:rPr>
                <w:rFonts w:hint="eastAsia" w:ascii="宋体" w:hAnsi="宋体" w:eastAsia="宋体" w:cs="宋体"/>
                <w:szCs w:val="21"/>
              </w:rPr>
            </w:pPr>
            <w:r>
              <w:rPr>
                <w:rFonts w:hint="eastAsia" w:ascii="宋体" w:hAnsi="宋体" w:cs="宋体"/>
                <w:szCs w:val="21"/>
              </w:rPr>
              <w:t>★投标</w:t>
            </w:r>
            <w:r>
              <w:rPr>
                <w:rFonts w:hint="eastAsia" w:ascii="宋体" w:hAnsi="宋体" w:eastAsia="宋体" w:cs="宋体"/>
                <w:szCs w:val="21"/>
              </w:rPr>
              <w:t>人所提供政务云平台应通过网络安全等级保护第三级测评，须提供等级测评机构出具的测评报告复印件并加盖投标人公章，复印件需包含测评机构等级测评专用章。</w:t>
            </w:r>
          </w:p>
        </w:tc>
      </w:tr>
      <w:tr w14:paraId="64AC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shd w:val="clear" w:color="auto" w:fill="FFFFFF"/>
            <w:vAlign w:val="center"/>
          </w:tcPr>
          <w:p w14:paraId="2B87F71C">
            <w:pPr>
              <w:spacing w:line="360" w:lineRule="atLeast"/>
              <w:rPr>
                <w:rFonts w:hint="default" w:ascii="宋体" w:hAnsi="宋体" w:eastAsia="宋体" w:cs="宋体"/>
                <w:szCs w:val="21"/>
                <w:lang w:val="en-US" w:eastAsia="zh-CN"/>
              </w:rPr>
            </w:pPr>
            <w:r>
              <w:rPr>
                <w:rFonts w:hint="eastAsia" w:ascii="宋体" w:hAnsi="宋体" w:eastAsia="宋体" w:cs="宋体"/>
                <w:szCs w:val="21"/>
                <w:lang w:val="en-US" w:eastAsia="zh-CN"/>
              </w:rPr>
              <w:t>#国产化要求</w:t>
            </w:r>
          </w:p>
        </w:tc>
        <w:tc>
          <w:tcPr>
            <w:tcW w:w="7586" w:type="dxa"/>
            <w:shd w:val="clear" w:color="auto" w:fill="FFFFFF"/>
            <w:vAlign w:val="center"/>
          </w:tcPr>
          <w:p w14:paraId="21926746">
            <w:pPr>
              <w:spacing w:line="360" w:lineRule="atLeast"/>
              <w:rPr>
                <w:rFonts w:hint="eastAsia" w:ascii="宋体" w:hAnsi="宋体" w:cs="宋体" w:eastAsiaTheme="minorEastAsia"/>
                <w:szCs w:val="21"/>
                <w:lang w:eastAsia="zh-CN"/>
              </w:rPr>
            </w:pPr>
            <w:r>
              <w:rPr>
                <w:rFonts w:hint="eastAsia" w:ascii="宋体" w:hAnsi="宋体" w:cs="宋体"/>
                <w:szCs w:val="21"/>
                <w:lang w:eastAsia="zh-CN"/>
              </w:rPr>
              <w:t>本项目如涉及国产化改造，投标人应按照采购人要求，进行国产化改造。</w:t>
            </w:r>
          </w:p>
        </w:tc>
      </w:tr>
    </w:tbl>
    <w:p w14:paraId="733D1E40">
      <w:pPr>
        <w:widowControl/>
        <w:rPr>
          <w:rFonts w:hint="eastAsia" w:ascii="宋体" w:hAnsi="宋体"/>
        </w:rPr>
      </w:pPr>
    </w:p>
    <w:p w14:paraId="1F3411EE">
      <w:pPr>
        <w:pStyle w:val="9"/>
        <w:numPr>
          <w:ilvl w:val="0"/>
          <w:numId w:val="1"/>
        </w:numPr>
        <w:ind w:firstLineChars="0"/>
        <w:rPr>
          <w:rFonts w:hint="eastAsia" w:ascii="宋体" w:hAnsi="宋体" w:eastAsia="宋体" w:cs="宋体"/>
          <w:b/>
          <w:bCs/>
          <w:szCs w:val="21"/>
        </w:rPr>
      </w:pPr>
      <w:r>
        <w:rPr>
          <w:rFonts w:hint="eastAsia" w:ascii="宋体" w:hAnsi="宋体" w:eastAsia="宋体" w:cs="宋体"/>
          <w:b/>
          <w:bCs/>
          <w:szCs w:val="21"/>
        </w:rPr>
        <w:t>服务期</w:t>
      </w:r>
    </w:p>
    <w:p w14:paraId="7C4861BA">
      <w:pPr>
        <w:pStyle w:val="9"/>
        <w:ind w:firstLine="0" w:firstLineChars="0"/>
        <w:rPr>
          <w:rFonts w:hint="eastAsia" w:ascii="宋体" w:hAnsi="宋体" w:eastAsia="宋体" w:cs="宋体"/>
          <w:b/>
          <w:bCs/>
          <w:szCs w:val="21"/>
        </w:rPr>
      </w:pPr>
      <w:r>
        <w:rPr>
          <w:rFonts w:hint="eastAsia" w:ascii="宋体" w:hAnsi="宋体" w:eastAsia="宋体" w:cs="宋体"/>
          <w:szCs w:val="21"/>
        </w:rPr>
        <w:t xml:space="preserve">    本项目服务时间为自合同签订之日起壹年。</w:t>
      </w:r>
    </w:p>
    <w:p w14:paraId="526C3DE3">
      <w:pPr>
        <w:pStyle w:val="9"/>
        <w:numPr>
          <w:ilvl w:val="0"/>
          <w:numId w:val="1"/>
        </w:numPr>
        <w:ind w:firstLineChars="0"/>
        <w:rPr>
          <w:rFonts w:hint="eastAsia" w:ascii="宋体" w:hAnsi="宋体" w:eastAsia="宋体" w:cs="宋体"/>
          <w:b/>
          <w:bCs/>
          <w:szCs w:val="21"/>
        </w:rPr>
      </w:pPr>
      <w:r>
        <w:rPr>
          <w:rFonts w:hint="eastAsia" w:ascii="宋体" w:hAnsi="宋体" w:eastAsia="宋体" w:cs="宋体"/>
          <w:b/>
          <w:bCs/>
          <w:szCs w:val="21"/>
        </w:rPr>
        <w:t>付款方式</w:t>
      </w:r>
    </w:p>
    <w:p w14:paraId="70444593">
      <w:pPr>
        <w:ind w:firstLine="421"/>
        <w:rPr>
          <w:rFonts w:hint="eastAsia" w:ascii="宋体" w:hAnsi="宋体" w:eastAsia="宋体" w:cs="宋体"/>
          <w:szCs w:val="21"/>
        </w:rPr>
      </w:pPr>
      <w:r>
        <w:rPr>
          <w:rFonts w:hint="eastAsia" w:ascii="宋体" w:hAnsi="宋体" w:eastAsia="宋体" w:cs="宋体"/>
          <w:szCs w:val="21"/>
        </w:rPr>
        <w:t>采购人于本合同生效之日起30个工作日内，向中标人一次性支付全部合同服务费；采购人付款前，中标人先行向采购人提交合同总价5%，期限不低于合同期的银行保函作为履约保函。</w:t>
      </w:r>
    </w:p>
    <w:p w14:paraId="63FD4151">
      <w:pPr>
        <w:pStyle w:val="9"/>
        <w:numPr>
          <w:ilvl w:val="0"/>
          <w:numId w:val="1"/>
        </w:numPr>
        <w:ind w:firstLine="421"/>
        <w:rPr>
          <w:rFonts w:hint="eastAsia" w:ascii="宋体" w:hAnsi="宋体" w:eastAsia="宋体" w:cs="宋体"/>
          <w:b/>
          <w:bCs/>
          <w:szCs w:val="21"/>
          <w:lang w:val="en-US" w:eastAsia="zh-CN"/>
        </w:rPr>
      </w:pPr>
      <w:r>
        <w:rPr>
          <w:rFonts w:hint="eastAsia" w:ascii="宋体" w:hAnsi="宋体" w:cs="宋体"/>
          <w:b/>
          <w:bCs/>
          <w:szCs w:val="21"/>
          <w:lang w:val="en-US" w:eastAsia="zh-CN"/>
        </w:rPr>
        <w:t>售后服务及培训方案</w:t>
      </w:r>
    </w:p>
    <w:p w14:paraId="38160228">
      <w:pPr>
        <w:rPr>
          <w:rFonts w:hint="eastAsia" w:ascii="宋体" w:hAnsi="宋体" w:eastAsia="宋体" w:cs="宋体"/>
          <w:szCs w:val="21"/>
        </w:rPr>
      </w:pPr>
      <w:r>
        <w:rPr>
          <w:rFonts w:hint="eastAsia" w:ascii="宋体" w:hAnsi="宋体" w:cs="宋体"/>
          <w:b/>
          <w:bCs/>
          <w:szCs w:val="21"/>
          <w:lang w:val="en-US" w:eastAsia="zh-CN"/>
        </w:rPr>
        <w:t xml:space="preserve">    </w:t>
      </w:r>
      <w:r>
        <w:rPr>
          <w:rFonts w:hint="eastAsia" w:ascii="宋体" w:hAnsi="宋体" w:eastAsia="宋体" w:cs="宋体"/>
          <w:szCs w:val="21"/>
        </w:rPr>
        <w:t>（1）投标人须提供服务质量保障措施保障服务期内的服务质量；</w:t>
      </w:r>
    </w:p>
    <w:p w14:paraId="0FA6DB80">
      <w:pPr>
        <w:ind w:firstLine="420" w:firstLineChars="200"/>
        <w:rPr>
          <w:rFonts w:hint="eastAsia" w:ascii="宋体" w:hAnsi="宋体" w:eastAsia="宋体" w:cs="宋体"/>
          <w:szCs w:val="21"/>
        </w:rPr>
      </w:pPr>
      <w:r>
        <w:rPr>
          <w:rFonts w:hint="eastAsia" w:ascii="宋体" w:hAnsi="宋体" w:eastAsia="宋体" w:cs="宋体"/>
          <w:szCs w:val="21"/>
        </w:rPr>
        <w:t>（2）投标人须提供重点保障服务方案，包含重要时间节点如春节、两会、国庆等重大时间点的重保服务，加大运维保障力度，保证在业务高峰期内系统平稳运行；</w:t>
      </w:r>
    </w:p>
    <w:p w14:paraId="4AE5138D">
      <w:pPr>
        <w:pStyle w:val="9"/>
        <w:numPr>
          <w:ilvl w:val="-1"/>
          <w:numId w:val="0"/>
        </w:numPr>
        <w:ind w:firstLine="420" w:firstLineChars="200"/>
        <w:rPr>
          <w:rFonts w:hint="default" w:ascii="宋体" w:hAnsi="宋体" w:eastAsia="宋体" w:cs="宋体"/>
          <w:b/>
          <w:bCs/>
          <w:szCs w:val="21"/>
          <w:lang w:val="en-US" w:eastAsia="zh-CN"/>
        </w:rPr>
      </w:pPr>
      <w:r>
        <w:rPr>
          <w:rFonts w:hint="eastAsia" w:ascii="宋体" w:hAnsi="宋体" w:eastAsia="宋体" w:cs="宋体"/>
          <w:szCs w:val="21"/>
        </w:rPr>
        <w:t>（3）投标人应根据本项目的特点制定培训方案并提供培训，培训方案应包括培训目的、培训策略、培训原则、培训对象、培训形式、培训计划等内容。</w:t>
      </w:r>
    </w:p>
    <w:p w14:paraId="142DF02F">
      <w:pPr>
        <w:spacing w:line="360" w:lineRule="auto"/>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.政策性采购需求</w:t>
      </w:r>
    </w:p>
    <w:p w14:paraId="7479B633">
      <w:pPr>
        <w:spacing w:line="360" w:lineRule="auto"/>
        <w:ind w:firstLine="480" w:firstLineChars="200"/>
        <w:jc w:val="left"/>
        <w:outlineLvl w:val="9"/>
        <w:rPr>
          <w:b/>
          <w:color w:val="auto"/>
          <w:sz w:val="36"/>
          <w:szCs w:val="36"/>
          <w:highlight w:val="none"/>
        </w:rPr>
      </w:pPr>
      <w:r>
        <w:rPr>
          <w:rFonts w:hint="eastAsia" w:ascii="宋体" w:hAnsi="宋体"/>
          <w:sz w:val="24"/>
        </w:rPr>
        <w:t>为在项目中充分落实《政府采购法》规定的“政府采购应当有助于实现国家的经济和社会发展政策目标”等相关要求，以项目为载体推动北京市环境社会治理(ESG)体系高质量发展，请供应商提供在本项目中落实ESG理念的工作措施。</w:t>
      </w:r>
    </w:p>
    <w:p w14:paraId="7AAE96E7">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C2AC55"/>
    <w:multiLevelType w:val="singleLevel"/>
    <w:tmpl w:val="2FC2AC5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1E10B5"/>
    <w:rsid w:val="331E1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toa heading"/>
    <w:basedOn w:val="1"/>
    <w:next w:val="1"/>
    <w:qFormat/>
    <w:uiPriority w:val="0"/>
    <w:rPr>
      <w:rFonts w:ascii="Arial" w:hAnsi="Arial"/>
      <w:kern w:val="44"/>
      <w:szCs w:val="20"/>
    </w:rPr>
  </w:style>
  <w:style w:type="table" w:styleId="6">
    <w:name w:val="Table Grid"/>
    <w:basedOn w:val="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标题2"/>
    <w:basedOn w:val="3"/>
    <w:qFormat/>
    <w:uiPriority w:val="0"/>
    <w:pPr>
      <w:numPr>
        <w:ilvl w:val="0"/>
        <w:numId w:val="0"/>
      </w:numPr>
      <w:spacing w:before="0" w:after="0" w:line="360" w:lineRule="auto"/>
      <w:ind w:firstLine="562" w:firstLineChars="200"/>
      <w:outlineLvl w:val="1"/>
    </w:pPr>
    <w:rPr>
      <w:rFonts w:ascii="仿宋" w:hAnsi="仿宋" w:eastAsia="仿宋" w:cs="仿宋"/>
      <w:sz w:val="28"/>
      <w:szCs w:val="28"/>
    </w:rPr>
  </w:style>
  <w:style w:type="paragraph" w:styleId="9">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2025-08-01T02:01:00Z</dcterms:created>
  <dc:creator>卓</dc:creator>
  <cp:lastModifiedBy>卓</cp:lastModifiedBy>
  <dcterms:modified xsi:type="dcterms:W3CDTF">2025-08-01T02:01:35Z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8A074712384749DF8396818459148A8D_11</vt:lpwstr>
  </property>
  <property fmtid="{D5CDD505-2E9C-101B-9397-08002B2CF9AE}" pid="4" name="KSOTemplateDocerSaveRecord">
    <vt:lpwstr>eyJoZGlkIjoiNTQ2YWU4ZmVkMTg2MmRlOGU2ZWVkODQzZWU5OTBiZDAiLCJ1c2VySWQiOiI1NDQ3NjE0MjMifQ==</vt:lpwstr>
  </property>
</Properties>
</file>