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BEA25">
      <w:pPr>
        <w:spacing w:line="360" w:lineRule="auto"/>
        <w:jc w:val="center"/>
        <w:outlineLvl w:val="0"/>
        <w:rPr>
          <w:b/>
          <w:sz w:val="36"/>
          <w:szCs w:val="36"/>
        </w:rPr>
      </w:pPr>
      <w:r>
        <w:rPr>
          <w:b/>
          <w:sz w:val="36"/>
          <w:szCs w:val="36"/>
        </w:rPr>
        <w:t>采购需求</w:t>
      </w:r>
    </w:p>
    <w:p w14:paraId="562AE6F8">
      <w:pPr>
        <w:pStyle w:val="5"/>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p w14:paraId="06A2A667">
      <w:pPr>
        <w:spacing w:line="360" w:lineRule="auto"/>
        <w:contextualSpacing/>
        <w:rPr>
          <w:bCs/>
          <w:sz w:val="24"/>
        </w:rPr>
      </w:pPr>
      <w:r>
        <w:rPr>
          <w:bCs/>
          <w:sz w:val="24"/>
        </w:rPr>
        <w:t>1. 采购标的</w:t>
      </w:r>
    </w:p>
    <w:p w14:paraId="0AEE4019">
      <w:pPr>
        <w:spacing w:line="360" w:lineRule="auto"/>
        <w:contextualSpacing/>
        <w:rPr>
          <w:rFonts w:hint="eastAsia" w:ascii="宋体" w:hAnsi="宋体" w:cs="宋体"/>
          <w:b/>
          <w:bCs/>
          <w:sz w:val="24"/>
        </w:rPr>
      </w:pPr>
      <w:r>
        <w:rPr>
          <w:rFonts w:hint="eastAsia" w:ascii="宋体" w:hAnsi="宋体" w:cs="宋体"/>
          <w:b/>
          <w:bCs/>
          <w:sz w:val="24"/>
        </w:rPr>
        <w:t>本项目不接受进口产品的投标</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343"/>
        <w:gridCol w:w="1701"/>
        <w:gridCol w:w="1473"/>
        <w:gridCol w:w="1947"/>
      </w:tblGrid>
      <w:tr w14:paraId="794E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659FA7F3">
            <w:pPr>
              <w:jc w:val="center"/>
              <w:rPr>
                <w:rFonts w:hint="eastAsia" w:ascii="宋体" w:hAnsi="宋体" w:cs="宋体"/>
                <w:b/>
                <w:sz w:val="24"/>
              </w:rPr>
            </w:pPr>
            <w:r>
              <w:rPr>
                <w:rFonts w:hint="eastAsia" w:ascii="宋体" w:hAnsi="宋体" w:cs="宋体"/>
                <w:b/>
                <w:sz w:val="24"/>
              </w:rPr>
              <w:t>序号</w:t>
            </w:r>
          </w:p>
        </w:tc>
        <w:tc>
          <w:tcPr>
            <w:tcW w:w="2343" w:type="dxa"/>
            <w:noWrap w:val="0"/>
            <w:vAlign w:val="center"/>
          </w:tcPr>
          <w:p w14:paraId="5DCF5397">
            <w:pPr>
              <w:jc w:val="center"/>
              <w:rPr>
                <w:rFonts w:hint="eastAsia" w:ascii="宋体" w:hAnsi="宋体" w:cs="宋体"/>
                <w:b/>
                <w:sz w:val="24"/>
              </w:rPr>
            </w:pPr>
            <w:r>
              <w:rPr>
                <w:rFonts w:hint="eastAsia" w:ascii="宋体" w:hAnsi="宋体" w:cs="宋体"/>
                <w:b/>
                <w:sz w:val="24"/>
              </w:rPr>
              <w:t>货物或服务名称</w:t>
            </w:r>
          </w:p>
        </w:tc>
        <w:tc>
          <w:tcPr>
            <w:tcW w:w="1701" w:type="dxa"/>
            <w:noWrap w:val="0"/>
            <w:vAlign w:val="center"/>
          </w:tcPr>
          <w:p w14:paraId="1DCA6151">
            <w:pPr>
              <w:jc w:val="center"/>
              <w:rPr>
                <w:rFonts w:hint="eastAsia" w:ascii="宋体" w:hAnsi="宋体" w:cs="宋体"/>
                <w:b/>
                <w:sz w:val="24"/>
              </w:rPr>
            </w:pPr>
            <w:r>
              <w:rPr>
                <w:rFonts w:hint="eastAsia" w:ascii="宋体" w:hAnsi="宋体" w:cs="宋体"/>
                <w:b/>
                <w:sz w:val="24"/>
              </w:rPr>
              <w:t>数量</w:t>
            </w:r>
          </w:p>
        </w:tc>
        <w:tc>
          <w:tcPr>
            <w:tcW w:w="1473" w:type="dxa"/>
            <w:noWrap w:val="0"/>
            <w:vAlign w:val="center"/>
          </w:tcPr>
          <w:p w14:paraId="11B42229">
            <w:pPr>
              <w:jc w:val="center"/>
              <w:rPr>
                <w:rFonts w:hint="eastAsia" w:ascii="宋体" w:hAnsi="宋体" w:cs="宋体"/>
                <w:b/>
                <w:sz w:val="24"/>
              </w:rPr>
            </w:pPr>
            <w:r>
              <w:rPr>
                <w:rFonts w:hint="eastAsia" w:ascii="宋体" w:hAnsi="宋体" w:cs="宋体"/>
                <w:b/>
                <w:sz w:val="24"/>
              </w:rPr>
              <w:t>单位</w:t>
            </w:r>
          </w:p>
        </w:tc>
        <w:tc>
          <w:tcPr>
            <w:tcW w:w="1947" w:type="dxa"/>
            <w:noWrap w:val="0"/>
            <w:vAlign w:val="center"/>
          </w:tcPr>
          <w:p w14:paraId="465933A6">
            <w:pPr>
              <w:jc w:val="center"/>
              <w:rPr>
                <w:rFonts w:hint="eastAsia" w:ascii="宋体" w:hAnsi="宋体" w:cs="宋体"/>
                <w:b/>
                <w:sz w:val="24"/>
              </w:rPr>
            </w:pPr>
            <w:r>
              <w:rPr>
                <w:rFonts w:hint="eastAsia" w:ascii="宋体" w:hAnsi="宋体" w:cs="宋体"/>
                <w:b/>
                <w:sz w:val="24"/>
              </w:rPr>
              <w:t>备注（核心产品）</w:t>
            </w:r>
          </w:p>
        </w:tc>
      </w:tr>
      <w:tr w14:paraId="4171F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23D08631">
            <w:pPr>
              <w:jc w:val="center"/>
              <w:rPr>
                <w:rFonts w:hint="eastAsia" w:ascii="宋体" w:hAnsi="宋体" w:cs="宋体"/>
                <w:sz w:val="24"/>
              </w:rPr>
            </w:pPr>
            <w:r>
              <w:rPr>
                <w:rFonts w:hint="eastAsia" w:ascii="宋体" w:hAnsi="宋体" w:cs="宋体"/>
                <w:sz w:val="24"/>
              </w:rPr>
              <w:t>1</w:t>
            </w:r>
          </w:p>
        </w:tc>
        <w:tc>
          <w:tcPr>
            <w:tcW w:w="2343" w:type="dxa"/>
            <w:noWrap w:val="0"/>
            <w:vAlign w:val="center"/>
          </w:tcPr>
          <w:p w14:paraId="02B5A0FE">
            <w:pPr>
              <w:widowControl/>
              <w:jc w:val="center"/>
              <w:rPr>
                <w:rFonts w:hint="eastAsia" w:ascii="宋体" w:hAnsi="宋体" w:cs="宋体"/>
                <w:color w:val="000000"/>
                <w:kern w:val="0"/>
                <w:sz w:val="24"/>
              </w:rPr>
            </w:pPr>
            <w:r>
              <w:rPr>
                <w:rFonts w:hint="eastAsia" w:ascii="宋体" w:hAnsi="宋体" w:cs="宋体"/>
                <w:kern w:val="0"/>
                <w:sz w:val="20"/>
                <w:szCs w:val="20"/>
                <w:lang w:bidi="ar"/>
              </w:rPr>
              <w:t>礼堂椅</w:t>
            </w:r>
          </w:p>
        </w:tc>
        <w:tc>
          <w:tcPr>
            <w:tcW w:w="1701" w:type="dxa"/>
            <w:noWrap w:val="0"/>
            <w:vAlign w:val="center"/>
          </w:tcPr>
          <w:p w14:paraId="2BE2529D">
            <w:pPr>
              <w:jc w:val="center"/>
              <w:rPr>
                <w:rFonts w:ascii="宋体" w:hAnsi="宋体" w:cs="宋体"/>
                <w:color w:val="000000"/>
                <w:sz w:val="24"/>
              </w:rPr>
            </w:pPr>
            <w:r>
              <w:rPr>
                <w:rFonts w:hint="eastAsia" w:ascii="宋体" w:hAnsi="宋体" w:cs="宋体"/>
                <w:color w:val="000000"/>
                <w:sz w:val="24"/>
              </w:rPr>
              <w:t>1000</w:t>
            </w:r>
          </w:p>
        </w:tc>
        <w:tc>
          <w:tcPr>
            <w:tcW w:w="1473" w:type="dxa"/>
            <w:noWrap w:val="0"/>
            <w:vAlign w:val="center"/>
          </w:tcPr>
          <w:p w14:paraId="541D387F">
            <w:pPr>
              <w:jc w:val="center"/>
              <w:rPr>
                <w:rFonts w:hint="eastAsia" w:ascii="宋体" w:hAnsi="宋体" w:cs="宋体"/>
                <w:color w:val="000000"/>
                <w:sz w:val="24"/>
              </w:rPr>
            </w:pPr>
            <w:r>
              <w:rPr>
                <w:rFonts w:hint="eastAsia" w:ascii="宋体" w:hAnsi="宋体" w:cs="宋体"/>
                <w:color w:val="000000"/>
                <w:sz w:val="24"/>
              </w:rPr>
              <w:t>把</w:t>
            </w:r>
          </w:p>
        </w:tc>
        <w:tc>
          <w:tcPr>
            <w:tcW w:w="1947" w:type="dxa"/>
            <w:noWrap w:val="0"/>
            <w:vAlign w:val="top"/>
          </w:tcPr>
          <w:p w14:paraId="05BCDF93">
            <w:pPr>
              <w:rPr>
                <w:rFonts w:hint="eastAsia" w:ascii="宋体" w:hAnsi="宋体" w:cs="宋体"/>
                <w:sz w:val="24"/>
              </w:rPr>
            </w:pPr>
          </w:p>
        </w:tc>
      </w:tr>
    </w:tbl>
    <w:p w14:paraId="20F5B89F">
      <w:pPr>
        <w:spacing w:line="360" w:lineRule="auto"/>
        <w:contextualSpacing/>
        <w:rPr>
          <w:bCs/>
          <w:sz w:val="24"/>
        </w:rPr>
      </w:pPr>
    </w:p>
    <w:p w14:paraId="3B4F87EF">
      <w:pPr>
        <w:spacing w:line="360" w:lineRule="auto"/>
        <w:contextualSpacing/>
        <w:rPr>
          <w:bCs/>
          <w:sz w:val="24"/>
        </w:rPr>
      </w:pPr>
      <w:r>
        <w:rPr>
          <w:bCs/>
          <w:sz w:val="24"/>
        </w:rPr>
        <w:t>2. 项目背景/项目概述（如有）</w:t>
      </w:r>
    </w:p>
    <w:p w14:paraId="5F9C2CA3">
      <w:pPr>
        <w:pStyle w:val="2"/>
        <w:ind w:firstLine="430"/>
        <w:rPr>
          <w:rFonts w:ascii="宋体" w:hAnsi="宋体"/>
        </w:rPr>
      </w:pPr>
      <w:r>
        <w:rPr>
          <w:rFonts w:hint="eastAsia" w:ascii="宋体" w:hAnsi="宋体"/>
        </w:rPr>
        <w:t>为北京学校</w:t>
      </w:r>
      <w:r>
        <w:rPr>
          <w:rFonts w:hint="eastAsia"/>
        </w:rPr>
        <w:t>1000人大剧场</w:t>
      </w:r>
      <w:r>
        <w:rPr>
          <w:rFonts w:hint="eastAsia" w:ascii="宋体" w:hAnsi="宋体"/>
        </w:rPr>
        <w:t>提供一批礼堂椅，为师生们提供集会和业余文化活动场所。</w:t>
      </w:r>
    </w:p>
    <w:p w14:paraId="26ED3CD7">
      <w:pPr>
        <w:pStyle w:val="5"/>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商务要求</w:t>
      </w:r>
    </w:p>
    <w:p w14:paraId="28F07BE6">
      <w:pPr>
        <w:spacing w:line="360" w:lineRule="auto"/>
        <w:contextualSpacing/>
        <w:rPr>
          <w:i/>
          <w:sz w:val="24"/>
        </w:rPr>
      </w:pPr>
      <w:r>
        <w:rPr>
          <w:sz w:val="24"/>
        </w:rPr>
        <w:t>1. 交付（实施）的时间（期限）和地点（范围）</w:t>
      </w:r>
    </w:p>
    <w:p w14:paraId="40CA1872">
      <w:pPr>
        <w:spacing w:line="360" w:lineRule="auto"/>
        <w:contextualSpacing/>
        <w:rPr>
          <w:rFonts w:ascii="宋体" w:hAnsi="宋体" w:cs="宋体"/>
          <w:color w:val="000000"/>
          <w:sz w:val="24"/>
        </w:rPr>
      </w:pPr>
      <w:r>
        <w:rPr>
          <w:sz w:val="24"/>
        </w:rPr>
        <w:t>交付（实施）的时间（期限）</w:t>
      </w:r>
      <w:r>
        <w:rPr>
          <w:rFonts w:hint="eastAsia"/>
          <w:sz w:val="24"/>
        </w:rPr>
        <w:t>：合同签订之日起20个日历日内完成供货、安装、调试.</w:t>
      </w:r>
    </w:p>
    <w:p w14:paraId="4F99BA79">
      <w:pPr>
        <w:spacing w:line="360" w:lineRule="auto"/>
        <w:contextualSpacing/>
        <w:rPr>
          <w:i/>
          <w:sz w:val="24"/>
        </w:rPr>
      </w:pPr>
      <w:r>
        <w:rPr>
          <w:rFonts w:hint="eastAsia" w:ascii="宋体" w:hAnsi="宋体" w:cs="宋体"/>
          <w:color w:val="000000"/>
          <w:sz w:val="24"/>
        </w:rPr>
        <w:t>交付地点：采购人指定地点</w:t>
      </w:r>
      <w:r>
        <w:rPr>
          <w:rFonts w:hint="eastAsia"/>
          <w:color w:val="000000"/>
          <w:sz w:val="24"/>
        </w:rPr>
        <w:t>。</w:t>
      </w:r>
    </w:p>
    <w:p w14:paraId="41D6882E">
      <w:pPr>
        <w:spacing w:line="360" w:lineRule="auto"/>
        <w:contextualSpacing/>
        <w:rPr>
          <w:sz w:val="24"/>
        </w:rPr>
      </w:pPr>
      <w:r>
        <w:rPr>
          <w:sz w:val="24"/>
        </w:rPr>
        <w:t>2. 付款条件（进度和方式）</w:t>
      </w:r>
    </w:p>
    <w:p w14:paraId="121A8D99">
      <w:pPr>
        <w:spacing w:line="360" w:lineRule="auto"/>
        <w:contextualSpacing/>
        <w:rPr>
          <w:rFonts w:hint="eastAsia"/>
          <w:bCs/>
          <w:sz w:val="24"/>
        </w:rPr>
      </w:pPr>
      <w:r>
        <w:rPr>
          <w:rFonts w:hint="eastAsia" w:ascii="宋体" w:hAnsi="宋体" w:cs="宋体"/>
          <w:color w:val="000000"/>
          <w:sz w:val="24"/>
          <w:u w:val="single"/>
        </w:rPr>
        <w:t xml:space="preserve"> 签订合同后 45个日历日内;中标人向采购人以支票、汇票、本票或者金融机构、担保机构出具的保函等非现金形式支付合同总价5%的履约保证金;采购人向中标人支付合同总价的50%，设备完成安装、调试、全部完成验收合格后，采购人向中标人支付合同总价的50%;货物验收合格后，采购人无息退还中标人合同总价5%的履约保证金保函。采购人付款前，中标人应向采购人开具合法等额有效增值税普通发票，因中标人未提供合格发票导致采购人延期付款，采购人不承担违约责任。</w:t>
      </w:r>
    </w:p>
    <w:p w14:paraId="06A896DF">
      <w:pPr>
        <w:spacing w:line="360" w:lineRule="auto"/>
        <w:contextualSpacing/>
        <w:rPr>
          <w:sz w:val="24"/>
        </w:rPr>
      </w:pPr>
      <w:r>
        <w:rPr>
          <w:sz w:val="24"/>
        </w:rPr>
        <w:t>3. 包装和运输（须满足《关于印发〈商品包装政府采购需求标准（试行）〉、〈快递包装政府采购需求标准（试行）〉的通知》（财办库﹝2020﹞123号））</w:t>
      </w:r>
    </w:p>
    <w:p w14:paraId="77CB077B">
      <w:pPr>
        <w:spacing w:line="360" w:lineRule="auto"/>
        <w:contextualSpacing/>
        <w:rPr>
          <w:sz w:val="24"/>
        </w:rPr>
      </w:pPr>
    </w:p>
    <w:p w14:paraId="56EB6BC6">
      <w:pPr>
        <w:spacing w:line="360" w:lineRule="auto"/>
        <w:contextualSpacing/>
        <w:rPr>
          <w:sz w:val="24"/>
        </w:rPr>
      </w:pPr>
      <w:r>
        <w:rPr>
          <w:sz w:val="24"/>
        </w:rPr>
        <w:t>4. 售后服务（质保期）</w:t>
      </w:r>
    </w:p>
    <w:p w14:paraId="61948A1E">
      <w:pPr>
        <w:spacing w:line="360" w:lineRule="auto"/>
        <w:contextualSpacing/>
        <w:rPr>
          <w:sz w:val="24"/>
        </w:rPr>
      </w:pPr>
      <w:r>
        <w:rPr>
          <w:rFonts w:hint="eastAsia" w:ascii="宋体" w:hAnsi="宋体" w:cs="宋体"/>
          <w:color w:val="000000"/>
          <w:sz w:val="24"/>
        </w:rPr>
        <w:t>质保期（依货物验收合格之日起计算）</w:t>
      </w:r>
      <w:r>
        <w:rPr>
          <w:rFonts w:hint="eastAsia" w:ascii="宋体" w:hAnsi="宋体" w:cs="宋体"/>
          <w:bCs/>
          <w:color w:val="000000"/>
          <w:sz w:val="24"/>
        </w:rPr>
        <w:t>3年</w:t>
      </w:r>
    </w:p>
    <w:p w14:paraId="38202D0F">
      <w:pPr>
        <w:spacing w:line="360" w:lineRule="auto"/>
        <w:contextualSpacing/>
        <w:rPr>
          <w:b/>
          <w:i/>
          <w:sz w:val="24"/>
        </w:rPr>
      </w:pPr>
      <w:r>
        <w:rPr>
          <w:sz w:val="24"/>
        </w:rPr>
        <w:t>5. 保险</w:t>
      </w:r>
    </w:p>
    <w:p w14:paraId="7E886B26">
      <w:pPr>
        <w:spacing w:line="360" w:lineRule="auto"/>
        <w:contextualSpacing/>
        <w:rPr>
          <w:rFonts w:hint="eastAsia"/>
          <w:b/>
          <w:i/>
          <w:sz w:val="24"/>
        </w:rPr>
      </w:pPr>
      <w:r>
        <w:rPr>
          <w:rFonts w:hint="eastAsia" w:ascii="宋体" w:hAnsi="宋体"/>
          <w:sz w:val="24"/>
        </w:rPr>
        <w:t>本项目涉及的货物和人员的一切保险费用和责任均由投标人承担。</w:t>
      </w:r>
    </w:p>
    <w:p w14:paraId="5271DB71">
      <w:pPr>
        <w:pStyle w:val="5"/>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技术要求</w:t>
      </w:r>
    </w:p>
    <w:p w14:paraId="1D5572DD">
      <w:pPr>
        <w:spacing w:line="360" w:lineRule="auto"/>
        <w:contextualSpacing/>
        <w:rPr>
          <w:sz w:val="24"/>
        </w:rPr>
      </w:pPr>
      <w:r>
        <w:rPr>
          <w:sz w:val="24"/>
        </w:rPr>
        <w:t>1. 基本要求</w:t>
      </w:r>
    </w:p>
    <w:tbl>
      <w:tblPr>
        <w:tblStyle w:val="3"/>
        <w:tblW w:w="0" w:type="auto"/>
        <w:tblInd w:w="0" w:type="dxa"/>
        <w:tblLayout w:type="fixed"/>
        <w:tblCellMar>
          <w:top w:w="0" w:type="dxa"/>
          <w:left w:w="108" w:type="dxa"/>
          <w:bottom w:w="0" w:type="dxa"/>
          <w:right w:w="108" w:type="dxa"/>
        </w:tblCellMar>
      </w:tblPr>
      <w:tblGrid>
        <w:gridCol w:w="700"/>
        <w:gridCol w:w="832"/>
        <w:gridCol w:w="6396"/>
        <w:gridCol w:w="656"/>
        <w:gridCol w:w="700"/>
      </w:tblGrid>
      <w:tr w14:paraId="27C31301">
        <w:tblPrEx>
          <w:tblCellMar>
            <w:top w:w="0" w:type="dxa"/>
            <w:left w:w="108" w:type="dxa"/>
            <w:bottom w:w="0" w:type="dxa"/>
            <w:right w:w="108" w:type="dxa"/>
          </w:tblCellMar>
        </w:tblPrEx>
        <w:trPr>
          <w:trHeight w:val="576"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079B192A">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序号</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72E2274">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产品名称</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2B420B01">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规格要求</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34B389DB">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数量</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0E2BC1EB">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单位</w:t>
            </w:r>
          </w:p>
        </w:tc>
      </w:tr>
      <w:tr w14:paraId="6B93E74C">
        <w:tblPrEx>
          <w:tblCellMar>
            <w:top w:w="0" w:type="dxa"/>
            <w:left w:w="108" w:type="dxa"/>
            <w:bottom w:w="0" w:type="dxa"/>
            <w:right w:w="108" w:type="dxa"/>
          </w:tblCellMar>
        </w:tblPrEx>
        <w:trPr>
          <w:trHeight w:val="1023"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04EBB77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68EEB91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礼堂椅</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16567E45">
            <w:pPr>
              <w:widowControl/>
              <w:jc w:val="left"/>
              <w:textAlignment w:val="center"/>
              <w:rPr>
                <w:rFonts w:hint="eastAsia" w:ascii="宋体" w:hAnsi="宋体" w:cs="宋体"/>
                <w:sz w:val="20"/>
                <w:szCs w:val="20"/>
              </w:rPr>
            </w:pPr>
            <w:r>
              <w:rPr>
                <w:rStyle w:val="6"/>
                <w:rFonts w:hint="default"/>
                <w:color w:val="auto"/>
                <w:lang w:bidi="ar"/>
              </w:rPr>
              <w:t>标准配置说明：</w:t>
            </w:r>
            <w:r>
              <w:rPr>
                <w:rStyle w:val="6"/>
                <w:rFonts w:hint="default"/>
                <w:color w:val="auto"/>
                <w:lang w:bidi="ar"/>
              </w:rPr>
              <w:br w:type="textWrapping"/>
            </w:r>
            <w:r>
              <w:rPr>
                <w:rStyle w:val="6"/>
                <w:rFonts w:hint="default"/>
                <w:color w:val="auto"/>
                <w:lang w:bidi="ar"/>
              </w:rPr>
              <w:t>1.座椅规格：座椅高度1030mm±3mm，座椅中心距560mm±3mm，座包打开780mm±3mm，座包基准点离地455mm±3mm。</w:t>
            </w:r>
            <w:r>
              <w:rPr>
                <w:rStyle w:val="6"/>
                <w:rFonts w:hint="default"/>
                <w:color w:val="auto"/>
                <w:lang w:bidi="ar"/>
              </w:rPr>
              <w:br w:type="textWrapping"/>
            </w:r>
            <w:r>
              <w:rPr>
                <w:rStyle w:val="6"/>
                <w:rFonts w:hint="default"/>
                <w:color w:val="auto"/>
                <w:lang w:bidi="ar"/>
              </w:rPr>
              <w:t>2.背绵：采用环保材料经模具一次性冷发泡成形的定型绵，内衬实木内板，海绵密度≥55kg/m3。</w:t>
            </w:r>
            <w:r>
              <w:rPr>
                <w:rStyle w:val="6"/>
                <w:rFonts w:hint="default"/>
                <w:color w:val="auto"/>
                <w:lang w:bidi="ar"/>
              </w:rPr>
              <w:br w:type="textWrapping"/>
            </w:r>
            <w:r>
              <w:rPr>
                <w:rStyle w:val="6"/>
                <w:rFonts w:hint="default"/>
                <w:color w:val="auto"/>
                <w:lang w:bidi="ar"/>
              </w:rPr>
              <w:t>3.</w:t>
            </w:r>
            <w:r>
              <w:rPr>
                <w:rStyle w:val="7"/>
                <w:rFonts w:hint="default"/>
                <w:color w:val="auto"/>
                <w:lang w:bidi="ar"/>
              </w:rPr>
              <w:t>座椅海绵</w:t>
            </w:r>
            <w:r>
              <w:rPr>
                <w:rStyle w:val="6"/>
                <w:rFonts w:hint="default"/>
                <w:color w:val="auto"/>
                <w:lang w:bidi="ar"/>
              </w:rPr>
              <w:t>：采用环保海绵原材料与钢架内框、框架，采用3mm厚钢板冲压焊接成型，蛇形辅力弹簧经模具一次性冷发泡成形的定型绵，回弹力≥38%，密度≥60kg/m3。内部蛇形辅力弹簧采用钢质材料，于座包钢架内进行均匀排列，其数量不少于4组，以更好的起到辅力回弹与定型保护作用。</w:t>
            </w:r>
            <w:r>
              <w:rPr>
                <w:rStyle w:val="6"/>
                <w:rFonts w:hint="default"/>
                <w:color w:val="auto"/>
                <w:lang w:bidi="ar"/>
              </w:rPr>
              <w:br w:type="textWrapping"/>
            </w:r>
            <w:r>
              <w:rPr>
                <w:rStyle w:val="6"/>
                <w:rFonts w:hint="default"/>
                <w:color w:val="auto"/>
                <w:lang w:bidi="ar"/>
              </w:rPr>
              <w:t>4.布料：采用麻绒布，耐磨、防褪色，手感舒适，长时使用无皱褶，无断裂、不起球。甲醛释放量为≤20mg/kg。</w:t>
            </w:r>
            <w:r>
              <w:rPr>
                <w:rStyle w:val="6"/>
                <w:rFonts w:hint="default"/>
                <w:color w:val="auto"/>
                <w:lang w:bidi="ar"/>
              </w:rPr>
              <w:br w:type="textWrapping"/>
            </w:r>
            <w:r>
              <w:rPr>
                <w:rStyle w:val="6"/>
                <w:rFonts w:hint="default"/>
                <w:color w:val="auto"/>
                <w:lang w:bidi="ar"/>
              </w:rPr>
              <w:t>5.站脚及扶手框架：采用铝合金材质，经模具高温压铸一体成型，表面经打磨、抛光、除蜡、清洗、喷专用闪光银铝合金金属漆、高温烤焗等后处理。站脚规格：高度为590±2mm，上端宽为420±2mm，下端宽为332±2mm，厚度为42±2mm。重量为4.36±0.5千克。</w:t>
            </w:r>
            <w:r>
              <w:rPr>
                <w:rStyle w:val="6"/>
                <w:rFonts w:hint="default"/>
                <w:color w:val="auto"/>
                <w:lang w:bidi="ar"/>
              </w:rPr>
              <w:br w:type="textWrapping"/>
            </w:r>
            <w:r>
              <w:rPr>
                <w:rStyle w:val="6"/>
                <w:rFonts w:hint="default"/>
                <w:color w:val="auto"/>
                <w:lang w:bidi="ar"/>
              </w:rPr>
              <w:t>6.扶手框架侧板：采用高密度</w:t>
            </w:r>
            <w:r>
              <w:rPr>
                <w:rStyle w:val="7"/>
                <w:rFonts w:hint="default"/>
                <w:color w:val="auto"/>
                <w:lang w:bidi="ar"/>
              </w:rPr>
              <w:t>中纤板</w:t>
            </w:r>
            <w:r>
              <w:rPr>
                <w:rStyle w:val="6"/>
                <w:rFonts w:hint="default"/>
                <w:color w:val="auto"/>
                <w:lang w:bidi="ar"/>
              </w:rPr>
              <w:t>刀切成型并面覆海绵和麻绒，甲醛释放量≤20mg/kg。并采用活动式扣钉，易于拆装。阻燃为B1级。</w:t>
            </w:r>
            <w:r>
              <w:rPr>
                <w:rStyle w:val="6"/>
                <w:rFonts w:hint="default"/>
                <w:color w:val="auto"/>
                <w:lang w:bidi="ar"/>
              </w:rPr>
              <w:br w:type="textWrapping"/>
            </w:r>
            <w:r>
              <w:rPr>
                <w:rStyle w:val="6"/>
                <w:rFonts w:hint="default"/>
                <w:color w:val="auto"/>
                <w:lang w:bidi="ar"/>
              </w:rPr>
              <w:t>7.扶手盖：采用铝合金经模具高温压铸成型，表面经打磨、抛光、除蜡、清洗、喷专用铁灰色铝合金金属漆、高温烤焗等后处理工序；面配实木装饰制作，木材含水率8%-12%，经过防虫、防腐、化学处理，一级环保油漆饰面，隐孔亚光涂饰。</w:t>
            </w:r>
            <w:r>
              <w:rPr>
                <w:rStyle w:val="6"/>
                <w:rFonts w:hint="default"/>
                <w:color w:val="auto"/>
                <w:lang w:bidi="ar"/>
              </w:rPr>
              <w:br w:type="textWrapping"/>
            </w:r>
            <w:r>
              <w:rPr>
                <w:rStyle w:val="6"/>
                <w:rFonts w:hint="default"/>
                <w:color w:val="auto"/>
                <w:lang w:bidi="ar"/>
              </w:rPr>
              <w:t>8.座外板：采用多层旋切木皮（胶合板）经模具高温热压成型，后做油漆饰面处理。做吸音孔处理，开孔率为5.1％。</w:t>
            </w:r>
            <w:r>
              <w:rPr>
                <w:rStyle w:val="6"/>
                <w:rFonts w:hint="default"/>
                <w:color w:val="auto"/>
                <w:lang w:bidi="ar"/>
              </w:rPr>
              <w:br w:type="textWrapping"/>
            </w:r>
            <w:r>
              <w:rPr>
                <w:rStyle w:val="6"/>
                <w:rFonts w:hint="default"/>
                <w:color w:val="auto"/>
                <w:lang w:bidi="ar"/>
              </w:rPr>
              <w:t>9.背外板：采用多层旋切木皮（胶合板）经模具高温热压成型，后做油漆饰面处理。背外板采用 “U”字型设计，并上下分成两块，上背外板规格为500±5mm*340±5mm*15±1mm，上背外板规格为500±5mm*360±5mm*15±1mm。</w:t>
            </w:r>
            <w:r>
              <w:rPr>
                <w:rStyle w:val="6"/>
                <w:rFonts w:hint="default"/>
                <w:color w:val="auto"/>
                <w:lang w:bidi="ar"/>
              </w:rPr>
              <w:br w:type="textWrapping"/>
            </w:r>
            <w:r>
              <w:rPr>
                <w:rStyle w:val="6"/>
                <w:rFonts w:hint="default"/>
                <w:color w:val="auto"/>
                <w:lang w:bidi="ar"/>
              </w:rPr>
              <w:t>10.横管托：采用铝合金压铸成型，横管与横管托连接处配有定位孔并用螺丝锁定。</w:t>
            </w:r>
            <w:r>
              <w:rPr>
                <w:rStyle w:val="6"/>
                <w:rFonts w:hint="default"/>
                <w:color w:val="auto"/>
                <w:lang w:bidi="ar"/>
              </w:rPr>
              <w:br w:type="textWrapping"/>
            </w:r>
            <w:r>
              <w:rPr>
                <w:rStyle w:val="6"/>
                <w:rFonts w:hint="default"/>
                <w:color w:val="auto"/>
                <w:lang w:bidi="ar"/>
              </w:rPr>
              <w:t>11.加强型连接结构（U型框）：在背包下面装有加强横管，角码组件采用加强横管结构，以保证座椅的牢固强度。椅包的受力点作用在横管上，较之传统座椅的受力点在椅背底部的海绵上更为耐用、牢固。</w:t>
            </w:r>
            <w:r>
              <w:rPr>
                <w:rStyle w:val="6"/>
                <w:rFonts w:hint="default"/>
                <w:color w:val="auto"/>
                <w:lang w:bidi="ar"/>
              </w:rPr>
              <w:br w:type="textWrapping"/>
            </w:r>
            <w:r>
              <w:rPr>
                <w:rStyle w:val="6"/>
                <w:rFonts w:hint="default"/>
                <w:color w:val="auto"/>
                <w:lang w:bidi="ar"/>
              </w:rPr>
              <w:t>12.座位号：按设计师排号在剧院地面指示，座位号在靠背上机绣 (具体字体型号、颜色及大小，以甲方实际需求为准)。</w:t>
            </w:r>
            <w:r>
              <w:rPr>
                <w:rStyle w:val="6"/>
                <w:rFonts w:hint="default"/>
                <w:color w:val="auto"/>
                <w:lang w:bidi="ar"/>
              </w:rPr>
              <w:br w:type="textWrapping"/>
            </w:r>
            <w:r>
              <w:rPr>
                <w:rStyle w:val="6"/>
                <w:rFonts w:hint="default"/>
                <w:color w:val="auto"/>
                <w:lang w:bidi="ar"/>
              </w:rPr>
              <w:t>13.后置杯架：采用金属材料表面经抛光、除锈、防氧化等工序处理后进行金属喷粉，安装方式牢固、使用方便。</w:t>
            </w:r>
            <w:r>
              <w:rPr>
                <w:rStyle w:val="6"/>
                <w:rFonts w:hint="default"/>
                <w:color w:val="auto"/>
                <w:lang w:bidi="ar"/>
              </w:rPr>
              <w:br w:type="textWrapping"/>
            </w:r>
            <w:r>
              <w:rPr>
                <w:rStyle w:val="6"/>
                <w:rFonts w:hint="default"/>
                <w:color w:val="auto"/>
                <w:lang w:bidi="ar"/>
              </w:rPr>
              <w:t>14.回复机构：椅座采用重力回复机构，回复轻灵，零机械故障，持久耐用。</w:t>
            </w:r>
            <w:r>
              <w:rPr>
                <w:rStyle w:val="6"/>
                <w:rFonts w:hint="default"/>
                <w:color w:val="auto"/>
                <w:lang w:bidi="ar"/>
              </w:rPr>
              <w:br w:type="textWrapping"/>
            </w:r>
            <w:r>
              <w:rPr>
                <w:rStyle w:val="6"/>
                <w:rFonts w:hint="default"/>
                <w:color w:val="auto"/>
                <w:lang w:bidi="ar"/>
              </w:rPr>
              <w:t>安装固定：采用不锈钢内六角膨胀螺丝，强力固定、不生锈；椅架与地面固定结构，螺栓帽设护盖系统，安全、无死角。</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2C1D44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325CB59">
            <w:pPr>
              <w:widowControl/>
              <w:jc w:val="center"/>
              <w:textAlignment w:val="center"/>
              <w:rPr>
                <w:rFonts w:hint="eastAsia" w:ascii="宋体" w:hAnsi="宋体" w:cs="宋体"/>
                <w:sz w:val="20"/>
                <w:szCs w:val="20"/>
              </w:rPr>
            </w:pPr>
            <w:r>
              <w:rPr>
                <w:rFonts w:hint="eastAsia" w:ascii="宋体" w:hAnsi="宋体" w:cs="宋体"/>
                <w:color w:val="000000"/>
                <w:sz w:val="24"/>
              </w:rPr>
              <w:t>把</w:t>
            </w:r>
          </w:p>
        </w:tc>
      </w:tr>
    </w:tbl>
    <w:p w14:paraId="2E319D1C">
      <w:pPr>
        <w:spacing w:line="360" w:lineRule="auto"/>
        <w:ind w:firstLine="480" w:firstLineChars="200"/>
        <w:contextualSpacing/>
        <w:rPr>
          <w:sz w:val="24"/>
        </w:rPr>
      </w:pPr>
    </w:p>
    <w:p w14:paraId="3BC4B9FE">
      <w:pPr>
        <w:spacing w:line="360" w:lineRule="auto"/>
        <w:ind w:firstLine="480" w:firstLineChars="200"/>
        <w:contextualSpacing/>
        <w:rPr>
          <w:sz w:val="24"/>
        </w:rPr>
      </w:pPr>
    </w:p>
    <w:p w14:paraId="356A2C23">
      <w:pPr>
        <w:spacing w:line="360" w:lineRule="auto"/>
        <w:ind w:firstLine="482" w:firstLineChars="200"/>
        <w:contextualSpacing/>
        <w:rPr>
          <w:b/>
          <w:bCs/>
          <w:sz w:val="24"/>
        </w:rPr>
      </w:pPr>
      <w:r>
        <w:rPr>
          <w:rFonts w:hint="eastAsia"/>
          <w:b/>
          <w:bCs/>
          <w:sz w:val="24"/>
        </w:rPr>
        <w:t>2.</w:t>
      </w:r>
      <w:r>
        <w:rPr>
          <w:b/>
          <w:bCs/>
          <w:sz w:val="24"/>
        </w:rPr>
        <w:t>需执行的国家相关标准、行业标准、地方标准或者其他标准、规范</w:t>
      </w:r>
    </w:p>
    <w:p w14:paraId="579C5CDE">
      <w:pPr>
        <w:spacing w:line="360" w:lineRule="auto"/>
        <w:ind w:firstLine="480" w:firstLineChars="200"/>
        <w:contextualSpacing/>
        <w:rPr>
          <w:sz w:val="24"/>
        </w:rPr>
      </w:pPr>
      <w:r>
        <w:rPr>
          <w:rFonts w:hint="eastAsia" w:ascii="宋体" w:hAnsi="宋体" w:cs="宋体"/>
          <w:color w:val="000000"/>
          <w:sz w:val="24"/>
        </w:rPr>
        <w:t>供应商所提供的家具应符合本要求</w:t>
      </w:r>
    </w:p>
    <w:p w14:paraId="0BB530F3">
      <w:pPr>
        <w:pStyle w:val="5"/>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GB    18580 《室内装饰装修材料 人造板及其制品中甲醛释放限量》</w:t>
      </w:r>
    </w:p>
    <w:p w14:paraId="114A6D93">
      <w:pPr>
        <w:pStyle w:val="5"/>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GB    18584 《室内装饰装修材料 木家具中有害物质限量》</w:t>
      </w:r>
    </w:p>
    <w:p w14:paraId="0235826D">
      <w:pPr>
        <w:pStyle w:val="5"/>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GB/T  3324  《木家具通用技术条件》</w:t>
      </w:r>
    </w:p>
    <w:p w14:paraId="025E9BBE">
      <w:pPr>
        <w:pStyle w:val="5"/>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GB/T  3325  《金属家具 通用技术条件》</w:t>
      </w:r>
    </w:p>
    <w:p w14:paraId="434BE073">
      <w:pPr>
        <w:pStyle w:val="5"/>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GB/T  9846  《胶合板》</w:t>
      </w:r>
    </w:p>
    <w:p w14:paraId="701B75DE">
      <w:pPr>
        <w:pStyle w:val="5"/>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GB/T  39600《人造板及其制品甲醛释放量分级》</w:t>
      </w:r>
    </w:p>
    <w:p w14:paraId="6C2FD7F3">
      <w:pPr>
        <w:pStyle w:val="5"/>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GB/T  11718《中密度纤维板》</w:t>
      </w:r>
    </w:p>
    <w:p w14:paraId="29FE7B03">
      <w:pPr>
        <w:pStyle w:val="5"/>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GB/T  10802《通用软质聚醚型聚酯氨酯泡沫塑料》</w:t>
      </w:r>
    </w:p>
    <w:p w14:paraId="59E86237">
      <w:pPr>
        <w:pStyle w:val="5"/>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GB/T  10807《软质泡沫聚合材料硬度的测定（压陷法）》</w:t>
      </w:r>
    </w:p>
    <w:p w14:paraId="4984DDEB">
      <w:pPr>
        <w:pStyle w:val="5"/>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QB/T  2602   《影剧院公共座椅》</w:t>
      </w:r>
    </w:p>
    <w:p w14:paraId="0E73C1CE">
      <w:pPr>
        <w:pStyle w:val="5"/>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QB/T  2280  《办公家具 办公椅》</w:t>
      </w:r>
    </w:p>
    <w:p w14:paraId="28163D6D">
      <w:pPr>
        <w:spacing w:line="360" w:lineRule="auto"/>
        <w:ind w:firstLine="480" w:firstLineChars="200"/>
        <w:contextualSpacing/>
        <w:rPr>
          <w:sz w:val="24"/>
        </w:rPr>
      </w:pPr>
      <w:r>
        <w:rPr>
          <w:rFonts w:hint="eastAsia" w:ascii="宋体" w:hAnsi="宋体" w:cs="宋体"/>
          <w:color w:val="000000"/>
          <w:sz w:val="24"/>
        </w:rPr>
        <w:t>注：按照最新标准执行。</w:t>
      </w:r>
    </w:p>
    <w:p w14:paraId="1B694AFD">
      <w:pPr>
        <w:spacing w:line="360" w:lineRule="auto"/>
        <w:contextualSpacing/>
        <w:rPr>
          <w:sz w:val="24"/>
        </w:rPr>
      </w:pPr>
      <w:r>
        <w:rPr>
          <w:sz w:val="24"/>
        </w:rPr>
        <w:t>2. 服务内容及要求</w:t>
      </w:r>
    </w:p>
    <w:p w14:paraId="6A4C196B">
      <w:pPr>
        <w:pStyle w:val="5"/>
        <w:adjustRightInd w:val="0"/>
        <w:spacing w:line="360" w:lineRule="auto"/>
        <w:ind w:firstLine="424" w:firstLineChars="177"/>
        <w:contextualSpacing/>
        <w:jc w:val="left"/>
        <w:rPr>
          <w:rFonts w:hint="eastAsia" w:ascii="宋体" w:hAnsi="宋体" w:cs="宋体"/>
          <w:color w:val="000000"/>
          <w:kern w:val="0"/>
          <w:sz w:val="24"/>
          <w:lang w:bidi="ar"/>
        </w:rPr>
      </w:pPr>
      <w:r>
        <w:rPr>
          <w:rFonts w:hint="eastAsia" w:ascii="宋体" w:hAnsi="宋体" w:cs="宋体"/>
          <w:color w:val="000000"/>
          <w:kern w:val="0"/>
          <w:sz w:val="24"/>
          <w:lang w:bidi="ar"/>
        </w:rPr>
        <w:t>2.1项目整体实施方案</w:t>
      </w:r>
    </w:p>
    <w:p w14:paraId="7DE7E27B">
      <w:pPr>
        <w:pStyle w:val="5"/>
        <w:adjustRightInd w:val="0"/>
        <w:spacing w:line="360" w:lineRule="auto"/>
        <w:ind w:firstLine="424" w:firstLineChars="177"/>
        <w:contextualSpacing/>
        <w:jc w:val="left"/>
        <w:rPr>
          <w:rFonts w:hint="eastAsia" w:ascii="宋体" w:hAnsi="宋体" w:cs="宋体"/>
          <w:color w:val="000000"/>
          <w:kern w:val="0"/>
          <w:sz w:val="24"/>
          <w:lang w:bidi="ar"/>
        </w:rPr>
      </w:pPr>
      <w:r>
        <w:rPr>
          <w:rFonts w:hint="eastAsia" w:ascii="宋体" w:hAnsi="宋体" w:cs="宋体"/>
          <w:color w:val="000000"/>
          <w:kern w:val="0"/>
          <w:sz w:val="24"/>
          <w:lang w:bidi="ar"/>
        </w:rPr>
        <w:t>方案需包含项目管理体系、实施计划、项目进度、交货安排、进度保障措施等内容。</w:t>
      </w:r>
    </w:p>
    <w:p w14:paraId="13E97D61">
      <w:pPr>
        <w:pStyle w:val="5"/>
        <w:adjustRightInd w:val="0"/>
        <w:spacing w:line="360" w:lineRule="auto"/>
        <w:ind w:firstLine="424" w:firstLineChars="177"/>
        <w:contextualSpacing/>
        <w:jc w:val="left"/>
        <w:rPr>
          <w:rFonts w:hint="eastAsia" w:ascii="宋体" w:hAnsi="宋体" w:cs="宋体"/>
          <w:color w:val="000000"/>
          <w:kern w:val="0"/>
          <w:sz w:val="24"/>
          <w:lang w:bidi="ar"/>
        </w:rPr>
      </w:pPr>
      <w:r>
        <w:rPr>
          <w:rFonts w:hint="eastAsia" w:ascii="宋体" w:hAnsi="宋体" w:cs="宋体"/>
          <w:color w:val="000000"/>
          <w:kern w:val="0"/>
          <w:sz w:val="24"/>
          <w:lang w:bidi="ar"/>
        </w:rPr>
        <w:t>2.2供货方案</w:t>
      </w:r>
    </w:p>
    <w:p w14:paraId="62203655">
      <w:pPr>
        <w:pStyle w:val="5"/>
        <w:adjustRightInd w:val="0"/>
        <w:spacing w:line="360" w:lineRule="auto"/>
        <w:ind w:firstLine="424" w:firstLineChars="177"/>
        <w:contextualSpacing/>
        <w:jc w:val="left"/>
        <w:rPr>
          <w:rFonts w:ascii="宋体" w:hAnsi="宋体" w:cs="宋体"/>
          <w:color w:val="000000"/>
          <w:kern w:val="0"/>
          <w:sz w:val="24"/>
          <w:lang w:bidi="ar"/>
        </w:rPr>
      </w:pPr>
      <w:r>
        <w:rPr>
          <w:rFonts w:ascii="宋体" w:hAnsi="宋体" w:cs="宋体"/>
          <w:color w:val="000000"/>
          <w:kern w:val="0"/>
          <w:sz w:val="24"/>
          <w:lang w:bidi="ar"/>
        </w:rPr>
        <w:t xml:space="preserve">为确保本项目产品供应的高效性、稳定性与适配性，投标人需紧扣本项目实际需求， </w:t>
      </w:r>
    </w:p>
    <w:p w14:paraId="6ACAB927">
      <w:pPr>
        <w:pStyle w:val="5"/>
        <w:adjustRightInd w:val="0"/>
        <w:spacing w:line="360" w:lineRule="auto"/>
        <w:ind w:firstLine="0" w:firstLineChars="0"/>
        <w:contextualSpacing/>
        <w:jc w:val="left"/>
        <w:rPr>
          <w:rFonts w:ascii="宋体" w:hAnsi="宋体" w:cs="宋体"/>
          <w:color w:val="000000"/>
          <w:kern w:val="0"/>
          <w:sz w:val="24"/>
          <w:lang w:bidi="ar"/>
        </w:rPr>
      </w:pPr>
      <w:r>
        <w:rPr>
          <w:rFonts w:ascii="宋体" w:hAnsi="宋体" w:cs="宋体"/>
          <w:color w:val="000000"/>
          <w:kern w:val="0"/>
          <w:sz w:val="24"/>
          <w:lang w:bidi="ar"/>
        </w:rPr>
        <w:t>从本地化应急服务响应出发，深入剖析供货环节的重难点，提出切实可行的应对措施</w:t>
      </w:r>
      <w:r>
        <w:rPr>
          <w:rFonts w:hint="eastAsia" w:ascii="宋体" w:hAnsi="宋体" w:cs="宋体"/>
          <w:color w:val="000000"/>
          <w:kern w:val="0"/>
          <w:sz w:val="24"/>
          <w:lang w:bidi="ar"/>
        </w:rPr>
        <w:t>，</w:t>
      </w:r>
      <w:r>
        <w:rPr>
          <w:rFonts w:ascii="宋体" w:hAnsi="宋体" w:cs="宋体"/>
          <w:color w:val="000000"/>
          <w:kern w:val="0"/>
          <w:sz w:val="24"/>
          <w:lang w:bidi="ar"/>
        </w:rPr>
        <w:t>制定专项供应保障计划。同时，考虑备品备件的保障措施，供应产品的适配验证保障能力和供应链协同保障等方面供货保障。</w:t>
      </w:r>
    </w:p>
    <w:p w14:paraId="7284C58B">
      <w:pPr>
        <w:spacing w:line="360" w:lineRule="auto"/>
        <w:contextualSpacing/>
        <w:rPr>
          <w:i/>
          <w:iCs/>
          <w:sz w:val="24"/>
        </w:rPr>
      </w:pPr>
      <w:r>
        <w:rPr>
          <w:sz w:val="24"/>
        </w:rPr>
        <w:t>3. 验收标准</w:t>
      </w:r>
    </w:p>
    <w:p w14:paraId="2CDCF562">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按本招标文件的要求、投标文件承诺、合同及质量检验机构出具的最终检验报告作为验收中标产品的依据。 </w:t>
      </w:r>
    </w:p>
    <w:p w14:paraId="7607310D">
      <w:pPr>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rPr>
        <w:t>1、所供产品</w:t>
      </w:r>
      <w:r>
        <w:rPr>
          <w:rFonts w:hint="eastAsia" w:ascii="宋体" w:hAnsi="宋体" w:cs="宋体"/>
          <w:color w:val="000000"/>
          <w:sz w:val="24"/>
          <w:highlight w:val="none"/>
        </w:rPr>
        <w:t xml:space="preserve">的规格、数量符合招标文件中标人投标承诺及采购合同约定的要求。 </w:t>
      </w:r>
    </w:p>
    <w:p w14:paraId="20483B52">
      <w:pPr>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 xml:space="preserve">2、所供产品的材质、颜色符合招标文件中标人投标承诺及采购合同约定的要求。 </w:t>
      </w:r>
    </w:p>
    <w:p w14:paraId="2912647C">
      <w:pPr>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 xml:space="preserve">3、所供产品的外观完好，无严重碰撞、表皮脱落、五金件生锈等明显瑕疵。 </w:t>
      </w:r>
    </w:p>
    <w:p w14:paraId="73BC0FC3">
      <w:pPr>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 xml:space="preserve">4、所供产品结构牢固，无安全隐患。 </w:t>
      </w:r>
    </w:p>
    <w:p w14:paraId="47D709CF">
      <w:pPr>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 xml:space="preserve">5、所有产品均已运输至指定地点，并安装调试完毕。 </w:t>
      </w:r>
    </w:p>
    <w:p w14:paraId="3E759BF1">
      <w:pPr>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 xml:space="preserve">6、中标人投标承诺及采购合同约定的附件、工具、技术资料等齐全；提供产品使用说明书、合格证。 </w:t>
      </w:r>
    </w:p>
    <w:p w14:paraId="1EAA3546">
      <w:pPr>
        <w:spacing w:line="360" w:lineRule="auto"/>
        <w:ind w:firstLine="480" w:firstLineChars="200"/>
        <w:jc w:val="left"/>
        <w:rPr>
          <w:rFonts w:ascii="宋体" w:hAnsi="宋体" w:cs="宋体"/>
          <w:color w:val="000000"/>
          <w:sz w:val="24"/>
        </w:rPr>
      </w:pPr>
      <w:r>
        <w:rPr>
          <w:rFonts w:hint="eastAsia" w:ascii="宋体" w:hAnsi="宋体" w:cs="宋体"/>
          <w:color w:val="000000"/>
          <w:sz w:val="24"/>
        </w:rPr>
        <w:t>7、本项目所有家具原辅材料须满足相关国标，若不同标准要求出现冲突时，以最严格的标准为准。</w:t>
      </w:r>
    </w:p>
    <w:p w14:paraId="29249E3F">
      <w:pPr>
        <w:spacing w:line="360" w:lineRule="auto"/>
        <w:ind w:firstLine="480" w:firstLineChars="200"/>
        <w:jc w:val="left"/>
        <w:rPr>
          <w:rFonts w:ascii="宋体" w:hAnsi="宋体" w:cs="宋体"/>
          <w:color w:val="000000"/>
          <w:sz w:val="24"/>
        </w:rPr>
      </w:pPr>
      <w:r>
        <w:rPr>
          <w:rFonts w:hint="eastAsia" w:ascii="宋体" w:hAnsi="宋体" w:cs="宋体"/>
          <w:color w:val="000000"/>
          <w:sz w:val="24"/>
        </w:rPr>
        <w:t>8、采购人将对家具生产情况进行监督检查，有权在中标人生产、安装、验收等阶段委托</w:t>
      </w:r>
      <w:r>
        <w:rPr>
          <w:rFonts w:hint="eastAsia" w:ascii="宋体" w:hAnsi="宋体" w:cs="宋体"/>
          <w:color w:val="000000"/>
          <w:kern w:val="0"/>
          <w:sz w:val="24"/>
          <w:lang w:bidi="ar"/>
        </w:rPr>
        <w:t>国家认可的认证（检测）机构</w:t>
      </w:r>
      <w:r>
        <w:rPr>
          <w:rFonts w:hint="eastAsia" w:ascii="宋体" w:hAnsi="宋体" w:cs="宋体"/>
          <w:color w:val="000000"/>
          <w:sz w:val="24"/>
        </w:rPr>
        <w:t xml:space="preserve">对本项目原辅材料和成品进行抽样检测，检测费用由中标人承担。不符合招标文件、投标文件、采购合同和相关标准要求的将不予验收，检测不合格的，采购人将拒绝验收，且全部家具做返厂处理，所发生费用由中标人承担并赔偿采购人的所有损失。 </w:t>
      </w:r>
    </w:p>
    <w:p w14:paraId="176B28CE">
      <w:pPr>
        <w:widowControl/>
        <w:spacing w:line="360" w:lineRule="auto"/>
        <w:ind w:firstLine="480" w:firstLineChars="200"/>
        <w:contextualSpacing/>
        <w:jc w:val="left"/>
        <w:rPr>
          <w:b/>
          <w:sz w:val="24"/>
        </w:rPr>
      </w:pPr>
      <w:r>
        <w:rPr>
          <w:rFonts w:hint="eastAsia" w:ascii="宋体" w:hAnsi="宋体" w:cs="宋体"/>
          <w:color w:val="000000"/>
          <w:sz w:val="24"/>
        </w:rPr>
        <w:t xml:space="preserve">9、供需双方按照采购人的要求及双方确认的方案，根据合同及附件规定的技术参数进行验收。 </w:t>
      </w:r>
    </w:p>
    <w:p w14:paraId="4DC919A1">
      <w:pPr>
        <w:spacing w:line="360" w:lineRule="auto"/>
        <w:rPr>
          <w:rFonts w:hint="eastAsia" w:ascii="宋体" w:hAnsi="宋体" w:cs="宋体"/>
          <w:sz w:val="24"/>
        </w:rPr>
      </w:pPr>
      <w:r>
        <w:rPr>
          <w:rFonts w:hint="eastAsia" w:ascii="宋体" w:hAnsi="宋体" w:cs="宋体"/>
          <w:sz w:val="24"/>
        </w:rPr>
        <w:t>4.环保专项承诺:</w:t>
      </w:r>
    </w:p>
    <w:p w14:paraId="0C98C258">
      <w:pPr>
        <w:spacing w:line="360" w:lineRule="auto"/>
        <w:ind w:firstLine="482" w:firstLineChars="200"/>
        <w:rPr>
          <w:rFonts w:hint="eastAsia" w:ascii="宋体" w:hAnsi="宋体" w:cs="宋体"/>
          <w:sz w:val="24"/>
        </w:rPr>
      </w:pPr>
      <w:r>
        <w:rPr>
          <w:rFonts w:hint="eastAsia" w:ascii="宋体" w:hAnsi="宋体" w:cs="宋体"/>
          <w:b/>
          <w:bCs/>
          <w:sz w:val="24"/>
        </w:rPr>
        <w:t>★</w:t>
      </w:r>
      <w:r>
        <w:rPr>
          <w:rFonts w:hint="eastAsia" w:ascii="宋体" w:hAnsi="宋体" w:cs="宋体"/>
          <w:sz w:val="24"/>
        </w:rPr>
        <w:t>（一）根据《北京市财政局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w:t>
      </w:r>
      <w:r>
        <w:rPr>
          <w:rFonts w:hint="eastAsia" w:ascii="宋体" w:hAnsi="宋体" w:cs="宋体"/>
          <w:b/>
          <w:bCs/>
          <w:sz w:val="24"/>
        </w:rPr>
        <w:t>参与本项目的投标人应当执行符合本市和国家的VOCs含量限值标准，并按招标文件规定格式提供专项承诺，未提供该承诺的按照无效投标处理。</w:t>
      </w:r>
      <w:r>
        <w:rPr>
          <w:rFonts w:hint="eastAsia" w:ascii="宋体" w:hAnsi="宋体" w:cs="宋体"/>
          <w:sz w:val="24"/>
        </w:rPr>
        <w:t xml:space="preserve"> </w:t>
      </w:r>
    </w:p>
    <w:p w14:paraId="4917A872">
      <w:pPr>
        <w:spacing w:line="360" w:lineRule="auto"/>
        <w:ind w:firstLine="480" w:firstLineChars="200"/>
        <w:rPr>
          <w:rFonts w:hint="eastAsia" w:ascii="宋体" w:hAnsi="宋体" w:cs="宋体"/>
          <w:sz w:val="24"/>
        </w:rPr>
      </w:pPr>
      <w:r>
        <w:rPr>
          <w:rFonts w:hint="eastAsia" w:ascii="宋体" w:hAnsi="宋体" w:cs="宋体"/>
          <w:sz w:val="24"/>
        </w:rPr>
        <w:t>（二）根据《北京市财政局 北京市生态环境局关于政府采购推广使用低挥发性有机化合物（VOCs）有关事项的通知》（京财采购〔2020〕2381 号）文件的规定，政府采购货物、工程和服务项目中涉及涂料、胶黏剂、油墨、清洗剂等挥发性有机物产品的，属于推荐性标准的，应在招标文件中载明优惠幅度，以及评审标准和方法等，以体现优先采购。本项采购中，低挥发性有机化合物含量涂料产品技术要求（GB/T38597-2020）属于国家推荐性标准，投标人可承诺在生产过程中使用的相关材料符合本市和国家相关政策。</w:t>
      </w:r>
      <w:r>
        <w:rPr>
          <w:rFonts w:hint="eastAsia" w:ascii="宋体" w:hAnsi="宋体" w:cs="宋体"/>
          <w:b/>
          <w:bCs/>
          <w:sz w:val="24"/>
        </w:rPr>
        <w:t>本项承诺为非实质响应条款，投标人根据实际情况自愿提供。</w:t>
      </w:r>
    </w:p>
    <w:p w14:paraId="0F97462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420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570"/>
    </w:pPr>
    <w:rPr>
      <w:sz w:val="24"/>
    </w:rPr>
  </w:style>
  <w:style w:type="paragraph" w:styleId="5">
    <w:name w:val="List Paragraph"/>
    <w:basedOn w:val="1"/>
    <w:qFormat/>
    <w:uiPriority w:val="34"/>
    <w:pPr>
      <w:ind w:firstLine="420" w:firstLineChars="200"/>
    </w:pPr>
    <w:rPr>
      <w:rFonts w:ascii="Calibri" w:hAnsi="Calibri"/>
      <w:szCs w:val="22"/>
    </w:rPr>
  </w:style>
  <w:style w:type="character" w:customStyle="1" w:styleId="6">
    <w:name w:val="font21"/>
    <w:qFormat/>
    <w:uiPriority w:val="0"/>
    <w:rPr>
      <w:rFonts w:hint="eastAsia" w:ascii="宋体" w:hAnsi="宋体" w:eastAsia="宋体" w:cs="宋体"/>
      <w:color w:val="000000"/>
      <w:sz w:val="20"/>
      <w:szCs w:val="20"/>
      <w:u w:val="none"/>
    </w:rPr>
  </w:style>
  <w:style w:type="character" w:customStyle="1" w:styleId="7">
    <w:name w:val="font41"/>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2025-08-12T06:09:07Z</dcterms:created>
  <dc:creator>zhhx</dc:creator>
  <cp:lastModifiedBy>高</cp:lastModifiedBy>
  <dcterms:modified xsi:type="dcterms:W3CDTF">2025-08-12T06:09:43Z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eyJoZGlkIjoiOTEwNzllZDM2ZTdkZjM5ZWQ4N2U5NWIyN2UyZWUyZGYiLCJ1c2VySWQiOiI0NjYwNDMyMDYifQ==</vt:lpwstr>
  </property>
  <property fmtid="{D5CDD505-2E9C-101B-9397-08002B2CF9AE}" pid="4" name="ICV">
    <vt:lpwstr>8F4C62BE330747D794ECE9F8E5585403_12</vt:lpwstr>
  </property>
</Properties>
</file>