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4B7C0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采购需求</w:t>
      </w:r>
    </w:p>
    <w:p w14:paraId="06EA37E4">
      <w:pPr>
        <w:spacing w:line="360" w:lineRule="auto"/>
        <w:contextualSpacing/>
        <w:rPr>
          <w:sz w:val="24"/>
        </w:rPr>
      </w:pPr>
    </w:p>
    <w:p w14:paraId="626ED1F6">
      <w:pPr>
        <w:pStyle w:val="4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采购标的</w:t>
      </w:r>
    </w:p>
    <w:p w14:paraId="5079A3AE"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>1. 采购标的</w:t>
      </w:r>
    </w:p>
    <w:tbl>
      <w:tblPr>
        <w:tblStyle w:val="2"/>
        <w:tblW w:w="9001" w:type="dxa"/>
        <w:tblInd w:w="12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950"/>
        <w:gridCol w:w="900"/>
        <w:gridCol w:w="900"/>
        <w:gridCol w:w="2175"/>
        <w:gridCol w:w="2175"/>
      </w:tblGrid>
      <w:tr w14:paraId="07A9464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01" w:type="dxa"/>
          </w:tcPr>
          <w:p w14:paraId="658937D4">
            <w:pPr>
              <w:jc w:val="left"/>
            </w:pPr>
            <w:r>
              <w:rPr>
                <w:b/>
                <w:bCs/>
              </w:rPr>
              <w:t>序号</w:t>
            </w:r>
          </w:p>
        </w:tc>
        <w:tc>
          <w:tcPr>
            <w:tcW w:w="1950" w:type="dxa"/>
          </w:tcPr>
          <w:p w14:paraId="5C2FB640">
            <w:pPr>
              <w:jc w:val="left"/>
            </w:pPr>
            <w:r>
              <w:rPr>
                <w:b/>
                <w:bCs/>
              </w:rPr>
              <w:t>货物或服务名称</w:t>
            </w:r>
          </w:p>
        </w:tc>
        <w:tc>
          <w:tcPr>
            <w:tcW w:w="900" w:type="dxa"/>
          </w:tcPr>
          <w:p w14:paraId="2D6FA738">
            <w:pPr>
              <w:jc w:val="left"/>
            </w:pPr>
            <w:r>
              <w:rPr>
                <w:b/>
                <w:bCs/>
              </w:rPr>
              <w:t>数量</w:t>
            </w:r>
          </w:p>
        </w:tc>
        <w:tc>
          <w:tcPr>
            <w:tcW w:w="900" w:type="dxa"/>
          </w:tcPr>
          <w:p w14:paraId="2F6ECD63">
            <w:pPr>
              <w:jc w:val="left"/>
            </w:pPr>
            <w:r>
              <w:rPr>
                <w:b/>
                <w:bCs/>
              </w:rPr>
              <w:t>单位</w:t>
            </w:r>
          </w:p>
        </w:tc>
        <w:tc>
          <w:tcPr>
            <w:tcW w:w="2175" w:type="dxa"/>
          </w:tcPr>
          <w:p w14:paraId="48CA11BA">
            <w:pPr>
              <w:jc w:val="left"/>
            </w:pPr>
            <w:r>
              <w:rPr>
                <w:b/>
                <w:bCs/>
              </w:rPr>
              <w:t>备注（核心产品）</w:t>
            </w:r>
          </w:p>
        </w:tc>
        <w:tc>
          <w:tcPr>
            <w:tcW w:w="2175" w:type="dxa"/>
          </w:tcPr>
          <w:p w14:paraId="0B16E058">
            <w:pPr>
              <w:jc w:val="left"/>
            </w:pPr>
            <w:r>
              <w:rPr>
                <w:b/>
                <w:bCs/>
              </w:rPr>
              <w:t>是否接受进口产品</w:t>
            </w:r>
          </w:p>
        </w:tc>
      </w:tr>
      <w:tr w14:paraId="55F68ED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01" w:type="dxa"/>
          </w:tcPr>
          <w:p w14:paraId="03FA792D">
            <w:pPr>
              <w:jc w:val="left"/>
            </w:pPr>
            <w:r>
              <w:t>1</w:t>
            </w:r>
          </w:p>
        </w:tc>
        <w:tc>
          <w:tcPr>
            <w:tcW w:w="1950" w:type="dxa"/>
          </w:tcPr>
          <w:p w14:paraId="3B07633A">
            <w:pPr>
              <w:jc w:val="left"/>
            </w:pPr>
            <w:r>
              <w:rPr>
                <w:rFonts w:hint="eastAsia"/>
              </w:rPr>
              <w:t>高性能服务器</w:t>
            </w:r>
          </w:p>
        </w:tc>
        <w:tc>
          <w:tcPr>
            <w:tcW w:w="900" w:type="dxa"/>
          </w:tcPr>
          <w:p w14:paraId="25768489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</w:tcPr>
          <w:p w14:paraId="4EC734CA">
            <w:pPr>
              <w:jc w:val="left"/>
            </w:pPr>
            <w:r>
              <w:t>台</w:t>
            </w:r>
          </w:p>
        </w:tc>
        <w:tc>
          <w:tcPr>
            <w:tcW w:w="2175" w:type="dxa"/>
          </w:tcPr>
          <w:p w14:paraId="4B410BFD">
            <w:pPr>
              <w:jc w:val="left"/>
            </w:pPr>
            <w:r>
              <w:t>是</w:t>
            </w:r>
          </w:p>
        </w:tc>
        <w:tc>
          <w:tcPr>
            <w:tcW w:w="2175" w:type="dxa"/>
          </w:tcPr>
          <w:p w14:paraId="1975C440">
            <w:pPr>
              <w:jc w:val="left"/>
            </w:pPr>
            <w:r>
              <w:t>否</w:t>
            </w:r>
          </w:p>
        </w:tc>
      </w:tr>
      <w:tr w14:paraId="296E332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01" w:type="dxa"/>
          </w:tcPr>
          <w:p w14:paraId="6ED27B6F">
            <w:pPr>
              <w:jc w:val="left"/>
            </w:pPr>
            <w:r>
              <w:t>2</w:t>
            </w:r>
          </w:p>
        </w:tc>
        <w:tc>
          <w:tcPr>
            <w:tcW w:w="1950" w:type="dxa"/>
          </w:tcPr>
          <w:p w14:paraId="1BD64D68">
            <w:pPr>
              <w:jc w:val="left"/>
            </w:pPr>
            <w:r>
              <w:rPr>
                <w:rFonts w:hint="eastAsia"/>
              </w:rPr>
              <w:t>服务器互联设备</w:t>
            </w:r>
          </w:p>
        </w:tc>
        <w:tc>
          <w:tcPr>
            <w:tcW w:w="900" w:type="dxa"/>
          </w:tcPr>
          <w:p w14:paraId="076460D5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</w:tcPr>
          <w:p w14:paraId="30E37AE2">
            <w:pPr>
              <w:jc w:val="left"/>
            </w:pPr>
            <w:r>
              <w:t>台</w:t>
            </w:r>
          </w:p>
        </w:tc>
        <w:tc>
          <w:tcPr>
            <w:tcW w:w="2175" w:type="dxa"/>
          </w:tcPr>
          <w:p w14:paraId="21EE1016">
            <w:pPr>
              <w:jc w:val="left"/>
            </w:pPr>
            <w:r>
              <w:t>否</w:t>
            </w:r>
          </w:p>
        </w:tc>
        <w:tc>
          <w:tcPr>
            <w:tcW w:w="2175" w:type="dxa"/>
          </w:tcPr>
          <w:p w14:paraId="44EBE99E">
            <w:pPr>
              <w:jc w:val="left"/>
            </w:pPr>
            <w:r>
              <w:t>否</w:t>
            </w:r>
          </w:p>
        </w:tc>
      </w:tr>
    </w:tbl>
    <w:p w14:paraId="03AC65F0">
      <w:pPr>
        <w:spacing w:line="360" w:lineRule="auto"/>
        <w:contextualSpacing/>
        <w:rPr>
          <w:bCs/>
          <w:sz w:val="24"/>
        </w:rPr>
      </w:pPr>
    </w:p>
    <w:p w14:paraId="07CF5FB7"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>2. 项目背景</w:t>
      </w:r>
    </w:p>
    <w:p w14:paraId="39979372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当前人工智能（AI）、深度学习、大数据分析等技术成为高等教育与科研核心方向，此类领域需高密度并行计算能力，而传统 CPU 服务器无法满足学校所需的AI应用的高效算力需求。采购具备高性能计算能力的服务器成为关键。</w:t>
      </w:r>
    </w:p>
    <w:p w14:paraId="07005D73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新购的高性能服务器主要用于以下几个方面：</w:t>
      </w:r>
    </w:p>
    <w:p w14:paraId="340DC0DF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1、为人工智能与语言认知科学研究提供实验计算资源；</w:t>
      </w:r>
    </w:p>
    <w:p w14:paraId="0EACF86A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2、多语种国际传播人才培养提供基础算力支撑；</w:t>
      </w:r>
    </w:p>
    <w:p w14:paraId="1CC2C656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3、全面提升学生的融媒体内容生产能力，促进国际传播实践教学改革，提高外语专业学生的就业竞争力；</w:t>
      </w:r>
    </w:p>
    <w:p w14:paraId="773FA42F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4、全面培养学生人工智能素养，构建“外语+AI”复合型人才核心竞争力，深度融合语言学科与前沿技术，助力我校智能化转型。</w:t>
      </w:r>
    </w:p>
    <w:p w14:paraId="5F8AA232">
      <w:pPr>
        <w:pStyle w:val="4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商务要求</w:t>
      </w:r>
    </w:p>
    <w:p w14:paraId="647D5392">
      <w:pPr>
        <w:spacing w:line="360" w:lineRule="auto"/>
        <w:contextualSpacing/>
        <w:rPr>
          <w:i/>
          <w:sz w:val="24"/>
        </w:rPr>
      </w:pPr>
      <w:r>
        <w:rPr>
          <w:sz w:val="24"/>
        </w:rPr>
        <w:t>1. 交付的时间和地点</w:t>
      </w:r>
    </w:p>
    <w:p w14:paraId="36FBE819">
      <w:pPr>
        <w:numPr>
          <w:ilvl w:val="0"/>
          <w:numId w:val="2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交货时间：签订合同后30日内</w:t>
      </w:r>
    </w:p>
    <w:p w14:paraId="7903DBAC">
      <w:pPr>
        <w:numPr>
          <w:ilvl w:val="0"/>
          <w:numId w:val="2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地点：北京第二外国语学院</w:t>
      </w:r>
    </w:p>
    <w:p w14:paraId="240F5876">
      <w:pPr>
        <w:spacing w:line="360" w:lineRule="auto"/>
        <w:contextualSpacing/>
        <w:rPr>
          <w:sz w:val="24"/>
        </w:rPr>
      </w:pPr>
      <w:r>
        <w:rPr>
          <w:sz w:val="24"/>
        </w:rPr>
        <w:t>2. 付款条件</w:t>
      </w:r>
    </w:p>
    <w:p w14:paraId="7BC16DD2">
      <w:pPr>
        <w:numPr>
          <w:ilvl w:val="0"/>
          <w:numId w:val="3"/>
        </w:numPr>
        <w:spacing w:line="360" w:lineRule="auto"/>
        <w:contextualSpacing/>
        <w:rPr>
          <w:bCs/>
          <w:sz w:val="24"/>
        </w:rPr>
      </w:pPr>
      <w:r>
        <w:rPr>
          <w:rFonts w:hint="eastAsia"/>
          <w:bCs/>
          <w:sz w:val="24"/>
        </w:rPr>
        <w:t>合同签订后30 日内，</w:t>
      </w:r>
      <w:r>
        <w:rPr>
          <w:rFonts w:hint="eastAsia" w:ascii="宋体" w:hAnsi="宋体" w:cs="宋体"/>
          <w:snapToGrid w:val="0"/>
          <w:color w:val="000000"/>
          <w:spacing w:val="-1"/>
          <w:sz w:val="24"/>
        </w:rPr>
        <w:t>中标人向采购人支付合同总价3%的履约保证金，即¥    元（大写：人民币      整 ），之后采购人凭借中标人有效票据向中标人支付合同总金额50%的首款   元;</w:t>
      </w:r>
      <w:r>
        <w:rPr>
          <w:rFonts w:hint="eastAsia"/>
          <w:bCs/>
          <w:sz w:val="24"/>
        </w:rPr>
        <w:t xml:space="preserve"> </w:t>
      </w:r>
    </w:p>
    <w:p w14:paraId="469F1204">
      <w:pPr>
        <w:numPr>
          <w:ilvl w:val="0"/>
          <w:numId w:val="3"/>
        </w:numPr>
        <w:spacing w:line="360" w:lineRule="auto"/>
        <w:contextualSpacing/>
        <w:rPr>
          <w:bCs/>
          <w:sz w:val="24"/>
        </w:rPr>
      </w:pPr>
      <w:r>
        <w:rPr>
          <w:rFonts w:hint="eastAsia"/>
          <w:bCs/>
          <w:sz w:val="24"/>
        </w:rPr>
        <w:t>货到后经验收设备信息无误</w:t>
      </w:r>
      <w:r>
        <w:rPr>
          <w:rFonts w:hint="eastAsia" w:ascii="宋体" w:hAnsi="宋体" w:cs="宋体"/>
          <w:snapToGrid w:val="0"/>
          <w:color w:val="000000"/>
          <w:spacing w:val="-1"/>
          <w:sz w:val="24"/>
        </w:rPr>
        <w:t>,且设备使用正常</w:t>
      </w:r>
      <w:r>
        <w:rPr>
          <w:rFonts w:hint="eastAsia"/>
          <w:bCs/>
          <w:sz w:val="24"/>
        </w:rPr>
        <w:t>，7个工作日内采购人向中标人支付剩余50%货款，中标人向采购人提供到货签收单；</w:t>
      </w:r>
    </w:p>
    <w:p w14:paraId="3F97F3C8">
      <w:pPr>
        <w:spacing w:line="360" w:lineRule="auto"/>
        <w:contextualSpacing/>
        <w:rPr>
          <w:sz w:val="24"/>
        </w:rPr>
      </w:pPr>
      <w:r>
        <w:rPr>
          <w:rFonts w:hint="eastAsia"/>
          <w:bCs/>
          <w:sz w:val="24"/>
        </w:rPr>
        <w:t>中标人应提前开具符合国家规定的正式发票并交付采购人。（若中标人未按时间和要求出具发票，采购人支付时间顺延，直至中标人出具发票为止）</w:t>
      </w:r>
      <w:r>
        <w:rPr>
          <w:sz w:val="24"/>
        </w:rPr>
        <w:t>3. 包装和运输</w:t>
      </w:r>
    </w:p>
    <w:p w14:paraId="43700843">
      <w:pPr>
        <w:numPr>
          <w:ilvl w:val="0"/>
          <w:numId w:val="4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乙方交付的所有合同货物应具有适于运输的坚固包装，并且乙方应根据合同货物的不同特性和要求采取防潮、防雨、防锈、防震、防腐等保护措施，须满足《关于印发《商品包装政府采购需求标准（试行）》、《快递包装政府采购需求标准（试行）》的通知》（财办库﹝2020﹞123号）），以确保合同货物安全无损地送达交货地点。</w:t>
      </w:r>
    </w:p>
    <w:p w14:paraId="3BF9CC8E">
      <w:pPr>
        <w:numPr>
          <w:ilvl w:val="0"/>
          <w:numId w:val="4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下列资料包装在合同货物的包装箱中：</w:t>
      </w:r>
    </w:p>
    <w:p w14:paraId="792931BC">
      <w:pPr>
        <w:numPr>
          <w:ilvl w:val="0"/>
          <w:numId w:val="4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装箱单</w:t>
      </w:r>
    </w:p>
    <w:p w14:paraId="3C65E472">
      <w:pPr>
        <w:numPr>
          <w:ilvl w:val="0"/>
          <w:numId w:val="4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合同货物数量和质量合格证书、保修证书</w:t>
      </w:r>
    </w:p>
    <w:p w14:paraId="2BF9B9AA">
      <w:pPr>
        <w:numPr>
          <w:ilvl w:val="0"/>
          <w:numId w:val="4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产品使用说明书及其它必要的技术资料</w:t>
      </w:r>
    </w:p>
    <w:p w14:paraId="265476D7">
      <w:pPr>
        <w:numPr>
          <w:ilvl w:val="0"/>
          <w:numId w:val="4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凡由于中标人对合同货物包装不善、标记不明、防护措施不当或在合同货物装箱前保管不良，致使合同货物遭到损坏或丢失，中标人应负责免费修理或更换，并承担由此给采购人造成的一切损失。</w:t>
      </w:r>
    </w:p>
    <w:p w14:paraId="115FE5E8">
      <w:pPr>
        <w:spacing w:line="360" w:lineRule="auto"/>
        <w:contextualSpacing/>
        <w:rPr>
          <w:sz w:val="24"/>
        </w:rPr>
      </w:pPr>
      <w:r>
        <w:rPr>
          <w:sz w:val="24"/>
        </w:rPr>
        <w:t>4. 售后服务（质保期）</w:t>
      </w:r>
    </w:p>
    <w:p w14:paraId="2703B9EB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质保期限及质保服务标准：质保期限为3 年，设备原厂提供售后服务，服务期内维修、上门服务、材料、随时接受咨询；服务响应时间：接通知之后2 小时内到达指定地点。投标人需提供针对以上售后服务要求的承诺函。投标人需提供质保期满后的技术服务承诺函：针对本项目的质保期外服务承诺及质保期后的优惠措施，承诺函的内容可包含：“设备一旦出现故障，提供备品替换使用，再对故障设备进行维护;提供7*24 小时维修服务，在接到用户服务请求后，1 小时内作出响应，如果电话支持不能解决问题，应在4小时内到达现场，即时解决故障。设备故障维修只收取器件成本费及维修人工费”。</w:t>
      </w:r>
    </w:p>
    <w:p w14:paraId="55002E88">
      <w:pPr>
        <w:spacing w:line="360" w:lineRule="auto"/>
        <w:contextualSpacing/>
        <w:rPr>
          <w:b/>
          <w:i/>
          <w:sz w:val="24"/>
        </w:rPr>
      </w:pPr>
    </w:p>
    <w:p w14:paraId="03060029">
      <w:pPr>
        <w:pStyle w:val="4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技术要求</w:t>
      </w:r>
    </w:p>
    <w:p w14:paraId="1840D5D3">
      <w:pPr>
        <w:spacing w:line="360" w:lineRule="auto"/>
        <w:contextualSpacing/>
        <w:rPr>
          <w:sz w:val="24"/>
        </w:rPr>
      </w:pPr>
      <w:r>
        <w:rPr>
          <w:sz w:val="24"/>
        </w:rPr>
        <w:t>1. 基本要求</w:t>
      </w:r>
    </w:p>
    <w:p w14:paraId="0A57CA96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1.1 采购标的需实现的功能或者目标</w:t>
      </w:r>
    </w:p>
    <w:p w14:paraId="6503992F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满足多学科科研算力需求，可高效承载实训平台建设，单节点或集群算力需适配中等规模科研项目需求，且支持算力弹性扩展（如后续节点扩容），弥补传统 CPU 服务器并行计算能力不足的短板。</w:t>
      </w:r>
    </w:p>
    <w:p w14:paraId="56187EDC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1.2 需执行的国家相关标准、行业标准、地方标准或者其他标准、规范</w:t>
      </w:r>
    </w:p>
    <w:p w14:paraId="04C78F26">
      <w:p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项目建设主要依据北京《北京市高等学校智慧校园建设规范》 《北京十四五信息化规划》等文件要求，建设此项目。</w:t>
      </w:r>
    </w:p>
    <w:p w14:paraId="76CB5462">
      <w:pPr>
        <w:spacing w:line="360" w:lineRule="auto"/>
        <w:contextualSpacing/>
        <w:rPr>
          <w:sz w:val="24"/>
        </w:rPr>
      </w:pPr>
      <w:r>
        <w:rPr>
          <w:sz w:val="24"/>
        </w:rPr>
        <w:t>2. 服务内容及要求/货物技术要求</w:t>
      </w:r>
    </w:p>
    <w:p w14:paraId="71711A8D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2.1采购标的需满足的性能、材料、结构、外观、质量、安全、技术规格、物理特性等要求</w:t>
      </w:r>
    </w:p>
    <w:p w14:paraId="1B14833E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①指标按重要性分为“★”和“▲”。★代表实质性指标，不满足该指标项将导致投标被拒绝，▲代表重要指标。</w:t>
      </w:r>
    </w:p>
    <w:p w14:paraId="7CFBAA47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②“证明材料要求”项可填“是”和“否”。填“是”的，投标人须提供包含相关指标项的证明材料，证明材料可以使用生产厂家官方网站截图、产品彩页或产品功能截图，未提供有效证明材料或证明材料中内容与所填报指标不一致的，该指标按不满足处理。</w:t>
      </w:r>
    </w:p>
    <w:p w14:paraId="5DC04DF1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1.高性能服务器</w:t>
      </w:r>
    </w:p>
    <w:tbl>
      <w:tblPr>
        <w:tblStyle w:val="2"/>
        <w:tblW w:w="87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466"/>
        <w:gridCol w:w="803"/>
        <w:gridCol w:w="1139"/>
        <w:gridCol w:w="2804"/>
        <w:gridCol w:w="2842"/>
      </w:tblGrid>
      <w:tr w14:paraId="08AA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02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D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指标分类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B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BBF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B6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指标要求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C2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证明材料要</w:t>
            </w:r>
          </w:p>
          <w:p w14:paraId="1836C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求</w:t>
            </w:r>
          </w:p>
        </w:tc>
      </w:tr>
      <w:tr w14:paraId="0104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F416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C0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34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CPU规格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2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★CPU信息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5E31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供应商给出CPU信息，包含CPU型号、物理核心数、主频、末级缓存容量、线程数、热设计功耗及支持内存的最高速率、通道数和位宽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67F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要求给出指标要求中所需的参数信息，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提供承诺函</w:t>
            </w:r>
          </w:p>
          <w:p w14:paraId="104F2A74">
            <w:pPr>
              <w:ind w:firstLine="400" w:firstLineChars="200"/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（加盖投标人公章）</w:t>
            </w:r>
          </w:p>
          <w:p w14:paraId="481C4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22A0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BC4F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F19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45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主板规格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3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★主板支持的CPU和内存情况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2927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供应商给出主板支持的CPU和内存的型号数量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09BD">
            <w:pPr>
              <w:widowControl/>
              <w:jc w:val="center"/>
              <w:textAlignment w:val="center"/>
            </w:pPr>
          </w:p>
          <w:p w14:paraId="31A767D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要求给出指标要求中所需的参数信息，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提供承诺函</w:t>
            </w:r>
          </w:p>
          <w:p w14:paraId="7E473DDA">
            <w:pPr>
              <w:ind w:firstLine="400" w:firstLineChars="200"/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（加盖投标人公章）</w:t>
            </w:r>
          </w:p>
          <w:p w14:paraId="0E1CC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45C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5F19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25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060D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F5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★主板内存槽数量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136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支持≥32个DDR5内存插槽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D4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897D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F949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37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FFF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C9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★主板存储接口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E54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至少支持SATA、SAS、M.2、U.2等存储接口中的1种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24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E725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AD2C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5E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90A9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74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★PCIe插槽接口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C32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符合 PCIe4.0 或以上的高速串行计算机扩展总线标准，PCIe 的接口速率与位宽需保证向下兼容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A8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D38B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85F5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F5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A07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D3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★主板PCIe插槽数量及规格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D0D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双路服务器PCIe 插槽或接口应不少于10个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88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515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2A7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5B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5E8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B6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主板OCP插槽数量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A83F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支持OCP3.0及以上插槽的数量不少于1个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6A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F1A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716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6E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35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内存规格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BD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★内存数量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294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≥24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637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745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C6A6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A0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BE0E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F3C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★内存规格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3EA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≥DDR5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A8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016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F4A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ABC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69A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05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★内存通道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D44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每个CPU内存通道≥8，最大支持16个DDR5内存插槽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3E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9021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0FC6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F0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71A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存储规格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6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硬盘类型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18C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供应商给出服务器支持硬磁盘和固态盘类型及规格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EE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D41D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798E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1A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70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28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★硬磁盘实配容量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CDC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单块SSD硬盘容量≥1.92TB和单块NVME SSD硬盘容量≥7.68TB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23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83CE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20B8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15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9664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4F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硬盘接口类型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C37B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a)若配备硬磁盘，应提供SAS3.0或SATA3.0及以上接口；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b)若配备固态盘，应提供至少1种类型固态盘接口，如UFS、SATA、PCIe等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25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CC4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6E60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45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EC2F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ACF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★硬盘实配数量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CDF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1.92TB SSD硬盘≥2块，7.68TB NVME SSD硬盘≥4块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AA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7976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77D1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5F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9C38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F6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★硬盘插槽数量及规格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B52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a)配置的2.5英寸硬盘；</w:t>
            </w:r>
          </w:p>
          <w:p w14:paraId="063A1E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b)服务器可支持的硬盘数量应不少于16块。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6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B18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3FB3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84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B8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RAID卡规格（若支持RAID卡）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3D1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RAID卡支持的SAS接口数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BBDE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≥8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270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9D23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4D30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0E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99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SAS直通卡规格（若支持SAS直通卡）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76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SAS直通卡SAS接口数量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7CF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≥0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4E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643A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23AA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18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9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HBA卡规格（若支持HBA直通卡）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C58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HBA卡端口数量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629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≥0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F2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CC97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148E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750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13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网络规格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37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★网口速率和数量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FE9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配置25GE光口不少于4个,支持ROCE（满配25GE光模块）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6F3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9945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0380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271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72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外部接口规格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37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★显示接口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ECC9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显示接口类型应不少于1种，如：VGA、DP、HDMI等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B60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75E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0283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429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77F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EE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★USB接口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CEF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配备USB接口，如USB2.0、USB3.0等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67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3097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829C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8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479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91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特殊接口及孔位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226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前面板预留1个专用USB母座接口孔位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E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66FC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CAC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955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648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CB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其他接口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1DF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a)串口数量不少于1个，并可实现GB/T6107或GB/T26803.2的相关功能；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b)服务器主机前面板可根据用户实际使用需求预留1个专用USB母座接口孔位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7B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34F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1610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314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82B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电源规格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6D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电源冗余模式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8B0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整机电源模块按1+1冗余或N+1冗余配置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BD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7538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C06C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BC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2EF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850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★电源模块数量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7EF1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≥5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C6F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2561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0CF5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FF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A5F0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CD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★电源功率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89F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CPU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电源模块功率</w:t>
            </w: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≥2000W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数量≥2；GPU电源模块≥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3000W 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，数量≥3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9B087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2FC2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6FB8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B2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A0D2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804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电源指示灯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5B4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配备电源指示灯，指示待机、工作异常等状态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1F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859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D1BE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50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FA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整机规格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0E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★外观和结构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A9C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a)服务器的零部件应紧固无松动，可插拔部件应可靠连接，开关、按钮和其它控制部件应灵活可靠，布局应方便使用；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b)产品表面不应有明显的凹痕、划伤、裂缝、变形和污染等。表面涂层均匀，不应起泡、龟裂、脱落和磨损，金属零部件无锈蚀及其它机械损伤；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c)产品表面说明功能的文字、符号和标志应清晰、端正且牢固；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d)应在服务器的显著位置提供运行状态的指示功能，并在随机文件中明确具体含义；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e)机架、机箱的尺寸应符合通用机柜的安装要求，插入总线插座的电路板接口外形尺寸应符合有关总线标准的规定，将机箱固定在机柜上，机箱底面最大下垂变形不得干涉相邻机体；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f)高密度服务器应给出CPU个数与机柜高度（本项目不涉及）；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g)服务器尺寸具体要求在随机文件中明确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4B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4CB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83F1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93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75D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整机规格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11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★尺寸（高×宽×深）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CBF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供应商给出产品尺寸；设计应遵循标准化、系列化的要求；机箱的内部结构符合通用部件的安装需要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29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FA45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94A4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47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98A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E03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服务器导轨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A04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供应商给出导轨尺寸、安装方式等信息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EF0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7D5E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C105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B8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076C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92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与机柜高度单位（U）比CPU个数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6BA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供应商给出CPU个数与机柜高度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BD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40B2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0579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C7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054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7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★环境适应性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B68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气候环境适应性应符合GB/T9813.3的有关规定，工作温度10-35℃，贮存运输温度-40-55℃；工作相对湿度35%-80%，贮存运输相对湿度20%-93%（40℃）；大气压86-106kPa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01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B0D6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4187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CB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B1EF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01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特殊机型环境适应性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399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边缘应用服务器，工作环境温度宜为0-45℃，短期工作可承受环境温度宜为-5-55℃，液冷服务器贮存运输温度宜为-30-55℃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51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C067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CBF5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4A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EADC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E4F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★机械环境适应性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3DB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机械环境适应性应符合GB/T9813.3的有关规定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569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549F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5670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D6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AE1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B5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★噪声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B7B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符合GB/T9813.3的有关规定，在产品说明中给出具体测试值塔式服务器噪声在空闲状态下不大于50dB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C53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5145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D1A1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EA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F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AI计算单元规格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CB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AI计算单元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605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实配≥8 块 AI 计算单元，单卡要求：单精度性能 FP32≥44TFLOPS，双精度性能FP64≥1TFLOPS，GPU 显存≥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GB，显存带宽 ≥ 4TB/s ，功耗 ≤500W 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75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98B9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50CC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890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F46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机柜规格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14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★机柜尺寸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C75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供应商给出长度、高度和深度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49B65">
            <w:pPr>
              <w:widowControl/>
              <w:jc w:val="center"/>
              <w:textAlignment w:val="center"/>
            </w:pPr>
          </w:p>
          <w:p w14:paraId="0A3A611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要求给出指标要求中所需的参数信息，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确保招标货物“高性能服务器”能够与标准机柜尺寸兼容，并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提供承诺函</w:t>
            </w:r>
          </w:p>
          <w:p w14:paraId="7CAC4CE7">
            <w:pPr>
              <w:ind w:firstLine="400" w:firstLineChars="200"/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（加盖投标人公章）</w:t>
            </w:r>
          </w:p>
          <w:p w14:paraId="790F4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3D26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40B04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791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862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主板功能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CA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★主板外部接口种类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694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支持USB、显示、管理等接口，如：VGA、DP、HDMI、USB3.0、PS/2接口、BMC管理端口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8A8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1DE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AA2E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86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BA2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86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主板防烧板设计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4D8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支持主板防烧板设计，保证电源故障后不扩散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2A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8FDC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21F5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86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A4AC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31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扩展功能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654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实现至少一种扩展功能，如存储功能卡、显示功能卡、运算加速功能卡及网络功能卡等扩展功能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5E2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1138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7514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E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8C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网络功能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B8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★网络功能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5B3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支持网络连接、网络访问、数据交换和网络管控功能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EF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9167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B1DB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F7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9A5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CPU功能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59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★计算处理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0B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支持通用计算及虚拟化功能。处理器需集成整型计算单元、浮点计算单元、内存控制器、I/O模块等，处理器与存储部件、网络部件、I/O部件等组成计算系统，提供数据处理、网络接入等计算相关功能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19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E37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A2B7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1E8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8A93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F7C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★密码算法实现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8EF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CPU芯片应符合GM/T0008的相关规定，或芯片密码模块应符合GB/T37092或GM/T0028的相关规定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D0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8B48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9B71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21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DD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存储功能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62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内存校验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C24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支持内存校验或内存增强型纠错功能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06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5DB3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11E2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F9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012C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DCA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SATA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SSD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NAND健康状态上报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3C7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支持关键外部存储器（硬磁盘、SSD等）的健康状态上报并进行故障诊断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3D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207A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4EC0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E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0E69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BA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SATA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SSD单die故障隔离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350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支持SSD关键外部存储器中单存储晶元故障隔离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1E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A2B5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8781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42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0CE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RAID卡功能（若支持RAID卡）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C7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RAID卡RAID级别支持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209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RAID模式支持RAID0/1/10/5，存储型支持RAID0/1/5/6/10/50/60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68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D96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F953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BF3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F9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4C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RAID卡BBU单元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DFB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RAID卡支持电池或电容备份单元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F5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3A68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5659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678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4099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电源功能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5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★电源热插拔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6A2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整机电源模块应具备热插拔功能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C4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F88B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9FC1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F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AE7A5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E9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★电源过流保护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D7C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支持过流及短路保护的功能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D3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24B5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F2B6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1C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5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整机功能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06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★散热方式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6FD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支持风冷或液冷等散热方式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F8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455E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BE01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192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DBF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7B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风扇能力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ED6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支持15个高性能风扇，支持N+1冗余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bidi="ar"/>
              </w:rPr>
              <w:t>需提供</w:t>
            </w:r>
            <w:r>
              <w:rPr>
                <w:rFonts w:hint="eastAsia" w:cs="宋体"/>
                <w:color w:val="000000"/>
                <w:kern w:val="0"/>
                <w:sz w:val="20"/>
                <w:szCs w:val="18"/>
                <w:lang w:bidi="ar"/>
              </w:rPr>
              <w:t>产品官网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bidi="ar"/>
              </w:rPr>
              <w:t>截图</w:t>
            </w:r>
            <w:r>
              <w:rPr>
                <w:rFonts w:hint="eastAsia" w:cs="宋体"/>
                <w:color w:val="000000"/>
                <w:kern w:val="0"/>
                <w:sz w:val="20"/>
                <w:szCs w:val="18"/>
                <w:lang w:bidi="ar"/>
              </w:rPr>
              <w:t>或功能截图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E119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DE76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5532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3DB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0F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53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DBEE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a)支持关键部件冗余（包括电源、风扇等）；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b)支持熔断保护与恢复功能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25B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2A04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21E3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E8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1C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管理系统功能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C3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★BMC固件基础功能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F9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1)支持DHCP设置网络功能；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2)支持静态IP设置网络功能；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3)支持设备日志记录，包括但不限于登录日志、操作日志和报警日志等功能；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4)支持日志信息导出和记录删除功能；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5)支持通过管理接口向外输出准确的报警信息功能；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6)设备的BMC管理软件应能够按报警的严重程度进行区分；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7)支持IPMI2.0、SNMP或Redfish等接口功能；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8)支持键盘、鼠标和视频的重定向、文本控制台的重定向、远程虚拟媒体、高可靠的硬件监控和管理功能；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9)支持基于网络开启、关闭和重启设备的功能，并查询当前设备开机运行状态；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10)支持故障提示功能，并可通过接口读取服务器故障信息；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11)支持基于网络的固件更新功能，包括BMC和BIOS等；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12)支持基于网络安装操作系统的功能，并可通过网络控制台访问设备；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13)支持通过本地的硬盘或光驱等存储设备，基于网络完成设备的操作系统安装功能；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14)支持通过浏览器打开管理界面并登录功能；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15)支持设置口令策略功能；16)支持访问权限设置功能，并通过日志记录访问事件；17)支持对出厂默认的用户名及口令进行安全保护功能，并提供默认口令修改提示；18)支持读取设备主板的工作环境温度功能；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19)支持读取服务器CPU等核心器件的温度功能；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20)支持通过外部管理工具进行BMC参数设置的功能，并可基于网络通过外部管理工具对BMC进行管理；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21)应支持固件版本查询、固件升级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22)支持基于网络实现开关机和复位控制的功能；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23)BMC启动时间应不超过180s，实现功能包括网络、IPMI、散热、传感器服务可用；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24)支持BMC固件设置的恢复出厂功能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CC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DCEB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9910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E3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8357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79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BMC固件增强功能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16B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a)网络控制、安装提供图形访问界面网络；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b)设备的BMC管理软件界面显示报警信息，且能够按报警的严重程度进行区分；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c)WebGUI采用BMC端口直连，平均响应时间为不大于1s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1C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615B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F150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6E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0A57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C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★BIOS固件基础功能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496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a）支持查看固件版本、内存信息、主板信息、处理器信息和系统时间信息功能；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b）支持上电初始化界面显示CPU信息、内存信息、固件版本和部分快捷键信息功能；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c）支持设置界面中英文显示切换功能；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d）支持查看PCIe设备信息，SATA设备信息功能；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e）支持操作系统安装和引导功能，应并向操作系统提供计算机主板信息和服务接口；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f）支持设置启动顺序，并按照设置的启动顺序启动功能；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g）支持安全启动功能；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h）支持设置口令、修改口令、验证口令功能；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i）支持板载显示控制或独立显卡的显示控制功能；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j）支持RAID识别和启动功能；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k）支持串口重定向功能；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l）支持固件更新功能；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m）支持BIOS固件设置的恢复出厂功能；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n）支持网络引导启用和关闭功能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16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F100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5C20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17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3FAB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6D7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★远程控制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C09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支持远程关机和重新启动功能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62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D81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6BFD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A9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37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操作系统及驱动功能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D0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★操作系统及驱动的升级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2C5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支持通过网络、闪存盘对操作系统、驱动进行升级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E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538C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869C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E0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F983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F3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操作系统及驱动的备份还原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447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支持操作系统备份及还原功能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82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AE2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D2EB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71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B81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12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★操作系统功能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A3D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a)支持访问控制、安全审计、网络接入鉴别等功能；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b)操作系统其他功能应满足操作系统政府采购需求标准中加★的指标要求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58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EE5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B544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DF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4AE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中文信息处理功能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D4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★中文信息处理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83B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符合GB 18030的有关规定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C5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761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8F47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87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53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机柜功能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F1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机柜管理功能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D0B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机柜管理系统包括服务器节点BMC管理系统、机柜管理系统或交换节点管理系统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F1B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5A92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939A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5EF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0735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63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机柜通信方式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719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若配备机柜管理板可实现包括：资产管理、电源模块、功耗管理和液冷漏液检测等功能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80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E9B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4FA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9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功能要求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2CBF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8B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多集群作业管理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503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支持多集群作业管理功能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CC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5D97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E705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7DC5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C0A2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关键部件安全要求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8E9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★关键部件安全要求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17D44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CPU和操作系统等关键部件应当符合安全可靠测评要求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F72F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7A7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ED0F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4A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6B7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固件安全要求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6E4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★故障检测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7F2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支持故障检测功能，可以检测到具体的FRU（内存、硬盘等）的故障并发出告警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D3B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FDEA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DB73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9C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C2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A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内存故障智能预测和自愈修复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349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支持内存故障智能预测和自愈修复，提前自动硬隔离，避免内存故障引起的非预期宕机以及内存寿命的降低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6A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252E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1603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40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E0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D5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硬盘故障智能预测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9FC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支持硬盘故障智能预测，基于故障模型预测出硬盘的故障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FC9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E49F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46FA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C3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1E79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F4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PCIe链路故障智能诊断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F9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支持PCIe链路故障智能诊断，判断出现故障的PCIe链路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39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94C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AFE9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6B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8200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26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内存故障隔离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D42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支持内存故障隔离，在内存产生CE故障时，内存地址被隔离成功，服务器正常运行，业务系统不中断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20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8217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8AB6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4E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CE19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80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内存、PCIe卡的故障精准告警功能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077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支持内存、PCIe卡的故障精准告警功能，触发告警并明确指示具体的故障位置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428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B11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30A6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1D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A56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706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异常下电关键数据保护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B00F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支持异常下电关键数据保护，支持数据备份恢复机制，防止系统异常掉电导致的数据文件丢失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1D2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E51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522A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F0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077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9B5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BMC/BIOS固件双镜像保护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605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支持BMC/BIOS固件双镜像保护，运行异常时自动切换到备份镜像运行，提升系统稳定性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C4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766D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874F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CB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E76D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28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▲BMC管理功能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32D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支持通过BMC页面带外设置BIOS选项，不限于启动模式（Setup Mode）系统语言（System Language）、插槽配置（Socket Configuration）、可信计算（Trusted Computing）PCI参数设置（PCI Subsystem Settings）、FRB - 2 定时器(FRB-2 Timer)、FRB - 2 定时器超时（FRB-2 Timer timeout）、FRB - 2 定时器策略（FRB-2 Timer Policy）密码复杂度检查（Password Complexity Check）、密码历史检查（Password History Check），需提供产品功能截图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6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14:paraId="6378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944D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42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4FAA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1799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▲BMC安全检测功能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7F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检测BMC存在的安全隐患。可集中展示账号认证安全和应用服务安全，账号认证安全包括：密码复杂度检查、弱口令字典认证功能、登录失败锁定（次）、密码有效期（天）等；应用服务安全包括：SNMP团体名超长口令、SNMP V1/V2C开启状态、KVM加密模式、正在使用默认的证书、TLS版本、证书剩余有效期（天）等安全配置状态，及时识别BMC安全配置的风险。 当检测到风险时，可以查看详细信息和建议提高系统的安全性，需提供产品功能截图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B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14:paraId="52355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3A44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11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6715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B0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▲BMC特性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84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BMC可以根据主机系统工作负载的特性，自动推荐和场景匹配的性能模板，需提供产品功能截图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B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14:paraId="3DB16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310D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AA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AA0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845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▲BMC主机监测功能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0F7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BMC支持监控主机状态进程信息，需提供产品功能截图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1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14:paraId="12F1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1A91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151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968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987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CPU核重启隔离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F42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支持CPU核发生不可纠正故障后，重启后由BIOS隔离该故障核，OS不可见，防止OS再次使用导致系统异常，核0除外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5EA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C585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F0034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7A5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8AAD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E6E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内存地址隔离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06C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在硬件支持的情况下，支持故障内存地址重启后隔离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E14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E4F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D8F6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47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788F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E56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▲BIOS开机自检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46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支持BIOS 开机自检代码明文化展示，将BIOS启动过程中的所有自检代码以明文化的形式展示在界面中，方便快速定位POST阶段故障，需提供产品功能截图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D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14:paraId="420BD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7D1A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2E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4964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719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内存存储阵列替换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219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在硬件支持的情况下，支持故障内存存储阵列替换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2F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C85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3D2A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2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C58F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EA3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▲安全检测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230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支持通过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BMC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页面带外设置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BIOS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选项，不限于启动项、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CPU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参数调节、带外配置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PCIE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参数等，需提供产品功能截图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4B233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是</w:t>
            </w:r>
          </w:p>
        </w:tc>
      </w:tr>
      <w:tr w14:paraId="7CC3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4F68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32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A2AF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F3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安全启动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C2E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支持执行环境要求在整个系统启动的过程中，系统应提供一个机制来保护平台的完整性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BA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6C56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E0D0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F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CF5C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CDE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▲服务器安全</w:t>
            </w:r>
          </w:p>
          <w:p w14:paraId="216A2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性监控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BF4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服务器支持智能温度监控，具备支持以图形化形式展示各组件温度传感器的分布图，可直观体现服务器整体温感状态，如发生温度告警可快速定位到具体区域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，需提供产品功能截图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7D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220E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4EB3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022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50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系统安全要求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FE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syslog双向鉴别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C21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支持系统日志双向鉴别，对服务器根证书和客户端根证书进行鉴别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4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7A2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4207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D6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DB5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F9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★弱口令字典检查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8A6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支持弱口令字典检查功能，出现在弱口令字典中的字符串不能被设置为用户口令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66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4F4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0D17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11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1D77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3A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★白名单访问控制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182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支持基于时间、IP或MAC白名单访问控制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36E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72CC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ED6D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5B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96D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E0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双因素鉴别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BFFB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支持使用客户端证书和证书密码的双因素鉴别方式登录管理系统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E0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E52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361B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99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754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A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★二次鉴别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B0C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支持二次鉴别功能。对于用户配置、权限配置、公钥导入等重要的管理操作，已登录用户应通过二次鉴别后，才能执行操作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75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EE5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F7B2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4F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91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EE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匿名化用户告警接收邮箱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A49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支持带外管理系统中的用户告警接收邮箱进行匿名化处理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4F4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25E9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77E8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D8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858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F8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★密码证书安全加密存储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775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支持对带外管理系统中的用户口令和证书等敏感信息进行加密存储，禁止使用私有的和业界已知不安全的密码算法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F27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671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7141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99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68E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546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★敏感信息安全加密传输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3D9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支持使用安全的传输加密协议（如SSH或HTTPS等）传输用户的敏感信息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6AA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3419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23AC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61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95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信息安全要求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70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★研发过程安全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86F2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供应商承诺，生产商已建立从需求、设计、开发、测试、维护端到端的开发流程管理机制，输出和保存开发流程中每个阶段的产品需求清单、设计文档、开发文档、测试记录等材料，保证各个流程可追溯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DB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492C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13E2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B11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BE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006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网络关键设备服务器要求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E50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作为网络关键设备的服务器应符合GB 40050的相关规定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19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557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B614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05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43E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1F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增强要求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E85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a)嵌入物理可信根，实现设备的信任链构建；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b)支持可信平台控制模块（TPCM）；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c)支持在固件系统（BMC、BIOS）启动前实现对固件度量的功能，支持物理可信根对BMC固件或BIOS固件进行完整性检测、更新和恢复；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d)支持对CPU、网络控制器等关键处理器进行身份识别与度量的功能；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e)支持基于处理器或可信计算模块度量的功能；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f)所采用的可信密码模块接口应符合GM/T0012的相关规定；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g)可信安全管理模块、处理器等硬件载体应通过国家相关部门的认证和许可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48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否</w:t>
            </w:r>
          </w:p>
        </w:tc>
      </w:tr>
      <w:tr w14:paraId="32901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B629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13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6E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物理安全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60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★物理安全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53B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安全要求应符合GB 4943.1的规定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FD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CF2A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6188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85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FD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限用物质的限量要求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95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★限用物质的限量要求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BD6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限用物质的限量应符合GB/T 26572的要求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4F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23E6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AD694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6D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455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CPU性能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24B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★CPU主频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CBD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≥2.1GHz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D9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0216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337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3D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89B3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87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★单CPU核数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1834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核，≥2颗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65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3E67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36329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02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913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AE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★单CPU末级缓存容量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432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0MB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42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B026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72E3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42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性能要求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E0C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内存性能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01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单内存模块容量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BAE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≥64GB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36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DF69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F9F0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52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性能要求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AC9A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68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★内存速率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D94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≥5600MT/s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44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508C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C9A3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419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5A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RAID卡性能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B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RAID卡缓存容量大小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A31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配备RAID卡且RAID卡有缓存容量，容量不少于4GB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69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7398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D8D8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A8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A3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FC HBA卡性能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62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FC HBA卡速率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C2B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若配备FC HBA卡，单端口最大的连接速率不少于8Gb/s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2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F4B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A38D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32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2D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网络性能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19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独立网卡速率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DC8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≥25GE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EF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78F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BAB3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40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性能要求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4C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电源能耗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DC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★电源能耗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E8E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符合GB/T 9813.3的有关规定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FE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171B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D958C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EF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5B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部件兼容性要求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6E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★内存兼容性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6A3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适配3种及以上厂商的内存产品，且均不低于产品支持的内存规格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5D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4A4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28524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A9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4F8F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EF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★固态存储兼容性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A28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适配3种或以上厂商的固态存储产品，且均不低于产品支持的固态存储设备规格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F8B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4F9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309E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FB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61A5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E4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FC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HBA卡兼容性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CBB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FC HBA应适配两种或以上厂商产品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D0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A368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CCAF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42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B40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295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RAID卡兼容性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B64F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RAID卡应适配两种或以上厂商产品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E69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ECA3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991DA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D1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CD6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B59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★网卡兼容性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C19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网卡应适配两种或以上厂商产品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1E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6C1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2D32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A1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356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83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★功能卡兼容性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4E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内置或适配符合PCIe的功能卡，如：网络功能卡、存储功能卡及图形显示功能卡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2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6F7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C462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3C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09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外设兼容性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59D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★外设兼容性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93E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兼容多种主流生产商的外部设备，包括显示器、键盘、鼠标、闪存盘、移动硬盘、USB光驱及KVM等，要求使用不同厂商的外部设备时，系统均能正常识别和安装驱动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1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C76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DF6D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45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EF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软件兼容性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812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★数据库兼容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D18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兼容3个及以上厂商的数据库产品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DE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C2F3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EAFF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20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BDA5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53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★中间件兼容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29C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兼容3个及以上厂商的中间件产品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05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ABC7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790F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0A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40B5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2F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★平台软件兼容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980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兼容3个及以上厂商的大数据平台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1A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7902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507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A1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194C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64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虚拟化软件兼容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46E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兼容2款及以上虚拟化软件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0A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B321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1E8CE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D2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可靠性要求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BA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整机可靠性要求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F5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★整机可靠性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DAE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m1值（MTBF的不可接受值）不得低于30000h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F0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F7AA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446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8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可靠性要求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95AA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75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★风扇可靠性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513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风扇寿命应不低于40000h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4C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24C9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BB40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5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可靠性要求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F48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D5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★部件可靠性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7C6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支持硬盘、电源、风扇热插拔（内置风扇除外）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2D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449E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5F891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DD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包装及运输要求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8E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包装及运输要求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AC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★标志、包装、运输和贮存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28C0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符合GB/T9813.3和商品包装政府采购需求标准的相关规定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1F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460AF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5626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C7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D6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服务响应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AD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★服务响应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E4E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a)提供电话、电子邮件、远程连接等多种形式服务；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b)提供同城4h、异地12h技术响应服务，2个工作日解决问题，对于未能解决的问题和故障应提供可行的升级方案，并提供周转设备；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c)建立全国技术服务体系和服务团体，符合专业服务体系标准要求，提供原厂中文服务；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d)服务周期内提供产品的维修、换件和升级服务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8EDF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提供承诺函</w:t>
            </w:r>
          </w:p>
          <w:p w14:paraId="53CEF7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（加盖投标人公章）</w:t>
            </w:r>
          </w:p>
        </w:tc>
      </w:tr>
      <w:tr w14:paraId="34A40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1C5F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44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92A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C31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★培训服务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F0F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供应商提供培训材料、产品手册、培训视频等培训相关内容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1BC3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7DF71C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提供承诺函</w:t>
            </w:r>
          </w:p>
          <w:p w14:paraId="121D0F01">
            <w:pPr>
              <w:ind w:firstLine="400" w:firstLineChars="200"/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（加盖投标人公章）</w:t>
            </w:r>
          </w:p>
          <w:p w14:paraId="7FD54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9AA6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471B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B1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23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服务周期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73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★服务周期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9CC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a)产品免费服务周期（含换件和维修）应不小于3年；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b)设备停产后继续提供质量保障服务（含备品备件），服务终止时间与最后一批设备交付时间间隔不低于6年；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c)产品停止服务时间应提前1年告知客户；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d)产品发布日期需在随机文件中明确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4DA0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提供承诺函</w:t>
            </w:r>
          </w:p>
          <w:p w14:paraId="750D0340">
            <w:pPr>
              <w:ind w:firstLine="400" w:firstLineChars="200"/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（加盖投标人公章）</w:t>
            </w:r>
          </w:p>
          <w:p w14:paraId="0F429D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399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0EC55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76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9CC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服务工具要求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85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★工具要求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4EF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供应商提供设置服务器硬件、辅助操作系统安装等功能的辅助工具和管理软件。且随附软件应具有合法授权或版权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A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1CA43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41916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30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17F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60B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辅助工具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F54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支持如下功能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a)本地的数据备份和还原功能；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b)网络的数据备份和还原功能；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c)服务器操作系统的自动安装功能；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d)服务器所配硬件需要的驱动程序和系统补丁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B4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658F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F7DB8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6D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646F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C7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★驱动安装升级指引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5F85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供应商提供出厂安装的配件所需的驱动程序，形式包括但不限于驱动光盘、驱动下载链接等。其他配件应提供指引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4A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5A2FD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9DCA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36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A9D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D5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随机附开盖工具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74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随服务器打包提供开机箱工具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308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060C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87CF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E6C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7704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B2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★管理软件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D1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具备资源管理、系统管理、性能监控、健康监控、基于网络控制、报警设置功能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BD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28C66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3F797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E3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27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增值服务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29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★厂家升级产品软件与扩容服务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AFB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供应商提供原厂级的部件/软件产品升级和扩容能力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7E7A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提供承诺函</w:t>
            </w:r>
          </w:p>
          <w:p w14:paraId="291F17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（加盖投标人公章）</w:t>
            </w:r>
          </w:p>
        </w:tc>
      </w:tr>
      <w:tr w14:paraId="3263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6AB9F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2E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A9D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B8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★提供上门服务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1E3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供应商具备提供上门服务的能力（可收费）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C8C7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提供承诺函</w:t>
            </w:r>
          </w:p>
          <w:p w14:paraId="4A762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（加盖投标人公章）</w:t>
            </w:r>
          </w:p>
        </w:tc>
      </w:tr>
      <w:tr w14:paraId="732CB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2F85B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E8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供保要求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4E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供应链质量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F6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★抗干扰性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E471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当产品部件出现供应风险时，应通知客户并提供风险应对方案确保产品的服务保障，必要时应停止相关受影响产品的销售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9A48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提供承诺函</w:t>
            </w:r>
          </w:p>
          <w:p w14:paraId="560AB0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（加盖投标人公章）</w:t>
            </w:r>
          </w:p>
        </w:tc>
      </w:tr>
      <w:tr w14:paraId="7B59D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D33D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8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供保要求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FFE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A2C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★供应能力证明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E16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供应商提供供应链稳定承诺书，确保产品的部件在产品服务周期内稳定供货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2A87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提供承诺函</w:t>
            </w:r>
          </w:p>
          <w:p w14:paraId="3BA67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（加盖投标人公章）</w:t>
            </w:r>
          </w:p>
        </w:tc>
      </w:tr>
    </w:tbl>
    <w:p w14:paraId="41964A16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2.服务器互联设备</w:t>
      </w:r>
    </w:p>
    <w:tbl>
      <w:tblPr>
        <w:tblStyle w:val="2"/>
        <w:tblW w:w="8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4"/>
        <w:gridCol w:w="3653"/>
        <w:gridCol w:w="744"/>
        <w:gridCol w:w="838"/>
      </w:tblGrid>
      <w:tr w14:paraId="33BE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43" w:type="dxa"/>
          </w:tcPr>
          <w:p w14:paraId="3DA5073B">
            <w:pPr>
              <w:jc w:val="left"/>
            </w:pPr>
            <w:r>
              <w:rPr>
                <w:b/>
                <w:bCs/>
              </w:rPr>
              <w:t>序号</w:t>
            </w:r>
          </w:p>
        </w:tc>
        <w:tc>
          <w:tcPr>
            <w:tcW w:w="1744" w:type="dxa"/>
          </w:tcPr>
          <w:p w14:paraId="7F134915">
            <w:pPr>
              <w:jc w:val="left"/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3653" w:type="dxa"/>
          </w:tcPr>
          <w:p w14:paraId="21E7A4FD">
            <w:pPr>
              <w:jc w:val="left"/>
            </w:pPr>
            <w:r>
              <w:rPr>
                <w:rFonts w:hint="eastAsia"/>
                <w:b/>
                <w:bCs/>
              </w:rPr>
              <w:t>招标参数</w:t>
            </w:r>
          </w:p>
        </w:tc>
        <w:tc>
          <w:tcPr>
            <w:tcW w:w="744" w:type="dxa"/>
          </w:tcPr>
          <w:p w14:paraId="4EB14936">
            <w:pPr>
              <w:jc w:val="left"/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838" w:type="dxa"/>
          </w:tcPr>
          <w:p w14:paraId="02528B84">
            <w:pPr>
              <w:jc w:val="left"/>
            </w:pPr>
            <w:r>
              <w:rPr>
                <w:rFonts w:hint="eastAsia"/>
                <w:b/>
                <w:bCs/>
              </w:rPr>
              <w:t>单位</w:t>
            </w:r>
          </w:p>
        </w:tc>
      </w:tr>
      <w:tr w14:paraId="57F0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743" w:type="dxa"/>
          </w:tcPr>
          <w:p w14:paraId="3F9D2B04">
            <w:r>
              <w:rPr>
                <w:rFonts w:hint="eastAsia"/>
              </w:rPr>
              <w:t>1</w:t>
            </w:r>
          </w:p>
        </w:tc>
        <w:tc>
          <w:tcPr>
            <w:tcW w:w="1744" w:type="dxa"/>
          </w:tcPr>
          <w:p w14:paraId="0B8813DF">
            <w:pPr>
              <w:widowControl/>
              <w:jc w:val="left"/>
            </w:pPr>
            <w:r>
              <w:rPr>
                <w:rFonts w:hint="eastAsia"/>
              </w:rPr>
              <w:t>服务器互联设备</w:t>
            </w:r>
          </w:p>
        </w:tc>
        <w:tc>
          <w:tcPr>
            <w:tcW w:w="3653" w:type="dxa"/>
          </w:tcPr>
          <w:p w14:paraId="7E6EF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★1.性能要求：交换容量4.8Tbps，包转发率2000Mpps；</w:t>
            </w:r>
          </w:p>
          <w:p w14:paraId="01E7F8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★2.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端口要求：≥48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 25G SFP28端口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100G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QSFP28口端口；</w:t>
            </w:r>
          </w:p>
          <w:p w14:paraId="3B33C3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▲3.支持无损网络RoCE(RoCEv1/</w:t>
            </w:r>
          </w:p>
          <w:p w14:paraId="4BDED5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RoCEv2 功能)/RDMA，支持PFC、ECN、ETS、DCB，支持IPCC，提供</w:t>
            </w:r>
            <w:r>
              <w:rPr>
                <w:rFonts w:hint="eastAsia"/>
              </w:rPr>
              <w:t>国家认可的认证（检测）机构出具认证证书（检测报告）截图；</w:t>
            </w:r>
          </w:p>
          <w:p w14:paraId="3EAE60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▲4.支持 MPLS/MPLS L3VPN/L2VPN </w:t>
            </w:r>
          </w:p>
          <w:p w14:paraId="42AF9D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(VPLS)/MPLS TE，</w:t>
            </w:r>
            <w:r>
              <w:rPr>
                <w:rFonts w:hint="eastAsia"/>
              </w:rPr>
              <w:t>国家认可的认证（检测）机构出具认证证书（检测报告）截图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14:paraId="663AAD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▲5.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支持Mini USB Console 接口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，提供官网截图证明</w:t>
            </w:r>
          </w:p>
          <w:p w14:paraId="74101B68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支持RIP、OSPF、ISIS、BGP等IPv4动态路由协议</w:t>
            </w:r>
          </w:p>
          <w:p w14:paraId="28F857DF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支持RIPng、OSPFv3、ISISv6、BGP4+等IPv6动态路由协议</w:t>
            </w:r>
          </w:p>
          <w:p w14:paraId="5A4FDFD9"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▲8.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整机最大路由地址表≥320K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，最大ARP地址表≥270K，最大MAC地址表≥280K，提供</w:t>
            </w:r>
            <w:r>
              <w:rPr>
                <w:rFonts w:hint="eastAsia"/>
              </w:rPr>
              <w:t>国家认可的认证（检测）机构出具认证证书（检测报告）截图；</w:t>
            </w:r>
          </w:p>
          <w:p w14:paraId="454B7F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9.支持TCP和UDP智能流量分析功能</w:t>
            </w:r>
          </w:p>
          <w:p w14:paraId="7C7541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10.支持二层、三层Vxlan网关和BGP EVPN特性</w:t>
            </w:r>
          </w:p>
          <w:p w14:paraId="394CEA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11.实际配置：配置冗余电源和风扇，25G SFP28多模光模块≥4块</w:t>
            </w:r>
          </w:p>
          <w:p w14:paraId="56DAC5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1DE49D4">
            <w:pPr>
              <w:widowControl/>
              <w:jc w:val="left"/>
            </w:pPr>
          </w:p>
        </w:tc>
        <w:tc>
          <w:tcPr>
            <w:tcW w:w="744" w:type="dxa"/>
          </w:tcPr>
          <w:p w14:paraId="67C30488">
            <w:r>
              <w:rPr>
                <w:rFonts w:hint="eastAsia"/>
              </w:rPr>
              <w:t>1</w:t>
            </w:r>
          </w:p>
        </w:tc>
        <w:tc>
          <w:tcPr>
            <w:tcW w:w="838" w:type="dxa"/>
          </w:tcPr>
          <w:p w14:paraId="3F91D04A">
            <w:r>
              <w:rPr>
                <w:rFonts w:hint="eastAsia"/>
              </w:rPr>
              <w:t>台</w:t>
            </w:r>
          </w:p>
        </w:tc>
      </w:tr>
    </w:tbl>
    <w:p w14:paraId="3FE6121F">
      <w:pPr>
        <w:widowControl/>
        <w:spacing w:line="360" w:lineRule="auto"/>
        <w:ind w:firstLine="480" w:firstLineChars="200"/>
        <w:contextualSpacing/>
        <w:rPr>
          <w:sz w:val="24"/>
        </w:rPr>
      </w:pPr>
    </w:p>
    <w:p w14:paraId="7852093F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2.2采购标的需满足的服务标准、期限、效率等要求</w:t>
      </w:r>
    </w:p>
    <w:tbl>
      <w:tblPr>
        <w:tblStyle w:val="2"/>
        <w:tblW w:w="8721" w:type="dxa"/>
        <w:tblInd w:w="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65"/>
        <w:gridCol w:w="887"/>
        <w:gridCol w:w="4980"/>
        <w:gridCol w:w="1662"/>
      </w:tblGrid>
      <w:tr w14:paraId="1A7A7C5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7" w:type="dxa"/>
            <w:tcBorders>
              <w:bottom w:val="single" w:color="auto" w:sz="4" w:space="0"/>
            </w:tcBorders>
          </w:tcPr>
          <w:p w14:paraId="7E39BBDB">
            <w:pPr>
              <w:jc w:val="left"/>
            </w:pPr>
            <w:r>
              <w:rPr>
                <w:b/>
                <w:bCs/>
              </w:rPr>
              <w:t>序号</w:t>
            </w:r>
          </w:p>
        </w:tc>
        <w:tc>
          <w:tcPr>
            <w:tcW w:w="765" w:type="dxa"/>
            <w:tcBorders>
              <w:bottom w:val="single" w:color="auto" w:sz="4" w:space="0"/>
            </w:tcBorders>
          </w:tcPr>
          <w:p w14:paraId="07E8B813">
            <w:pPr>
              <w:jc w:val="left"/>
            </w:pPr>
            <w:r>
              <w:rPr>
                <w:b/>
                <w:bCs/>
              </w:rPr>
              <w:t>内容</w:t>
            </w:r>
          </w:p>
        </w:tc>
        <w:tc>
          <w:tcPr>
            <w:tcW w:w="887" w:type="dxa"/>
            <w:tcBorders>
              <w:bottom w:val="single" w:color="auto" w:sz="4" w:space="0"/>
            </w:tcBorders>
          </w:tcPr>
          <w:p w14:paraId="05EA5998">
            <w:pPr>
              <w:jc w:val="left"/>
            </w:pPr>
            <w:r>
              <w:rPr>
                <w:b/>
                <w:bCs/>
              </w:rPr>
              <w:t>重要性</w:t>
            </w:r>
          </w:p>
        </w:tc>
        <w:tc>
          <w:tcPr>
            <w:tcW w:w="4980" w:type="dxa"/>
            <w:tcBorders>
              <w:bottom w:val="single" w:color="auto" w:sz="4" w:space="0"/>
            </w:tcBorders>
          </w:tcPr>
          <w:p w14:paraId="0A7BC189">
            <w:pPr>
              <w:jc w:val="left"/>
              <w:rPr>
                <w:b/>
                <w:bCs/>
              </w:rPr>
            </w:pPr>
          </w:p>
          <w:p w14:paraId="48BC69C7">
            <w:pPr>
              <w:ind w:firstLine="1897" w:firstLineChars="900"/>
              <w:jc w:val="left"/>
            </w:pPr>
            <w:r>
              <w:rPr>
                <w:b/>
                <w:bCs/>
              </w:rPr>
              <w:t>服务要求标注</w:t>
            </w:r>
          </w:p>
        </w:tc>
        <w:tc>
          <w:tcPr>
            <w:tcW w:w="1662" w:type="dxa"/>
            <w:tcBorders>
              <w:bottom w:val="single" w:color="auto" w:sz="4" w:space="0"/>
            </w:tcBorders>
          </w:tcPr>
          <w:p w14:paraId="7F32DC4B">
            <w:pPr>
              <w:jc w:val="left"/>
              <w:rPr>
                <w:b/>
                <w:bCs/>
              </w:rPr>
            </w:pPr>
          </w:p>
          <w:p w14:paraId="5D3A23C1">
            <w:pPr>
              <w:ind w:firstLine="211" w:firstLineChars="100"/>
              <w:jc w:val="left"/>
            </w:pPr>
            <w:r>
              <w:rPr>
                <w:b/>
                <w:bCs/>
              </w:rPr>
              <w:t>证明材料要求</w:t>
            </w:r>
          </w:p>
        </w:tc>
      </w:tr>
      <w:tr w14:paraId="0A330BB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8016F58">
            <w:pPr>
              <w:jc w:val="left"/>
            </w:pPr>
            <w:r>
              <w:t>1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</w:tcPr>
          <w:p w14:paraId="1A197D54">
            <w:pPr>
              <w:jc w:val="left"/>
            </w:pPr>
            <w:r>
              <w:rPr>
                <w:rFonts w:hint="eastAsia"/>
              </w:rPr>
              <w:t>服务标准、期限及服务效率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 w14:paraId="5EE9CABE">
            <w:pPr>
              <w:jc w:val="left"/>
            </w:pPr>
            <w:r>
              <w:t>★</w:t>
            </w:r>
          </w:p>
        </w:tc>
        <w:tc>
          <w:tcPr>
            <w:tcW w:w="4980" w:type="dxa"/>
            <w:tcBorders>
              <w:top w:val="single" w:color="auto" w:sz="4" w:space="0"/>
              <w:bottom w:val="single" w:color="auto" w:sz="4" w:space="0"/>
            </w:tcBorders>
          </w:tcPr>
          <w:p w14:paraId="4A13C2F3">
            <w:pPr>
              <w:jc w:val="left"/>
            </w:pPr>
            <w:r>
              <w:rPr>
                <w:rFonts w:hint="eastAsia"/>
              </w:rPr>
              <w:t>服务响应：</w:t>
            </w:r>
          </w:p>
          <w:p w14:paraId="732ABBA4">
            <w:pPr>
              <w:numPr>
                <w:ilvl w:val="0"/>
                <w:numId w:val="7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提供电话、电子邮件、远程连接等多种形式服务；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b)提供同城4h、异地12h技术响应服务，2个工作日解决问题，对于未能解决的问题和故障应提供可行的升级方案，并提供周转设备；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c)建立全国技术服务体系和服务团体，符合专业服务体系标准要求，提供原厂中文服务；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d)服务周期内提供产品的维修、换件和升级服务。</w:t>
            </w:r>
          </w:p>
          <w:p w14:paraId="496D7AD6">
            <w:pPr>
              <w:numPr>
                <w:ilvl w:val="255"/>
                <w:numId w:val="0"/>
              </w:numPr>
              <w:jc w:val="left"/>
            </w:pPr>
            <w:r>
              <w:rPr>
                <w:rFonts w:hint="eastAsia"/>
              </w:rPr>
              <w:t>服务周期：</w:t>
            </w:r>
          </w:p>
          <w:p w14:paraId="080E521E">
            <w:pPr>
              <w:numPr>
                <w:ilvl w:val="255"/>
                <w:numId w:val="0"/>
              </w:num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a)产品免费服务周期（含换件和维修）应不小于3年；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b)设备停产后继续提供质量保障服务（含备品备件），服务终止时间与最后一批设备交付时间间隔不低于6年；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c)产品停止服务时间应提前1年告知客户；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d)产品发布日期需在随机文件中明确。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EB5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F023DE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40DAF1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C020B7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57E004F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DDEC61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提供承诺函</w:t>
            </w:r>
          </w:p>
          <w:p w14:paraId="66634AA2">
            <w:pPr>
              <w:jc w:val="left"/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（加盖投标人公章）</w:t>
            </w:r>
          </w:p>
        </w:tc>
      </w:tr>
    </w:tbl>
    <w:p w14:paraId="63540274">
      <w:pPr>
        <w:widowControl/>
        <w:spacing w:line="360" w:lineRule="auto"/>
        <w:ind w:firstLine="480" w:firstLineChars="200"/>
        <w:contextualSpacing/>
        <w:rPr>
          <w:sz w:val="24"/>
        </w:rPr>
      </w:pPr>
    </w:p>
    <w:p w14:paraId="28EEF9BA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2.3为落实政府采购政策需满足的要求</w:t>
      </w:r>
    </w:p>
    <w:p w14:paraId="72EF2963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需满足中华人民共和国政府采购法</w:t>
      </w:r>
    </w:p>
    <w:p w14:paraId="5C13AC7B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2.4采购标的的其他技术、服务等要求</w:t>
      </w:r>
    </w:p>
    <w:p w14:paraId="79CCCBB6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无</w:t>
      </w:r>
    </w:p>
    <w:p w14:paraId="40B00DF0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2.5需由供应商提供设计方案、解决方案或者组织方案的采购项目，应当说明采购标的的功能、应用场景、目标等基本要求</w:t>
      </w:r>
    </w:p>
    <w:p w14:paraId="3D137DBD">
      <w:pPr>
        <w:pStyle w:val="4"/>
        <w:adjustRightInd w:val="0"/>
        <w:spacing w:line="360" w:lineRule="auto"/>
        <w:ind w:firstLine="0" w:firstLineChars="0"/>
        <w:contextualSpacing/>
        <w:jc w:val="left"/>
        <w:rPr>
          <w:rFonts w:ascii="Times New Roman" w:hAnsi="Times New Roman"/>
          <w:sz w:val="24"/>
          <w:szCs w:val="24"/>
        </w:rPr>
      </w:pPr>
    </w:p>
    <w:p w14:paraId="2FCB956D">
      <w:pPr>
        <w:spacing w:line="360" w:lineRule="auto"/>
        <w:contextualSpacing/>
        <w:rPr>
          <w:i/>
          <w:iCs/>
          <w:sz w:val="24"/>
        </w:rPr>
      </w:pPr>
      <w:r>
        <w:rPr>
          <w:sz w:val="24"/>
        </w:rPr>
        <w:t>3. 验收标准</w:t>
      </w:r>
    </w:p>
    <w:p w14:paraId="3030414D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设备进场验收的基本标准：</w:t>
      </w:r>
    </w:p>
    <w:p w14:paraId="4646047C">
      <w:pPr>
        <w:widowControl/>
        <w:numPr>
          <w:ilvl w:val="0"/>
          <w:numId w:val="8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进场的系统设备包装完整无损且符合合同规定；</w:t>
      </w:r>
    </w:p>
    <w:p w14:paraId="0726D6E7">
      <w:pPr>
        <w:widowControl/>
        <w:numPr>
          <w:ilvl w:val="0"/>
          <w:numId w:val="8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设备的品牌、规格型号、数量与合同约定一致；</w:t>
      </w:r>
    </w:p>
    <w:p w14:paraId="780F04D3">
      <w:pPr>
        <w:widowControl/>
        <w:numPr>
          <w:ilvl w:val="0"/>
          <w:numId w:val="8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设备开箱后，根据装箱单清点核对全部零、部件、附属材料和专用工具，并检查说明书、合格证、检验记录和必要的装配图及技术文件是否齐全；</w:t>
      </w:r>
    </w:p>
    <w:p w14:paraId="73391998">
      <w:pPr>
        <w:widowControl/>
        <w:numPr>
          <w:ilvl w:val="0"/>
          <w:numId w:val="8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设备及其零、部件表面无缺损和锈蚀等情况。</w:t>
      </w:r>
    </w:p>
    <w:p w14:paraId="7097E1AA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项目实施验收的基本标准：</w:t>
      </w:r>
    </w:p>
    <w:p w14:paraId="0DB923EF">
      <w:pPr>
        <w:widowControl/>
        <w:numPr>
          <w:ilvl w:val="0"/>
          <w:numId w:val="9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项目资料完整，符合相应的国家标准和规范；</w:t>
      </w:r>
    </w:p>
    <w:p w14:paraId="12A42DF7">
      <w:pPr>
        <w:widowControl/>
        <w:numPr>
          <w:ilvl w:val="0"/>
          <w:numId w:val="9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硬件设备在机柜中安装部署与机柜部署图一致，安装紧固、并对设备进行便于识别和维护的标识。</w:t>
      </w:r>
    </w:p>
    <w:p w14:paraId="3F8421AA">
      <w:pPr>
        <w:widowControl/>
        <w:numPr>
          <w:ilvl w:val="0"/>
          <w:numId w:val="9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项目实施符合设计文件要求；</w:t>
      </w:r>
    </w:p>
    <w:p w14:paraId="4B0C54CB">
      <w:pPr>
        <w:widowControl/>
        <w:numPr>
          <w:ilvl w:val="0"/>
          <w:numId w:val="9"/>
        </w:num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项目功能满足采购人的实际需求。</w:t>
      </w:r>
    </w:p>
    <w:p w14:paraId="331DC803">
      <w:pPr>
        <w:spacing w:line="360" w:lineRule="auto"/>
        <w:contextualSpacing/>
        <w:rPr>
          <w:sz w:val="24"/>
        </w:rPr>
      </w:pPr>
      <w:r>
        <w:rPr>
          <w:sz w:val="24"/>
        </w:rPr>
        <w:t>4. 其他要求（如有）</w:t>
      </w:r>
    </w:p>
    <w:p w14:paraId="188EF3E2">
      <w:pPr>
        <w:ind w:firstLine="420" w:firstLineChars="200"/>
      </w:pPr>
      <w:r>
        <w:rPr>
          <w:rFonts w:hint="eastAsia"/>
        </w:rPr>
        <w:t>无</w:t>
      </w:r>
    </w:p>
    <w:p w14:paraId="3F2EE1F2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14:paraId="049EC747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14:paraId="5A4F9169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14:paraId="40FDFC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210CC"/>
    <w:multiLevelType w:val="singleLevel"/>
    <w:tmpl w:val="98A210C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A0EC822A"/>
    <w:multiLevelType w:val="singleLevel"/>
    <w:tmpl w:val="A0EC822A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2CBAB76"/>
    <w:multiLevelType w:val="singleLevel"/>
    <w:tmpl w:val="E2CBAB7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FFA4C3E9"/>
    <w:multiLevelType w:val="singleLevel"/>
    <w:tmpl w:val="FFA4C3E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0882736"/>
    <w:multiLevelType w:val="singleLevel"/>
    <w:tmpl w:val="1088273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84FD82"/>
    <w:multiLevelType w:val="singleLevel"/>
    <w:tmpl w:val="6B84FD8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6E190793"/>
    <w:multiLevelType w:val="singleLevel"/>
    <w:tmpl w:val="6E19079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749D2AEF"/>
    <w:multiLevelType w:val="singleLevel"/>
    <w:tmpl w:val="749D2AEF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E396E"/>
    <w:rsid w:val="11840563"/>
    <w:rsid w:val="28CE396E"/>
    <w:rsid w:val="480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2025-12-03T10:29:00Z</dcterms:created>
  <dc:creator>Lemelin</dc:creator>
  <cp:lastModifiedBy>Lemelin</cp:lastModifiedBy>
  <dcterms:modified xsi:type="dcterms:W3CDTF">2025-12-05T07:03:53Z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5984151D2C6641C492D0555EB36E4674_11</vt:lpwstr>
  </property>
  <property fmtid="{D5CDD505-2E9C-101B-9397-08002B2CF9AE}" pid="4" name="KSOTemplateDocerSaveRecord">
    <vt:lpwstr>eyJoZGlkIjoiMGExMWNhYTdiNWE0MmVkZDI2ZjFiYTdjNzJiMTYxNDIiLCJ1c2VySWQiOiI1ODg5MTQyNTAifQ==</vt:lpwstr>
  </property>
</Properties>
</file>